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843025">
      <w:pPr>
        <w:spacing w:line="480" w:lineRule="auto"/>
        <w:ind w:left="425" w:hanging="425"/>
        <w:jc w:val="center"/>
        <w:rPr>
          <w:rFonts w:ascii="Arial" w:hAnsi="Arial" w:cs="Arial"/>
          <w:bCs/>
          <w:sz w:val="40"/>
          <w:szCs w:val="44"/>
          <w:lang w:val="en-GB"/>
        </w:rPr>
      </w:pPr>
    </w:p>
    <w:p w14:paraId="763807B4">
      <w:pPr>
        <w:spacing w:line="480" w:lineRule="auto"/>
        <w:ind w:left="425" w:hanging="425"/>
        <w:jc w:val="center"/>
        <w:rPr>
          <w:rFonts w:ascii="Arial" w:hAnsi="Arial" w:cs="Arial"/>
          <w:bCs/>
          <w:sz w:val="40"/>
          <w:szCs w:val="44"/>
        </w:rPr>
      </w:pPr>
    </w:p>
    <w:p w14:paraId="5E8C85CA">
      <w:pPr>
        <w:spacing w:line="480" w:lineRule="auto"/>
        <w:ind w:left="425" w:hanging="425"/>
        <w:jc w:val="center"/>
        <w:rPr>
          <w:rFonts w:ascii="Arial" w:hAnsi="Arial" w:cs="Arial"/>
          <w:bCs/>
          <w:sz w:val="40"/>
          <w:szCs w:val="44"/>
        </w:rPr>
      </w:pPr>
    </w:p>
    <w:p w14:paraId="4FF58AE5">
      <w:pPr>
        <w:spacing w:line="480" w:lineRule="auto"/>
        <w:ind w:left="425" w:hanging="425"/>
        <w:jc w:val="center"/>
        <w:rPr>
          <w:rFonts w:ascii="Arial" w:hAnsi="Arial" w:cs="Arial"/>
          <w:bCs/>
          <w:sz w:val="40"/>
          <w:szCs w:val="44"/>
          <w:lang w:val="en-GB"/>
        </w:rPr>
      </w:pPr>
    </w:p>
    <w:p w14:paraId="205F96A5">
      <w:pPr>
        <w:adjustRightInd w:val="0"/>
        <w:snapToGrid w:val="0"/>
        <w:ind w:left="425" w:hanging="425"/>
        <w:jc w:val="center"/>
        <w:rPr>
          <w:rFonts w:ascii="Arial" w:hAnsi="Arial" w:cs="Arial"/>
          <w:bCs/>
          <w:sz w:val="36"/>
          <w:szCs w:val="40"/>
        </w:rPr>
      </w:pPr>
      <w:r>
        <w:rPr>
          <w:rFonts w:ascii="Arial" w:hAnsi="Arial" w:cs="Arial"/>
          <w:bCs/>
          <w:sz w:val="36"/>
          <w:szCs w:val="40"/>
        </w:rPr>
        <w:t>世界银行结果导向型</w:t>
      </w:r>
    </w:p>
    <w:p w14:paraId="19DE5E57">
      <w:pPr>
        <w:adjustRightInd w:val="0"/>
        <w:snapToGrid w:val="0"/>
        <w:ind w:left="425" w:hanging="425"/>
        <w:jc w:val="center"/>
        <w:rPr>
          <w:rFonts w:ascii="Arial" w:hAnsi="Arial" w:cs="Arial"/>
          <w:bCs/>
          <w:sz w:val="36"/>
          <w:szCs w:val="40"/>
        </w:rPr>
      </w:pPr>
      <w:r>
        <w:rPr>
          <w:rFonts w:ascii="Arial" w:hAnsi="Arial" w:cs="Arial"/>
          <w:bCs/>
          <w:sz w:val="36"/>
          <w:szCs w:val="40"/>
        </w:rPr>
        <w:t>绿色农业与乡村振兴项目</w:t>
      </w:r>
      <w:r>
        <w:rPr>
          <w:rFonts w:hint="eastAsia" w:ascii="Arial" w:hAnsi="Arial" w:cs="Arial"/>
          <w:bCs/>
          <w:sz w:val="36"/>
          <w:szCs w:val="40"/>
        </w:rPr>
        <w:t>（湖北和湖南）</w:t>
      </w:r>
    </w:p>
    <w:p w14:paraId="02D5FFB5">
      <w:pPr>
        <w:adjustRightInd w:val="0"/>
        <w:snapToGrid w:val="0"/>
        <w:ind w:left="425" w:hanging="425"/>
        <w:jc w:val="center"/>
        <w:rPr>
          <w:rFonts w:hint="eastAsia" w:ascii="Arial" w:hAnsi="Arial" w:eastAsia="宋体" w:cs="Arial"/>
          <w:bCs/>
          <w:sz w:val="36"/>
          <w:szCs w:val="40"/>
          <w:lang w:eastAsia="zh-CN"/>
        </w:rPr>
      </w:pPr>
      <w:r>
        <w:rPr>
          <w:rFonts w:hint="eastAsia" w:ascii="Arial" w:hAnsi="Arial" w:cs="Arial"/>
          <w:bCs/>
          <w:sz w:val="36"/>
          <w:szCs w:val="40"/>
          <w:lang w:eastAsia="zh-CN"/>
        </w:rPr>
        <w:t>(</w:t>
      </w:r>
      <w:r>
        <w:rPr>
          <w:rFonts w:ascii="Arial" w:hAnsi="Arial" w:cs="Arial"/>
          <w:bCs/>
          <w:sz w:val="36"/>
          <w:szCs w:val="40"/>
        </w:rPr>
        <w:t>P178907</w:t>
      </w:r>
      <w:r>
        <w:rPr>
          <w:rFonts w:hint="eastAsia" w:ascii="Arial" w:hAnsi="Arial" w:cs="Arial"/>
          <w:bCs/>
          <w:sz w:val="36"/>
          <w:szCs w:val="40"/>
          <w:lang w:eastAsia="zh-CN"/>
        </w:rPr>
        <w:t>)</w:t>
      </w:r>
    </w:p>
    <w:p w14:paraId="66BF7CE5">
      <w:pPr>
        <w:adjustRightInd w:val="0"/>
        <w:snapToGrid w:val="0"/>
        <w:ind w:left="425" w:hanging="425"/>
        <w:jc w:val="center"/>
        <w:rPr>
          <w:rFonts w:ascii="Arial" w:hAnsi="Arial" w:cs="Arial"/>
          <w:bCs/>
          <w:sz w:val="36"/>
          <w:szCs w:val="40"/>
        </w:rPr>
      </w:pPr>
    </w:p>
    <w:p w14:paraId="5B275B99">
      <w:pPr>
        <w:spacing w:line="720" w:lineRule="auto"/>
        <w:ind w:left="425" w:hanging="425"/>
        <w:jc w:val="center"/>
        <w:rPr>
          <w:rFonts w:ascii="Arial" w:hAnsi="Arial" w:cs="Arial"/>
          <w:b/>
          <w:color w:val="1F4E79" w:themeColor="accent5" w:themeShade="80"/>
          <w:sz w:val="48"/>
          <w:szCs w:val="52"/>
        </w:rPr>
      </w:pPr>
      <w:r>
        <w:rPr>
          <w:rFonts w:ascii="Arial" w:hAnsi="Arial" w:cs="Arial"/>
          <w:b/>
          <w:color w:val="1F4E79" w:themeColor="accent5" w:themeShade="80"/>
          <w:sz w:val="48"/>
          <w:szCs w:val="52"/>
        </w:rPr>
        <w:t>环境与社会系统评价</w:t>
      </w:r>
    </w:p>
    <w:p w14:paraId="0FF1D779">
      <w:pPr>
        <w:ind w:left="425" w:hanging="425"/>
        <w:jc w:val="center"/>
        <w:rPr>
          <w:rFonts w:ascii="Arial" w:hAnsi="Arial" w:cs="Arial"/>
          <w:bCs/>
          <w:szCs w:val="28"/>
        </w:rPr>
      </w:pPr>
    </w:p>
    <w:p w14:paraId="4BE3FD18">
      <w:pPr>
        <w:ind w:left="425" w:hanging="425"/>
        <w:jc w:val="center"/>
        <w:rPr>
          <w:rFonts w:ascii="Arial" w:hAnsi="Arial" w:cs="Arial"/>
          <w:bCs/>
          <w:szCs w:val="28"/>
        </w:rPr>
      </w:pPr>
    </w:p>
    <w:p w14:paraId="04716E25">
      <w:pPr>
        <w:ind w:left="425" w:hanging="425"/>
        <w:jc w:val="center"/>
        <w:rPr>
          <w:rFonts w:ascii="Arial" w:hAnsi="Arial" w:cs="Arial"/>
          <w:bCs/>
          <w:szCs w:val="28"/>
        </w:rPr>
      </w:pPr>
    </w:p>
    <w:p w14:paraId="0E9B2E8D">
      <w:pPr>
        <w:rPr>
          <w:rFonts w:ascii="Arial" w:hAnsi="Arial" w:cs="Arial"/>
          <w:bCs/>
          <w:szCs w:val="28"/>
        </w:rPr>
      </w:pPr>
    </w:p>
    <w:p w14:paraId="72559808">
      <w:pPr>
        <w:ind w:left="425" w:hanging="425"/>
        <w:jc w:val="center"/>
        <w:rPr>
          <w:rFonts w:ascii="Arial" w:hAnsi="Arial" w:cs="Arial"/>
          <w:bCs/>
          <w:szCs w:val="28"/>
        </w:rPr>
      </w:pPr>
    </w:p>
    <w:p w14:paraId="69E73AF4">
      <w:pPr>
        <w:ind w:left="425" w:hanging="425"/>
        <w:jc w:val="center"/>
        <w:rPr>
          <w:rFonts w:ascii="Arial" w:hAnsi="Arial" w:cs="Arial"/>
          <w:bCs/>
          <w:szCs w:val="28"/>
        </w:rPr>
      </w:pPr>
    </w:p>
    <w:p w14:paraId="66CD8D30">
      <w:pPr>
        <w:ind w:left="425" w:hanging="425"/>
        <w:jc w:val="center"/>
        <w:rPr>
          <w:rFonts w:ascii="Arial" w:hAnsi="Arial" w:cs="Arial"/>
          <w:bCs/>
          <w:szCs w:val="28"/>
        </w:rPr>
      </w:pPr>
    </w:p>
    <w:p w14:paraId="76AE4F83">
      <w:pPr>
        <w:ind w:left="425" w:hanging="425"/>
        <w:jc w:val="center"/>
        <w:rPr>
          <w:rFonts w:ascii="Arial" w:hAnsi="Arial" w:cs="Arial"/>
          <w:bCs/>
          <w:szCs w:val="28"/>
        </w:rPr>
      </w:pPr>
    </w:p>
    <w:p w14:paraId="182D5612">
      <w:pPr>
        <w:ind w:left="425" w:hanging="425"/>
        <w:jc w:val="center"/>
        <w:rPr>
          <w:rFonts w:ascii="Arial" w:hAnsi="Arial" w:cs="Arial"/>
          <w:bCs/>
          <w:szCs w:val="28"/>
        </w:rPr>
      </w:pPr>
    </w:p>
    <w:p w14:paraId="1E4B9F39">
      <w:pPr>
        <w:ind w:left="425" w:hanging="425"/>
        <w:jc w:val="center"/>
        <w:rPr>
          <w:rFonts w:ascii="Arial" w:hAnsi="Arial" w:cs="Arial"/>
          <w:bCs/>
          <w:szCs w:val="28"/>
        </w:rPr>
      </w:pPr>
    </w:p>
    <w:p w14:paraId="56280767">
      <w:pPr>
        <w:ind w:left="425" w:hanging="425"/>
        <w:jc w:val="center"/>
        <w:rPr>
          <w:rFonts w:ascii="Arial" w:hAnsi="Arial" w:cs="Arial"/>
          <w:bCs/>
          <w:szCs w:val="28"/>
        </w:rPr>
      </w:pPr>
    </w:p>
    <w:p w14:paraId="58B0CF03">
      <w:pPr>
        <w:ind w:left="425" w:hanging="425"/>
        <w:jc w:val="center"/>
        <w:rPr>
          <w:rFonts w:ascii="Arial" w:hAnsi="Arial" w:cs="Arial"/>
          <w:bCs/>
          <w:szCs w:val="28"/>
        </w:rPr>
      </w:pPr>
    </w:p>
    <w:p w14:paraId="120282B4">
      <w:pPr>
        <w:ind w:left="425" w:hanging="425"/>
        <w:jc w:val="center"/>
        <w:rPr>
          <w:rFonts w:ascii="Arial" w:hAnsi="Arial" w:cs="Arial"/>
          <w:bCs/>
          <w:szCs w:val="28"/>
        </w:rPr>
      </w:pPr>
    </w:p>
    <w:p w14:paraId="055CFA5A">
      <w:pPr>
        <w:ind w:left="425" w:hanging="425"/>
        <w:jc w:val="center"/>
        <w:rPr>
          <w:rFonts w:ascii="Arial" w:hAnsi="Arial" w:cs="Arial"/>
          <w:bCs/>
          <w:szCs w:val="28"/>
        </w:rPr>
      </w:pPr>
    </w:p>
    <w:p w14:paraId="5AFD02B2">
      <w:pPr>
        <w:ind w:left="425" w:hanging="425"/>
        <w:jc w:val="center"/>
        <w:rPr>
          <w:rFonts w:ascii="Arial" w:hAnsi="Arial" w:cs="Arial"/>
          <w:bCs/>
          <w:szCs w:val="28"/>
        </w:rPr>
      </w:pPr>
    </w:p>
    <w:p w14:paraId="375D42C0">
      <w:pPr>
        <w:ind w:left="425" w:hanging="425"/>
        <w:jc w:val="center"/>
        <w:rPr>
          <w:rFonts w:ascii="Arial" w:hAnsi="Arial" w:cs="Arial"/>
          <w:bCs/>
          <w:szCs w:val="28"/>
        </w:rPr>
      </w:pPr>
    </w:p>
    <w:p w14:paraId="0FD6A2A9">
      <w:pPr>
        <w:ind w:left="425" w:hanging="425"/>
        <w:jc w:val="center"/>
        <w:rPr>
          <w:rFonts w:ascii="Arial" w:hAnsi="Arial" w:cs="Arial"/>
          <w:bCs/>
          <w:szCs w:val="28"/>
        </w:rPr>
      </w:pPr>
    </w:p>
    <w:p w14:paraId="382AD7E1">
      <w:pPr>
        <w:ind w:left="425" w:hanging="425"/>
        <w:jc w:val="center"/>
        <w:rPr>
          <w:rFonts w:ascii="Arial" w:hAnsi="Arial" w:cs="Arial"/>
          <w:bCs/>
          <w:szCs w:val="28"/>
        </w:rPr>
      </w:pPr>
    </w:p>
    <w:p w14:paraId="5EA8AC33">
      <w:pPr>
        <w:ind w:left="425" w:hanging="425"/>
        <w:jc w:val="center"/>
        <w:rPr>
          <w:rFonts w:ascii="Arial" w:hAnsi="Arial" w:cs="Arial"/>
          <w:bCs/>
          <w:szCs w:val="28"/>
        </w:rPr>
      </w:pPr>
    </w:p>
    <w:p w14:paraId="07E31C16">
      <w:pPr>
        <w:ind w:left="425" w:hanging="425"/>
        <w:jc w:val="center"/>
        <w:rPr>
          <w:rFonts w:ascii="Arial" w:hAnsi="Arial" w:cs="Arial"/>
          <w:bCs/>
          <w:szCs w:val="28"/>
        </w:rPr>
      </w:pPr>
    </w:p>
    <w:p w14:paraId="2EB93FA0">
      <w:pPr>
        <w:ind w:left="425" w:hanging="425"/>
        <w:jc w:val="center"/>
        <w:rPr>
          <w:rFonts w:ascii="Arial" w:hAnsi="Arial" w:cs="Arial"/>
          <w:bCs/>
          <w:szCs w:val="28"/>
        </w:rPr>
      </w:pPr>
    </w:p>
    <w:p w14:paraId="13CAA97B">
      <w:pPr>
        <w:ind w:left="425" w:hanging="425"/>
        <w:jc w:val="center"/>
        <w:rPr>
          <w:rFonts w:ascii="Arial" w:hAnsi="Arial" w:cs="Arial"/>
          <w:bCs/>
          <w:szCs w:val="28"/>
        </w:rPr>
      </w:pPr>
    </w:p>
    <w:p w14:paraId="60D48AAE">
      <w:pPr>
        <w:ind w:left="425" w:hanging="425"/>
        <w:jc w:val="center"/>
        <w:rPr>
          <w:rFonts w:ascii="Arial" w:hAnsi="Arial" w:cs="Arial"/>
          <w:bCs/>
          <w:szCs w:val="28"/>
        </w:rPr>
      </w:pPr>
      <w:r>
        <w:rPr>
          <w:rFonts w:ascii="Arial" w:hAnsi="Arial" w:cs="Arial"/>
          <w:bCs/>
          <w:szCs w:val="28"/>
        </w:rPr>
        <w:t>世界银行</w:t>
      </w:r>
    </w:p>
    <w:p w14:paraId="54D91B7D">
      <w:pPr>
        <w:ind w:left="425" w:hanging="425"/>
        <w:jc w:val="center"/>
        <w:rPr>
          <w:rFonts w:ascii="Arial" w:hAnsi="Arial" w:cs="Arial"/>
          <w:bCs/>
          <w:szCs w:val="28"/>
        </w:rPr>
      </w:pPr>
      <w:r>
        <w:rPr>
          <w:rFonts w:ascii="Arial" w:hAnsi="Arial" w:cs="Arial"/>
          <w:bCs/>
          <w:szCs w:val="28"/>
        </w:rPr>
        <w:t>2025年7月</w:t>
      </w:r>
      <w:r>
        <w:rPr>
          <w:rFonts w:hint="eastAsia" w:ascii="Arial" w:hAnsi="Arial" w:cs="Arial"/>
          <w:bCs/>
          <w:szCs w:val="28"/>
        </w:rPr>
        <w:t>23日</w:t>
      </w:r>
    </w:p>
    <w:p w14:paraId="280061EE">
      <w:pPr>
        <w:ind w:left="425" w:hanging="425"/>
        <w:jc w:val="center"/>
        <w:rPr>
          <w:rFonts w:ascii="Arial" w:hAnsi="Arial" w:cs="Arial"/>
          <w:bCs/>
          <w:szCs w:val="28"/>
        </w:rPr>
        <w:sectPr>
          <w:headerReference r:id="rId5" w:type="first"/>
          <w:footerReference r:id="rId7" w:type="first"/>
          <w:headerReference r:id="rId4" w:type="default"/>
          <w:footerReference r:id="rId6" w:type="default"/>
          <w:type w:val="continuous"/>
          <w:pgSz w:w="11906" w:h="16838"/>
          <w:pgMar w:top="1134" w:right="1134" w:bottom="1134" w:left="1134" w:header="851" w:footer="992" w:gutter="0"/>
          <w:cols w:space="425" w:num="1"/>
          <w:titlePg/>
          <w:docGrid w:type="lines" w:linePitch="312" w:charSpace="0"/>
        </w:sectPr>
      </w:pPr>
    </w:p>
    <w:p w14:paraId="31B9A0EF">
      <w:pPr>
        <w:jc w:val="center"/>
        <w:rPr>
          <w:rFonts w:ascii="Arial" w:hAnsi="Arial" w:cs="Arial"/>
          <w:bCs/>
          <w:szCs w:val="28"/>
        </w:rPr>
      </w:pPr>
    </w:p>
    <w:p w14:paraId="395FB084">
      <w:pPr>
        <w:jc w:val="center"/>
        <w:rPr>
          <w:rFonts w:ascii="Arial" w:hAnsi="Arial" w:cs="Arial"/>
          <w:b/>
          <w:bCs/>
          <w:color w:val="1F4E79" w:themeColor="accent5" w:themeShade="80"/>
          <w:sz w:val="28"/>
          <w:szCs w:val="32"/>
        </w:rPr>
      </w:pPr>
      <w:r>
        <w:rPr>
          <w:rFonts w:ascii="Arial" w:hAnsi="Arial" w:cs="Arial"/>
          <w:b/>
          <w:bCs/>
          <w:color w:val="1F4E79" w:themeColor="accent5" w:themeShade="80"/>
          <w:sz w:val="28"/>
          <w:szCs w:val="32"/>
        </w:rPr>
        <w:t>目  录</w:t>
      </w:r>
    </w:p>
    <w:p w14:paraId="27037A91">
      <w:pPr>
        <w:jc w:val="center"/>
        <w:rPr>
          <w:rFonts w:ascii="Arial" w:hAnsi="Arial" w:cs="Arial"/>
          <w:b/>
          <w:bCs/>
          <w:sz w:val="28"/>
          <w:szCs w:val="32"/>
        </w:rPr>
      </w:pPr>
    </w:p>
    <w:p w14:paraId="7D84447F">
      <w:pPr>
        <w:pStyle w:val="25"/>
        <w:rPr>
          <w:rFonts w:asciiTheme="minorHAnsi" w:hAnsiTheme="minorHAnsi" w:eastAsiaTheme="minorEastAsia" w:cstheme="minorBidi"/>
          <w:b w:val="0"/>
          <w:bCs w:val="0"/>
          <w:color w:val="auto"/>
          <w:kern w:val="2"/>
          <w:sz w:val="21"/>
          <w:szCs w:val="24"/>
        </w:rPr>
      </w:pPr>
      <w:r>
        <w:rPr>
          <w:rFonts w:cs="Arial"/>
          <w:b w:val="0"/>
          <w:bCs w:val="0"/>
          <w:sz w:val="28"/>
          <w:szCs w:val="32"/>
        </w:rPr>
        <w:fldChar w:fldCharType="begin"/>
      </w:r>
      <w:r>
        <w:rPr>
          <w:rFonts w:cs="Arial"/>
          <w:b w:val="0"/>
          <w:bCs w:val="0"/>
          <w:sz w:val="28"/>
          <w:szCs w:val="32"/>
        </w:rPr>
        <w:instrText xml:space="preserve"> TOC \o "1-3" \h \z \u </w:instrText>
      </w:r>
      <w:r>
        <w:rPr>
          <w:rFonts w:cs="Arial"/>
          <w:b w:val="0"/>
          <w:bCs w:val="0"/>
          <w:sz w:val="28"/>
          <w:szCs w:val="32"/>
        </w:rPr>
        <w:fldChar w:fldCharType="separate"/>
      </w:r>
      <w:r>
        <w:fldChar w:fldCharType="begin"/>
      </w:r>
      <w:r>
        <w:instrText xml:space="preserve"> HYPERLINK \l "_Toc119937270" </w:instrText>
      </w:r>
      <w:r>
        <w:fldChar w:fldCharType="separate"/>
      </w:r>
      <w:r>
        <w:rPr>
          <w:rStyle w:val="44"/>
          <w:rFonts w:cs="Arial"/>
        </w:rPr>
        <w:t>1.</w:t>
      </w:r>
      <w:r>
        <w:rPr>
          <w:rFonts w:asciiTheme="minorHAnsi" w:hAnsiTheme="minorHAnsi" w:eastAsiaTheme="minorEastAsia" w:cstheme="minorBidi"/>
          <w:b w:val="0"/>
          <w:bCs w:val="0"/>
          <w:color w:val="auto"/>
          <w:kern w:val="2"/>
          <w:sz w:val="21"/>
          <w:szCs w:val="24"/>
        </w:rPr>
        <w:tab/>
      </w:r>
      <w:r>
        <w:rPr>
          <w:rStyle w:val="44"/>
          <w:rFonts w:cs="Arial"/>
        </w:rPr>
        <w:t>前言</w:t>
      </w:r>
      <w:r>
        <w:tab/>
      </w:r>
      <w:r>
        <w:fldChar w:fldCharType="begin"/>
      </w:r>
      <w:r>
        <w:instrText xml:space="preserve"> PAGEREF _Toc119937270 \h </w:instrText>
      </w:r>
      <w:r>
        <w:fldChar w:fldCharType="separate"/>
      </w:r>
      <w:r>
        <w:t>1</w:t>
      </w:r>
      <w:r>
        <w:fldChar w:fldCharType="end"/>
      </w:r>
      <w:r>
        <w:fldChar w:fldCharType="end"/>
      </w:r>
    </w:p>
    <w:p w14:paraId="5644BEE3">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"_Toc119937271" </w:instrText>
      </w:r>
      <w:r>
        <w:fldChar w:fldCharType="separate"/>
      </w:r>
      <w:r>
        <w:rPr>
          <w:rStyle w:val="44"/>
          <w:rFonts w:cs="Arial"/>
        </w:rPr>
        <w:t>2.</w:t>
      </w:r>
      <w:r>
        <w:rPr>
          <w:rFonts w:asciiTheme="minorHAnsi" w:hAnsiTheme="minorHAnsi" w:eastAsiaTheme="minorEastAsia" w:cstheme="minorBidi"/>
          <w:b w:val="0"/>
          <w:bCs w:val="0"/>
          <w:color w:val="auto"/>
          <w:kern w:val="2"/>
          <w:sz w:val="21"/>
          <w:szCs w:val="24"/>
        </w:rPr>
        <w:tab/>
      </w:r>
      <w:r>
        <w:rPr>
          <w:rStyle w:val="44"/>
          <w:rFonts w:cs="Arial"/>
        </w:rPr>
        <w:t>项目概况</w:t>
      </w:r>
      <w:r>
        <w:tab/>
      </w:r>
      <w:r>
        <w:fldChar w:fldCharType="begin"/>
      </w:r>
      <w:r>
        <w:instrText xml:space="preserve"> PAGEREF _Toc119937271 \h </w:instrText>
      </w:r>
      <w:r>
        <w:fldChar w:fldCharType="separate"/>
      </w:r>
      <w:r>
        <w:t>3</w:t>
      </w:r>
      <w:r>
        <w:fldChar w:fldCharType="end"/>
      </w:r>
      <w:r>
        <w:fldChar w:fldCharType="end"/>
      </w:r>
    </w:p>
    <w:p w14:paraId="265BEE7F">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"_Toc119937272" </w:instrText>
      </w:r>
      <w:r>
        <w:fldChar w:fldCharType="separate"/>
      </w:r>
      <w:r>
        <w:rPr>
          <w:rStyle w:val="44"/>
        </w:rPr>
        <w:t>2.1</w:t>
      </w:r>
      <w:r>
        <w:rPr>
          <w:rFonts w:asciiTheme="minorHAnsi" w:hAnsiTheme="minorHAnsi" w:eastAsiaTheme="minorEastAsia" w:cstheme="minorBidi"/>
          <w:smallCaps w:val="0"/>
          <w:color w:val="auto"/>
          <w:kern w:val="2"/>
          <w:sz w:val="21"/>
          <w:szCs w:val="24"/>
        </w:rPr>
        <w:tab/>
      </w:r>
      <w:r>
        <w:rPr>
          <w:rStyle w:val="44"/>
        </w:rPr>
        <w:t xml:space="preserve"> 政府规划</w:t>
      </w:r>
      <w:r>
        <w:tab/>
      </w:r>
      <w:r>
        <w:fldChar w:fldCharType="begin"/>
      </w:r>
      <w:r>
        <w:instrText xml:space="preserve"> PAGEREF _Toc119937272 \h </w:instrText>
      </w:r>
      <w:r>
        <w:fldChar w:fldCharType="separate"/>
      </w:r>
      <w:r>
        <w:t>3</w:t>
      </w:r>
      <w:r>
        <w:fldChar w:fldCharType="end"/>
      </w:r>
      <w:r>
        <w:fldChar w:fldCharType="end"/>
      </w:r>
    </w:p>
    <w:p w14:paraId="2FD9446C">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"_Toc119937273" </w:instrText>
      </w:r>
      <w:r>
        <w:fldChar w:fldCharType="separate"/>
      </w:r>
      <w:r>
        <w:rPr>
          <w:rStyle w:val="44"/>
        </w:rPr>
        <w:t>2.2</w:t>
      </w:r>
      <w:r>
        <w:rPr>
          <w:rFonts w:asciiTheme="minorHAnsi" w:hAnsiTheme="minorHAnsi" w:eastAsiaTheme="minorEastAsia" w:cstheme="minorBidi"/>
          <w:smallCaps w:val="0"/>
          <w:color w:val="auto"/>
          <w:kern w:val="2"/>
          <w:sz w:val="21"/>
          <w:szCs w:val="24"/>
        </w:rPr>
        <w:tab/>
      </w:r>
      <w:r>
        <w:rPr>
          <w:rStyle w:val="44"/>
        </w:rPr>
        <w:t xml:space="preserve"> PforR项目</w:t>
      </w:r>
      <w:r>
        <w:tab/>
      </w:r>
      <w:r>
        <w:fldChar w:fldCharType="begin"/>
      </w:r>
      <w:r>
        <w:instrText xml:space="preserve"> PAGEREF _Toc119937273 \h </w:instrText>
      </w:r>
      <w:r>
        <w:fldChar w:fldCharType="separate"/>
      </w:r>
      <w:r>
        <w:t>3</w:t>
      </w:r>
      <w:r>
        <w:fldChar w:fldCharType="end"/>
      </w:r>
      <w:r>
        <w:fldChar w:fldCharType="end"/>
      </w:r>
    </w:p>
    <w:p w14:paraId="3D22A53F">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"_Toc119937274" </w:instrText>
      </w:r>
      <w:r>
        <w:fldChar w:fldCharType="separate"/>
      </w:r>
      <w:r>
        <w:rPr>
          <w:rStyle w:val="44"/>
        </w:rPr>
        <w:t>2.3</w:t>
      </w:r>
      <w:r>
        <w:rPr>
          <w:rFonts w:asciiTheme="minorHAnsi" w:hAnsiTheme="minorHAnsi" w:eastAsiaTheme="minorEastAsia" w:cstheme="minorBidi"/>
          <w:smallCaps w:val="0"/>
          <w:color w:val="auto"/>
          <w:kern w:val="2"/>
          <w:sz w:val="21"/>
          <w:szCs w:val="24"/>
        </w:rPr>
        <w:tab/>
      </w:r>
      <w:r>
        <w:rPr>
          <w:rStyle w:val="44"/>
        </w:rPr>
        <w:t xml:space="preserve"> 实施机构</w:t>
      </w:r>
      <w:r>
        <w:tab/>
      </w:r>
      <w:r>
        <w:fldChar w:fldCharType="begin"/>
      </w:r>
      <w:r>
        <w:instrText xml:space="preserve"> PAGEREF _Toc119937274 \h </w:instrText>
      </w:r>
      <w:r>
        <w:fldChar w:fldCharType="separate"/>
      </w:r>
      <w:r>
        <w:t>5</w:t>
      </w:r>
      <w:r>
        <w:fldChar w:fldCharType="end"/>
      </w:r>
      <w:r>
        <w:fldChar w:fldCharType="end"/>
      </w:r>
    </w:p>
    <w:p w14:paraId="752A3CB2">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"_Toc119937275" </w:instrText>
      </w:r>
      <w:r>
        <w:fldChar w:fldCharType="separate"/>
      </w:r>
      <w:r>
        <w:rPr>
          <w:rStyle w:val="44"/>
          <w:rFonts w:cs="Arial"/>
        </w:rPr>
        <w:t>3.</w:t>
      </w:r>
      <w:r>
        <w:rPr>
          <w:rFonts w:asciiTheme="minorHAnsi" w:hAnsiTheme="minorHAnsi" w:eastAsiaTheme="minorEastAsia" w:cstheme="minorBidi"/>
          <w:b w:val="0"/>
          <w:bCs w:val="0"/>
          <w:color w:val="auto"/>
          <w:kern w:val="2"/>
          <w:sz w:val="21"/>
          <w:szCs w:val="24"/>
        </w:rPr>
        <w:tab/>
      </w:r>
      <w:r>
        <w:rPr>
          <w:rStyle w:val="44"/>
          <w:rFonts w:cs="Arial"/>
        </w:rPr>
        <w:t>环境与社会影响分析</w:t>
      </w:r>
      <w:r>
        <w:tab/>
      </w:r>
      <w:r>
        <w:fldChar w:fldCharType="begin"/>
      </w:r>
      <w:r>
        <w:instrText xml:space="preserve"> PAGEREF _Toc119937275 \h </w:instrText>
      </w:r>
      <w:r>
        <w:fldChar w:fldCharType="separate"/>
      </w:r>
      <w:r>
        <w:t>6</w:t>
      </w:r>
      <w:r>
        <w:fldChar w:fldCharType="end"/>
      </w:r>
      <w:r>
        <w:fldChar w:fldCharType="end"/>
      </w:r>
    </w:p>
    <w:p w14:paraId="70677E8F">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"_Toc119937276" </w:instrText>
      </w:r>
      <w:r>
        <w:fldChar w:fldCharType="separate"/>
      </w:r>
      <w:r>
        <w:rPr>
          <w:rStyle w:val="44"/>
        </w:rPr>
        <w:t>3.1</w:t>
      </w:r>
      <w:r>
        <w:rPr>
          <w:rFonts w:asciiTheme="minorHAnsi" w:hAnsiTheme="minorHAnsi" w:eastAsiaTheme="minorEastAsia" w:cstheme="minorBidi"/>
          <w:smallCaps w:val="0"/>
          <w:color w:val="auto"/>
          <w:kern w:val="2"/>
          <w:sz w:val="21"/>
          <w:szCs w:val="24"/>
        </w:rPr>
        <w:tab/>
      </w:r>
      <w:r>
        <w:rPr>
          <w:rStyle w:val="44"/>
        </w:rPr>
        <w:t xml:space="preserve"> 排除清单</w:t>
      </w:r>
      <w:r>
        <w:tab/>
      </w:r>
      <w:r>
        <w:fldChar w:fldCharType="begin"/>
      </w:r>
      <w:r>
        <w:instrText xml:space="preserve"> PAGEREF _Toc119937276 \h </w:instrText>
      </w:r>
      <w:r>
        <w:fldChar w:fldCharType="separate"/>
      </w:r>
      <w:r>
        <w:t>6</w:t>
      </w:r>
      <w:r>
        <w:fldChar w:fldCharType="end"/>
      </w:r>
      <w:r>
        <w:fldChar w:fldCharType="end"/>
      </w:r>
    </w:p>
    <w:p w14:paraId="4D6F2491">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"_Toc119937277" </w:instrText>
      </w:r>
      <w:r>
        <w:fldChar w:fldCharType="separate"/>
      </w:r>
      <w:r>
        <w:rPr>
          <w:rStyle w:val="44"/>
        </w:rPr>
        <w:t>3.2</w:t>
      </w:r>
      <w:r>
        <w:rPr>
          <w:rFonts w:asciiTheme="minorHAnsi" w:hAnsiTheme="minorHAnsi" w:eastAsiaTheme="minorEastAsia" w:cstheme="minorBidi"/>
          <w:smallCaps w:val="0"/>
          <w:color w:val="auto"/>
          <w:kern w:val="2"/>
          <w:sz w:val="21"/>
          <w:szCs w:val="24"/>
        </w:rPr>
        <w:tab/>
      </w:r>
      <w:r>
        <w:rPr>
          <w:rStyle w:val="44"/>
        </w:rPr>
        <w:t xml:space="preserve"> 评价范围</w:t>
      </w:r>
      <w:r>
        <w:tab/>
      </w:r>
      <w:r>
        <w:fldChar w:fldCharType="begin"/>
      </w:r>
      <w:r>
        <w:instrText xml:space="preserve"> PAGEREF _Toc119937277 \h </w:instrText>
      </w:r>
      <w:r>
        <w:fldChar w:fldCharType="separate"/>
      </w:r>
      <w:r>
        <w:t>6</w:t>
      </w:r>
      <w:r>
        <w:fldChar w:fldCharType="end"/>
      </w:r>
      <w:r>
        <w:fldChar w:fldCharType="end"/>
      </w:r>
    </w:p>
    <w:p w14:paraId="3BDAA8D1">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"_Toc119937278" </w:instrText>
      </w:r>
      <w:r>
        <w:fldChar w:fldCharType="separate"/>
      </w:r>
      <w:r>
        <w:rPr>
          <w:rStyle w:val="44"/>
        </w:rPr>
        <w:t>3</w:t>
      </w:r>
      <w:r>
        <w:rPr>
          <w:rStyle w:val="44"/>
          <w:lang w:val="en-GB"/>
        </w:rPr>
        <w:t>.3</w:t>
      </w:r>
      <w:r>
        <w:rPr>
          <w:rFonts w:asciiTheme="minorHAnsi" w:hAnsiTheme="minorHAnsi" w:eastAsiaTheme="minorEastAsia" w:cstheme="minorBidi"/>
          <w:smallCaps w:val="0"/>
          <w:color w:val="auto"/>
          <w:kern w:val="2"/>
          <w:sz w:val="21"/>
          <w:szCs w:val="24"/>
        </w:rPr>
        <w:tab/>
      </w:r>
      <w:r>
        <w:rPr>
          <w:rStyle w:val="44"/>
          <w:lang w:val="en-GB"/>
        </w:rPr>
        <w:t xml:space="preserve"> </w:t>
      </w:r>
      <w:r>
        <w:rPr>
          <w:rStyle w:val="44"/>
        </w:rPr>
        <w:t>环境与社会效益</w:t>
      </w:r>
      <w:r>
        <w:tab/>
      </w:r>
      <w:r>
        <w:fldChar w:fldCharType="begin"/>
      </w:r>
      <w:r>
        <w:instrText xml:space="preserve"> PAGEREF _Toc119937278 \h </w:instrText>
      </w:r>
      <w:r>
        <w:fldChar w:fldCharType="separate"/>
      </w:r>
      <w:r>
        <w:t>7</w:t>
      </w:r>
      <w:r>
        <w:fldChar w:fldCharType="end"/>
      </w:r>
      <w:r>
        <w:fldChar w:fldCharType="end"/>
      </w:r>
    </w:p>
    <w:p w14:paraId="4E8B211B">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"_Toc119937279" </w:instrText>
      </w:r>
      <w:r>
        <w:fldChar w:fldCharType="separate"/>
      </w:r>
      <w:r>
        <w:rPr>
          <w:rStyle w:val="44"/>
        </w:rPr>
        <w:t>3.4</w:t>
      </w:r>
      <w:r>
        <w:rPr>
          <w:rFonts w:asciiTheme="minorHAnsi" w:hAnsiTheme="minorHAnsi" w:eastAsiaTheme="minorEastAsia" w:cstheme="minorBidi"/>
          <w:smallCaps w:val="0"/>
          <w:color w:val="auto"/>
          <w:kern w:val="2"/>
          <w:sz w:val="21"/>
          <w:szCs w:val="24"/>
        </w:rPr>
        <w:tab/>
      </w:r>
      <w:r>
        <w:rPr>
          <w:rStyle w:val="44"/>
        </w:rPr>
        <w:t xml:space="preserve"> 环境与社会影响</w:t>
      </w:r>
      <w:r>
        <w:tab/>
      </w:r>
      <w:r>
        <w:fldChar w:fldCharType="begin"/>
      </w:r>
      <w:r>
        <w:instrText xml:space="preserve"> PAGEREF _Toc119937279 \h </w:instrText>
      </w:r>
      <w:r>
        <w:fldChar w:fldCharType="separate"/>
      </w:r>
      <w:r>
        <w:t>7</w:t>
      </w:r>
      <w:r>
        <w:fldChar w:fldCharType="end"/>
      </w:r>
      <w:r>
        <w:fldChar w:fldCharType="end"/>
      </w:r>
    </w:p>
    <w:p w14:paraId="4A81F814">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"_Toc119937280" </w:instrText>
      </w:r>
      <w:r>
        <w:fldChar w:fldCharType="separate"/>
      </w:r>
      <w:r>
        <w:rPr>
          <w:rStyle w:val="44"/>
        </w:rPr>
        <w:t>3.5</w:t>
      </w:r>
      <w:r>
        <w:rPr>
          <w:rFonts w:asciiTheme="minorHAnsi" w:hAnsiTheme="minorHAnsi" w:eastAsiaTheme="minorEastAsia" w:cstheme="minorBidi"/>
          <w:smallCaps w:val="0"/>
          <w:color w:val="auto"/>
          <w:kern w:val="2"/>
          <w:sz w:val="21"/>
          <w:szCs w:val="24"/>
        </w:rPr>
        <w:tab/>
      </w:r>
      <w:r>
        <w:rPr>
          <w:rStyle w:val="44"/>
        </w:rPr>
        <w:t xml:space="preserve"> 环境与社会风险评级</w:t>
      </w:r>
      <w:r>
        <w:tab/>
      </w:r>
      <w:r>
        <w:fldChar w:fldCharType="begin"/>
      </w:r>
      <w:r>
        <w:instrText xml:space="preserve"> PAGEREF _Toc119937280 \h </w:instrText>
      </w:r>
      <w:r>
        <w:fldChar w:fldCharType="separate"/>
      </w:r>
      <w:r>
        <w:t>10</w:t>
      </w:r>
      <w:r>
        <w:fldChar w:fldCharType="end"/>
      </w:r>
      <w:r>
        <w:fldChar w:fldCharType="end"/>
      </w:r>
    </w:p>
    <w:p w14:paraId="7716E6FC">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"_Toc119937281" </w:instrText>
      </w:r>
      <w:r>
        <w:fldChar w:fldCharType="separate"/>
      </w:r>
      <w:r>
        <w:rPr>
          <w:rStyle w:val="44"/>
          <w:rFonts w:cs="Arial"/>
        </w:rPr>
        <w:t>4.</w:t>
      </w:r>
      <w:r>
        <w:rPr>
          <w:rFonts w:asciiTheme="minorHAnsi" w:hAnsiTheme="minorHAnsi" w:eastAsiaTheme="minorEastAsia" w:cstheme="minorBidi"/>
          <w:b w:val="0"/>
          <w:bCs w:val="0"/>
          <w:color w:val="auto"/>
          <w:kern w:val="2"/>
          <w:sz w:val="21"/>
          <w:szCs w:val="24"/>
        </w:rPr>
        <w:tab/>
      </w:r>
      <w:r>
        <w:rPr>
          <w:rStyle w:val="44"/>
          <w:rFonts w:cs="Arial"/>
        </w:rPr>
        <w:t>环境管理系统评价</w:t>
      </w:r>
      <w:r>
        <w:tab/>
      </w:r>
      <w:r>
        <w:fldChar w:fldCharType="begin"/>
      </w:r>
      <w:r>
        <w:instrText xml:space="preserve"> PAGEREF _Toc119937281 \h </w:instrText>
      </w:r>
      <w:r>
        <w:fldChar w:fldCharType="separate"/>
      </w:r>
      <w:r>
        <w:t>12</w:t>
      </w:r>
      <w:r>
        <w:fldChar w:fldCharType="end"/>
      </w:r>
      <w:r>
        <w:fldChar w:fldCharType="end"/>
      </w:r>
    </w:p>
    <w:p w14:paraId="44A85BF1">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"_Toc119937282" </w:instrText>
      </w:r>
      <w:r>
        <w:fldChar w:fldCharType="separate"/>
      </w:r>
      <w:r>
        <w:rPr>
          <w:rStyle w:val="44"/>
        </w:rPr>
        <w:t>4.1</w:t>
      </w:r>
      <w:r>
        <w:rPr>
          <w:rFonts w:asciiTheme="minorHAnsi" w:hAnsiTheme="minorHAnsi" w:eastAsiaTheme="minorEastAsia" w:cstheme="minorBidi"/>
          <w:smallCaps w:val="0"/>
          <w:color w:val="auto"/>
          <w:kern w:val="2"/>
          <w:sz w:val="21"/>
          <w:szCs w:val="24"/>
        </w:rPr>
        <w:tab/>
      </w:r>
      <w:r>
        <w:rPr>
          <w:rStyle w:val="44"/>
        </w:rPr>
        <w:t>总体原则</w:t>
      </w:r>
      <w:r>
        <w:tab/>
      </w:r>
      <w:r>
        <w:fldChar w:fldCharType="begin"/>
      </w:r>
      <w:r>
        <w:instrText xml:space="preserve"> PAGEREF _Toc119937282 \h </w:instrText>
      </w:r>
      <w:r>
        <w:fldChar w:fldCharType="separate"/>
      </w:r>
      <w:r>
        <w:t>12</w:t>
      </w:r>
      <w:r>
        <w:fldChar w:fldCharType="end"/>
      </w:r>
      <w:r>
        <w:fldChar w:fldCharType="end"/>
      </w:r>
    </w:p>
    <w:p w14:paraId="09DBF2E9">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"_Toc119937283" </w:instrText>
      </w:r>
      <w:r>
        <w:fldChar w:fldCharType="separate"/>
      </w:r>
      <w:r>
        <w:rPr>
          <w:rStyle w:val="44"/>
        </w:rPr>
        <w:t>4.2</w:t>
      </w:r>
      <w:r>
        <w:rPr>
          <w:rFonts w:asciiTheme="minorHAnsi" w:hAnsiTheme="minorHAnsi" w:eastAsiaTheme="minorEastAsia" w:cstheme="minorBidi"/>
          <w:smallCaps w:val="0"/>
          <w:color w:val="auto"/>
          <w:kern w:val="2"/>
          <w:sz w:val="21"/>
          <w:szCs w:val="24"/>
        </w:rPr>
        <w:tab/>
      </w:r>
      <w:r>
        <w:rPr>
          <w:rStyle w:val="44"/>
        </w:rPr>
        <w:t>环评与事中事后监管体系</w:t>
      </w:r>
      <w:r>
        <w:tab/>
      </w:r>
      <w:r>
        <w:fldChar w:fldCharType="begin"/>
      </w:r>
      <w:r>
        <w:instrText xml:space="preserve"> PAGEREF _Toc119937283 \h </w:instrText>
      </w:r>
      <w:r>
        <w:fldChar w:fldCharType="separate"/>
      </w:r>
      <w:r>
        <w:t>13</w:t>
      </w:r>
      <w:r>
        <w:fldChar w:fldCharType="end"/>
      </w:r>
      <w:r>
        <w:fldChar w:fldCharType="end"/>
      </w:r>
    </w:p>
    <w:p w14:paraId="56029DA0">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"_Toc119937284" </w:instrText>
      </w:r>
      <w:r>
        <w:fldChar w:fldCharType="separate"/>
      </w:r>
      <w:r>
        <w:rPr>
          <w:rStyle w:val="44"/>
        </w:rPr>
        <w:t>4.3</w:t>
      </w:r>
      <w:r>
        <w:rPr>
          <w:rFonts w:asciiTheme="minorHAnsi" w:hAnsiTheme="minorHAnsi" w:eastAsiaTheme="minorEastAsia" w:cstheme="minorBidi"/>
          <w:smallCaps w:val="0"/>
          <w:color w:val="auto"/>
          <w:kern w:val="2"/>
          <w:sz w:val="21"/>
          <w:szCs w:val="24"/>
        </w:rPr>
        <w:tab/>
      </w:r>
      <w:r>
        <w:rPr>
          <w:rStyle w:val="44"/>
        </w:rPr>
        <w:t>污染防治系统</w:t>
      </w:r>
      <w:r>
        <w:tab/>
      </w:r>
      <w:r>
        <w:fldChar w:fldCharType="begin"/>
      </w:r>
      <w:r>
        <w:instrText xml:space="preserve"> PAGEREF _Toc119937284 \h </w:instrText>
      </w:r>
      <w:r>
        <w:fldChar w:fldCharType="separate"/>
      </w:r>
      <w:r>
        <w:t>17</w:t>
      </w:r>
      <w:r>
        <w:fldChar w:fldCharType="end"/>
      </w:r>
      <w:r>
        <w:fldChar w:fldCharType="end"/>
      </w:r>
    </w:p>
    <w:p w14:paraId="3D65D9D1">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"_Toc119937285" </w:instrText>
      </w:r>
      <w:r>
        <w:fldChar w:fldCharType="separate"/>
      </w:r>
      <w:r>
        <w:rPr>
          <w:rStyle w:val="44"/>
          <w:rFonts w:cs="Arial"/>
          <w:lang w:val="en-GB"/>
        </w:rPr>
        <w:t>4.3.1</w:t>
      </w:r>
      <w:r>
        <w:rPr>
          <w:rFonts w:asciiTheme="minorHAnsi" w:hAnsiTheme="minorHAnsi" w:eastAsiaTheme="minorEastAsia" w:cstheme="minorBidi"/>
          <w:iCs w:val="0"/>
          <w:color w:val="auto"/>
          <w:kern w:val="2"/>
          <w:sz w:val="21"/>
          <w:szCs w:val="24"/>
        </w:rPr>
        <w:tab/>
      </w:r>
      <w:r>
        <w:rPr>
          <w:rStyle w:val="44"/>
          <w:rFonts w:cs="Arial"/>
          <w:lang w:val="en-GB"/>
        </w:rPr>
        <w:t>化肥管理</w:t>
      </w:r>
      <w:r>
        <w:tab/>
      </w:r>
      <w:r>
        <w:fldChar w:fldCharType="begin"/>
      </w:r>
      <w:r>
        <w:instrText xml:space="preserve"> PAGEREF _Toc119937285 \h </w:instrText>
      </w:r>
      <w:r>
        <w:fldChar w:fldCharType="separate"/>
      </w:r>
      <w:r>
        <w:t>18</w:t>
      </w:r>
      <w:r>
        <w:fldChar w:fldCharType="end"/>
      </w:r>
      <w:r>
        <w:fldChar w:fldCharType="end"/>
      </w:r>
    </w:p>
    <w:p w14:paraId="076206D6">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"_Toc119937286" </w:instrText>
      </w:r>
      <w:r>
        <w:fldChar w:fldCharType="separate"/>
      </w:r>
      <w:r>
        <w:rPr>
          <w:rStyle w:val="44"/>
          <w:rFonts w:cs="Arial"/>
          <w:lang w:val="en-GB"/>
        </w:rPr>
        <w:t>4.3.2</w:t>
      </w:r>
      <w:r>
        <w:rPr>
          <w:rFonts w:asciiTheme="minorHAnsi" w:hAnsiTheme="minorHAnsi" w:eastAsiaTheme="minorEastAsia" w:cstheme="minorBidi"/>
          <w:iCs w:val="0"/>
          <w:color w:val="auto"/>
          <w:kern w:val="2"/>
          <w:sz w:val="21"/>
          <w:szCs w:val="24"/>
        </w:rPr>
        <w:tab/>
      </w:r>
      <w:r>
        <w:rPr>
          <w:rStyle w:val="44"/>
          <w:rFonts w:cs="Arial"/>
          <w:lang w:val="en-GB"/>
        </w:rPr>
        <w:t>农药管理</w:t>
      </w:r>
      <w:r>
        <w:tab/>
      </w:r>
      <w:r>
        <w:fldChar w:fldCharType="begin"/>
      </w:r>
      <w:r>
        <w:instrText xml:space="preserve"> PAGEREF _Toc119937286 \h </w:instrText>
      </w:r>
      <w:r>
        <w:fldChar w:fldCharType="separate"/>
      </w:r>
      <w:r>
        <w:t>19</w:t>
      </w:r>
      <w:r>
        <w:fldChar w:fldCharType="end"/>
      </w:r>
      <w:r>
        <w:fldChar w:fldCharType="end"/>
      </w:r>
    </w:p>
    <w:p w14:paraId="56AD0666">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"_Toc119937287" </w:instrText>
      </w:r>
      <w:r>
        <w:fldChar w:fldCharType="separate"/>
      </w:r>
      <w:r>
        <w:rPr>
          <w:rStyle w:val="44"/>
          <w:rFonts w:cs="Arial"/>
          <w:lang w:val="en-GB"/>
        </w:rPr>
        <w:t>4.3.3</w:t>
      </w:r>
      <w:r>
        <w:rPr>
          <w:rFonts w:asciiTheme="minorHAnsi" w:hAnsiTheme="minorHAnsi" w:eastAsiaTheme="minorEastAsia" w:cstheme="minorBidi"/>
          <w:iCs w:val="0"/>
          <w:color w:val="auto"/>
          <w:kern w:val="2"/>
          <w:sz w:val="21"/>
          <w:szCs w:val="24"/>
        </w:rPr>
        <w:tab/>
      </w:r>
      <w:r>
        <w:rPr>
          <w:rStyle w:val="44"/>
          <w:rFonts w:cs="Arial"/>
          <w:lang w:val="en-GB"/>
        </w:rPr>
        <w:t>畜禽养殖污染防治</w:t>
      </w:r>
      <w:r>
        <w:tab/>
      </w:r>
      <w:r>
        <w:fldChar w:fldCharType="begin"/>
      </w:r>
      <w:r>
        <w:instrText xml:space="preserve"> PAGEREF _Toc119937287 \h </w:instrText>
      </w:r>
      <w:r>
        <w:fldChar w:fldCharType="separate"/>
      </w:r>
      <w:r>
        <w:t>20</w:t>
      </w:r>
      <w:r>
        <w:fldChar w:fldCharType="end"/>
      </w:r>
      <w:r>
        <w:fldChar w:fldCharType="end"/>
      </w:r>
    </w:p>
    <w:p w14:paraId="46DB5BE8">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"_Toc119937288" </w:instrText>
      </w:r>
      <w:r>
        <w:fldChar w:fldCharType="separate"/>
      </w:r>
      <w:r>
        <w:rPr>
          <w:rStyle w:val="44"/>
          <w:rFonts w:cs="Arial"/>
          <w:lang w:val="en-GB"/>
        </w:rPr>
        <w:t>4.3.4</w:t>
      </w:r>
      <w:r>
        <w:rPr>
          <w:rFonts w:asciiTheme="minorHAnsi" w:hAnsiTheme="minorHAnsi" w:eastAsiaTheme="minorEastAsia" w:cstheme="minorBidi"/>
          <w:iCs w:val="0"/>
          <w:color w:val="auto"/>
          <w:kern w:val="2"/>
          <w:sz w:val="21"/>
          <w:szCs w:val="24"/>
        </w:rPr>
        <w:tab/>
      </w:r>
      <w:r>
        <w:rPr>
          <w:rStyle w:val="44"/>
          <w:rFonts w:cs="Arial"/>
          <w:lang w:val="en-GB"/>
        </w:rPr>
        <w:t>水产养殖污染防治</w:t>
      </w:r>
      <w:r>
        <w:tab/>
      </w:r>
      <w:r>
        <w:fldChar w:fldCharType="begin"/>
      </w:r>
      <w:r>
        <w:instrText xml:space="preserve"> PAGEREF _Toc119937288 \h </w:instrText>
      </w:r>
      <w:r>
        <w:fldChar w:fldCharType="separate"/>
      </w:r>
      <w:r>
        <w:t>22</w:t>
      </w:r>
      <w:r>
        <w:fldChar w:fldCharType="end"/>
      </w:r>
      <w:r>
        <w:fldChar w:fldCharType="end"/>
      </w:r>
    </w:p>
    <w:p w14:paraId="6861BFDA">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"_Toc119937289" </w:instrText>
      </w:r>
      <w:r>
        <w:fldChar w:fldCharType="separate"/>
      </w:r>
      <w:r>
        <w:rPr>
          <w:rStyle w:val="44"/>
          <w:rFonts w:cs="Arial"/>
          <w:lang w:val="en-GB"/>
        </w:rPr>
        <w:t>4.3.5</w:t>
      </w:r>
      <w:r>
        <w:rPr>
          <w:rFonts w:asciiTheme="minorHAnsi" w:hAnsiTheme="minorHAnsi" w:eastAsiaTheme="minorEastAsia" w:cstheme="minorBidi"/>
          <w:iCs w:val="0"/>
          <w:color w:val="auto"/>
          <w:kern w:val="2"/>
          <w:sz w:val="21"/>
          <w:szCs w:val="24"/>
        </w:rPr>
        <w:tab/>
      </w:r>
      <w:r>
        <w:rPr>
          <w:rStyle w:val="44"/>
          <w:rFonts w:cs="Arial"/>
          <w:lang w:val="en-GB"/>
        </w:rPr>
        <w:t>农村生活污水管理</w:t>
      </w:r>
      <w:r>
        <w:tab/>
      </w:r>
      <w:r>
        <w:fldChar w:fldCharType="begin"/>
      </w:r>
      <w:r>
        <w:instrText xml:space="preserve"> PAGEREF _Toc119937289 \h </w:instrText>
      </w:r>
      <w:r>
        <w:fldChar w:fldCharType="separate"/>
      </w:r>
      <w:r>
        <w:t>22</w:t>
      </w:r>
      <w:r>
        <w:fldChar w:fldCharType="end"/>
      </w:r>
      <w:r>
        <w:fldChar w:fldCharType="end"/>
      </w:r>
    </w:p>
    <w:p w14:paraId="0909EF9B">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"_Toc119937290" </w:instrText>
      </w:r>
      <w:r>
        <w:fldChar w:fldCharType="separate"/>
      </w:r>
      <w:r>
        <w:rPr>
          <w:rStyle w:val="44"/>
          <w:rFonts w:cs="Arial"/>
          <w:lang w:val="en-GB"/>
        </w:rPr>
        <w:t>4.3.6</w:t>
      </w:r>
      <w:r>
        <w:rPr>
          <w:rFonts w:asciiTheme="minorHAnsi" w:hAnsiTheme="minorHAnsi" w:eastAsiaTheme="minorEastAsia" w:cstheme="minorBidi"/>
          <w:iCs w:val="0"/>
          <w:color w:val="auto"/>
          <w:kern w:val="2"/>
          <w:sz w:val="21"/>
          <w:szCs w:val="24"/>
        </w:rPr>
        <w:tab/>
      </w:r>
      <w:r>
        <w:rPr>
          <w:rStyle w:val="44"/>
          <w:rFonts w:cs="Arial"/>
          <w:lang w:val="en-GB"/>
        </w:rPr>
        <w:t>农村生活垃圾管理</w:t>
      </w:r>
      <w:r>
        <w:tab/>
      </w:r>
      <w:r>
        <w:fldChar w:fldCharType="begin"/>
      </w:r>
      <w:r>
        <w:instrText xml:space="preserve"> PAGEREF _Toc119937290 \h </w:instrText>
      </w:r>
      <w:r>
        <w:fldChar w:fldCharType="separate"/>
      </w:r>
      <w:r>
        <w:t>24</w:t>
      </w:r>
      <w:r>
        <w:fldChar w:fldCharType="end"/>
      </w:r>
      <w:r>
        <w:fldChar w:fldCharType="end"/>
      </w:r>
    </w:p>
    <w:p w14:paraId="5D39C5E1">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"_Toc119937291" </w:instrText>
      </w:r>
      <w:r>
        <w:fldChar w:fldCharType="separate"/>
      </w:r>
      <w:r>
        <w:rPr>
          <w:rStyle w:val="44"/>
          <w:rFonts w:cs="Arial"/>
          <w:lang w:val="en-GB"/>
        </w:rPr>
        <w:t>4.3.7</w:t>
      </w:r>
      <w:r>
        <w:rPr>
          <w:rFonts w:asciiTheme="minorHAnsi" w:hAnsiTheme="minorHAnsi" w:eastAsiaTheme="minorEastAsia" w:cstheme="minorBidi"/>
          <w:iCs w:val="0"/>
          <w:color w:val="auto"/>
          <w:kern w:val="2"/>
          <w:sz w:val="21"/>
          <w:szCs w:val="24"/>
        </w:rPr>
        <w:tab/>
      </w:r>
      <w:r>
        <w:rPr>
          <w:rStyle w:val="44"/>
          <w:rFonts w:cs="Arial"/>
          <w:lang w:val="en-GB"/>
        </w:rPr>
        <w:t>污染土地修复</w:t>
      </w:r>
      <w:r>
        <w:tab/>
      </w:r>
      <w:r>
        <w:fldChar w:fldCharType="begin"/>
      </w:r>
      <w:r>
        <w:instrText xml:space="preserve"> PAGEREF _Toc119937291 \h </w:instrText>
      </w:r>
      <w:r>
        <w:fldChar w:fldCharType="separate"/>
      </w:r>
      <w:r>
        <w:t>25</w:t>
      </w:r>
      <w:r>
        <w:fldChar w:fldCharType="end"/>
      </w:r>
      <w:r>
        <w:fldChar w:fldCharType="end"/>
      </w:r>
    </w:p>
    <w:p w14:paraId="0C6927E7">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"_Toc119937292" </w:instrText>
      </w:r>
      <w:r>
        <w:fldChar w:fldCharType="separate"/>
      </w:r>
      <w:r>
        <w:rPr>
          <w:rStyle w:val="44"/>
        </w:rPr>
        <w:t>4.4</w:t>
      </w:r>
      <w:r>
        <w:rPr>
          <w:rFonts w:asciiTheme="minorHAnsi" w:hAnsiTheme="minorHAnsi" w:eastAsiaTheme="minorEastAsia" w:cstheme="minorBidi"/>
          <w:smallCaps w:val="0"/>
          <w:color w:val="auto"/>
          <w:kern w:val="2"/>
          <w:sz w:val="21"/>
          <w:szCs w:val="24"/>
        </w:rPr>
        <w:tab/>
      </w:r>
      <w:r>
        <w:rPr>
          <w:rStyle w:val="44"/>
        </w:rPr>
        <w:t>生态环境保护体系</w:t>
      </w:r>
      <w:r>
        <w:tab/>
      </w:r>
      <w:r>
        <w:fldChar w:fldCharType="begin"/>
      </w:r>
      <w:r>
        <w:instrText xml:space="preserve"> PAGEREF _Toc119937292 \h </w:instrText>
      </w:r>
      <w:r>
        <w:fldChar w:fldCharType="separate"/>
      </w:r>
      <w:r>
        <w:t>26</w:t>
      </w:r>
      <w:r>
        <w:fldChar w:fldCharType="end"/>
      </w:r>
      <w:r>
        <w:fldChar w:fldCharType="end"/>
      </w:r>
    </w:p>
    <w:p w14:paraId="392C7042">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"_Toc119937293" </w:instrText>
      </w:r>
      <w:r>
        <w:fldChar w:fldCharType="separate"/>
      </w:r>
      <w:r>
        <w:rPr>
          <w:rStyle w:val="44"/>
        </w:rPr>
        <w:t>4.5</w:t>
      </w:r>
      <w:r>
        <w:rPr>
          <w:rFonts w:asciiTheme="minorHAnsi" w:hAnsiTheme="minorHAnsi" w:eastAsiaTheme="minorEastAsia" w:cstheme="minorBidi"/>
          <w:smallCaps w:val="0"/>
          <w:color w:val="auto"/>
          <w:kern w:val="2"/>
          <w:sz w:val="21"/>
          <w:szCs w:val="24"/>
        </w:rPr>
        <w:tab/>
      </w:r>
      <w:r>
        <w:rPr>
          <w:rStyle w:val="44"/>
        </w:rPr>
        <w:t>健康与安全管理系统</w:t>
      </w:r>
      <w:r>
        <w:tab/>
      </w:r>
      <w:r>
        <w:fldChar w:fldCharType="begin"/>
      </w:r>
      <w:r>
        <w:instrText xml:space="preserve"> PAGEREF _Toc119937293 \h </w:instrText>
      </w:r>
      <w:r>
        <w:fldChar w:fldCharType="separate"/>
      </w:r>
      <w:r>
        <w:t>28</w:t>
      </w:r>
      <w:r>
        <w:fldChar w:fldCharType="end"/>
      </w:r>
      <w:r>
        <w:fldChar w:fldCharType="end"/>
      </w:r>
    </w:p>
    <w:p w14:paraId="78DB5550">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"_Toc119937294" </w:instrText>
      </w:r>
      <w:r>
        <w:fldChar w:fldCharType="separate"/>
      </w:r>
      <w:r>
        <w:rPr>
          <w:rStyle w:val="44"/>
        </w:rPr>
        <w:t>4.6</w:t>
      </w:r>
      <w:r>
        <w:rPr>
          <w:rFonts w:asciiTheme="minorHAnsi" w:hAnsiTheme="minorHAnsi" w:eastAsiaTheme="minorEastAsia" w:cstheme="minorBidi"/>
          <w:smallCaps w:val="0"/>
          <w:color w:val="auto"/>
          <w:kern w:val="2"/>
          <w:sz w:val="21"/>
          <w:szCs w:val="24"/>
        </w:rPr>
        <w:tab/>
      </w:r>
      <w:r>
        <w:rPr>
          <w:rStyle w:val="44"/>
        </w:rPr>
        <w:t>世行环境原则符合性分析</w:t>
      </w:r>
      <w:r>
        <w:tab/>
      </w:r>
      <w:r>
        <w:fldChar w:fldCharType="begin"/>
      </w:r>
      <w:r>
        <w:instrText xml:space="preserve"> PAGEREF _Toc119937294 \h </w:instrText>
      </w:r>
      <w:r>
        <w:fldChar w:fldCharType="separate"/>
      </w:r>
      <w:r>
        <w:t>29</w:t>
      </w:r>
      <w:r>
        <w:fldChar w:fldCharType="end"/>
      </w:r>
      <w:r>
        <w:fldChar w:fldCharType="end"/>
      </w:r>
    </w:p>
    <w:p w14:paraId="1164C6E4">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"_Toc119937295" </w:instrText>
      </w:r>
      <w:r>
        <w:fldChar w:fldCharType="separate"/>
      </w:r>
      <w:r>
        <w:rPr>
          <w:rStyle w:val="44"/>
          <w:rFonts w:cs="Arial"/>
        </w:rPr>
        <w:t>5.</w:t>
      </w:r>
      <w:r>
        <w:rPr>
          <w:rFonts w:asciiTheme="minorHAnsi" w:hAnsiTheme="minorHAnsi" w:eastAsiaTheme="minorEastAsia" w:cstheme="minorBidi"/>
          <w:b w:val="0"/>
          <w:bCs w:val="0"/>
          <w:color w:val="auto"/>
          <w:kern w:val="2"/>
          <w:sz w:val="21"/>
          <w:szCs w:val="24"/>
        </w:rPr>
        <w:tab/>
      </w:r>
      <w:r>
        <w:rPr>
          <w:rStyle w:val="44"/>
          <w:rFonts w:cs="Arial"/>
        </w:rPr>
        <w:t>社会管理系统评价</w:t>
      </w:r>
      <w:r>
        <w:tab/>
      </w:r>
      <w:r>
        <w:fldChar w:fldCharType="begin"/>
      </w:r>
      <w:r>
        <w:instrText xml:space="preserve"> PAGEREF _Toc119937295 \h </w:instrText>
      </w:r>
      <w:r>
        <w:fldChar w:fldCharType="separate"/>
      </w:r>
      <w:r>
        <w:t>31</w:t>
      </w:r>
      <w:r>
        <w:fldChar w:fldCharType="end"/>
      </w:r>
      <w:r>
        <w:fldChar w:fldCharType="end"/>
      </w:r>
    </w:p>
    <w:p w14:paraId="622ED0CC">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"_Toc119937296" </w:instrText>
      </w:r>
      <w:r>
        <w:fldChar w:fldCharType="separate"/>
      </w:r>
      <w:r>
        <w:rPr>
          <w:rStyle w:val="44"/>
        </w:rPr>
        <w:t>5.1.</w:t>
      </w:r>
      <w:r>
        <w:rPr>
          <w:rFonts w:asciiTheme="minorHAnsi" w:hAnsiTheme="minorHAnsi" w:eastAsiaTheme="minorEastAsia" w:cstheme="minorBidi"/>
          <w:smallCaps w:val="0"/>
          <w:color w:val="auto"/>
          <w:kern w:val="2"/>
          <w:sz w:val="21"/>
          <w:szCs w:val="24"/>
        </w:rPr>
        <w:tab/>
      </w:r>
      <w:r>
        <w:rPr>
          <w:rStyle w:val="44"/>
        </w:rPr>
        <w:t>世行原则相关性分析</w:t>
      </w:r>
      <w:r>
        <w:tab/>
      </w:r>
      <w:r>
        <w:fldChar w:fldCharType="begin"/>
      </w:r>
      <w:r>
        <w:instrText xml:space="preserve"> PAGEREF _Toc119937296 \h </w:instrText>
      </w:r>
      <w:r>
        <w:fldChar w:fldCharType="separate"/>
      </w:r>
      <w:r>
        <w:t>31</w:t>
      </w:r>
      <w:r>
        <w:fldChar w:fldCharType="end"/>
      </w:r>
      <w:r>
        <w:fldChar w:fldCharType="end"/>
      </w:r>
    </w:p>
    <w:p w14:paraId="390D1640">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"_Toc119937297" </w:instrText>
      </w:r>
      <w:r>
        <w:fldChar w:fldCharType="separate"/>
      </w:r>
      <w:r>
        <w:rPr>
          <w:rStyle w:val="44"/>
        </w:rPr>
        <w:t>5.2.</w:t>
      </w:r>
      <w:r>
        <w:rPr>
          <w:rFonts w:asciiTheme="minorHAnsi" w:hAnsiTheme="minorHAnsi" w:eastAsiaTheme="minorEastAsia" w:cstheme="minorBidi"/>
          <w:smallCaps w:val="0"/>
          <w:color w:val="auto"/>
          <w:kern w:val="2"/>
          <w:sz w:val="21"/>
          <w:szCs w:val="24"/>
        </w:rPr>
        <w:tab/>
      </w:r>
      <w:r>
        <w:rPr>
          <w:rStyle w:val="44"/>
        </w:rPr>
        <w:t>社会法规政策评估</w:t>
      </w:r>
      <w:r>
        <w:tab/>
      </w:r>
      <w:r>
        <w:fldChar w:fldCharType="begin"/>
      </w:r>
      <w:r>
        <w:instrText xml:space="preserve"> PAGEREF _Toc119937297 \h </w:instrText>
      </w:r>
      <w:r>
        <w:fldChar w:fldCharType="separate"/>
      </w:r>
      <w:r>
        <w:t>34</w:t>
      </w:r>
      <w:r>
        <w:fldChar w:fldCharType="end"/>
      </w:r>
      <w:r>
        <w:fldChar w:fldCharType="end"/>
      </w:r>
    </w:p>
    <w:p w14:paraId="461B5D8E">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"_Toc119937298" </w:instrText>
      </w:r>
      <w:r>
        <w:fldChar w:fldCharType="separate"/>
      </w:r>
      <w:r>
        <w:rPr>
          <w:rStyle w:val="44"/>
          <w:rFonts w:cs="Arial"/>
        </w:rPr>
        <w:t>5.2.1</w:t>
      </w:r>
      <w:r>
        <w:rPr>
          <w:rFonts w:asciiTheme="minorHAnsi" w:hAnsiTheme="minorHAnsi" w:eastAsiaTheme="minorEastAsia" w:cstheme="minorBidi"/>
          <w:iCs w:val="0"/>
          <w:color w:val="auto"/>
          <w:kern w:val="2"/>
          <w:sz w:val="21"/>
          <w:szCs w:val="24"/>
        </w:rPr>
        <w:tab/>
      </w:r>
      <w:r>
        <w:rPr>
          <w:rStyle w:val="44"/>
          <w:rFonts w:cs="Arial"/>
        </w:rPr>
        <w:t>核心原则1 可持续的社会风险管理体系</w:t>
      </w:r>
      <w:r>
        <w:tab/>
      </w:r>
      <w:r>
        <w:fldChar w:fldCharType="begin"/>
      </w:r>
      <w:r>
        <w:instrText xml:space="preserve"> PAGEREF _Toc119937298 \h </w:instrText>
      </w:r>
      <w:r>
        <w:fldChar w:fldCharType="separate"/>
      </w:r>
      <w:r>
        <w:t>34</w:t>
      </w:r>
      <w:r>
        <w:fldChar w:fldCharType="end"/>
      </w:r>
      <w:r>
        <w:fldChar w:fldCharType="end"/>
      </w:r>
    </w:p>
    <w:p w14:paraId="22E0F54B">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"_Toc119937300" </w:instrText>
      </w:r>
      <w:r>
        <w:fldChar w:fldCharType="separate"/>
      </w:r>
      <w:r>
        <w:rPr>
          <w:rStyle w:val="44"/>
          <w:rFonts w:cs="Arial"/>
        </w:rPr>
        <w:t>5.2.2</w:t>
      </w:r>
      <w:r>
        <w:rPr>
          <w:rFonts w:asciiTheme="minorHAnsi" w:hAnsiTheme="minorHAnsi" w:eastAsiaTheme="minorEastAsia" w:cstheme="minorBidi"/>
          <w:iCs w:val="0"/>
          <w:color w:val="auto"/>
          <w:kern w:val="2"/>
          <w:sz w:val="21"/>
          <w:szCs w:val="24"/>
        </w:rPr>
        <w:tab/>
      </w:r>
      <w:r>
        <w:rPr>
          <w:rStyle w:val="44"/>
          <w:rFonts w:cs="Arial"/>
        </w:rPr>
        <w:t>核心原则2 文物资源管理体系</w:t>
      </w:r>
      <w:r>
        <w:tab/>
      </w:r>
      <w:r>
        <w:fldChar w:fldCharType="begin"/>
      </w:r>
      <w:r>
        <w:instrText xml:space="preserve"> PAGEREF _Toc119937300 \h </w:instrText>
      </w:r>
      <w:r>
        <w:fldChar w:fldCharType="separate"/>
      </w:r>
      <w:r>
        <w:t>36</w:t>
      </w:r>
      <w:r>
        <w:fldChar w:fldCharType="end"/>
      </w:r>
      <w:r>
        <w:fldChar w:fldCharType="end"/>
      </w:r>
    </w:p>
    <w:p w14:paraId="2B2EF685">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"_Toc119937301" </w:instrText>
      </w:r>
      <w:r>
        <w:fldChar w:fldCharType="separate"/>
      </w:r>
      <w:r>
        <w:rPr>
          <w:rStyle w:val="44"/>
          <w:rFonts w:cs="Arial"/>
        </w:rPr>
        <w:t>5.2.3</w:t>
      </w:r>
      <w:r>
        <w:rPr>
          <w:rFonts w:asciiTheme="minorHAnsi" w:hAnsiTheme="minorHAnsi" w:eastAsiaTheme="minorEastAsia" w:cstheme="minorBidi"/>
          <w:iCs w:val="0"/>
          <w:color w:val="auto"/>
          <w:kern w:val="2"/>
          <w:sz w:val="21"/>
          <w:szCs w:val="24"/>
        </w:rPr>
        <w:tab/>
      </w:r>
      <w:r>
        <w:rPr>
          <w:rStyle w:val="44"/>
          <w:rFonts w:cs="Arial"/>
        </w:rPr>
        <w:t>核心原则3 公众和劳动者安全管理体系</w:t>
      </w:r>
      <w:r>
        <w:tab/>
      </w:r>
      <w:r>
        <w:fldChar w:fldCharType="begin"/>
      </w:r>
      <w:r>
        <w:instrText xml:space="preserve"> PAGEREF _Toc119937301 \h </w:instrText>
      </w:r>
      <w:r>
        <w:fldChar w:fldCharType="separate"/>
      </w:r>
      <w:r>
        <w:t>36</w:t>
      </w:r>
      <w:r>
        <w:fldChar w:fldCharType="end"/>
      </w:r>
      <w:r>
        <w:fldChar w:fldCharType="end"/>
      </w:r>
    </w:p>
    <w:p w14:paraId="43B40F9A">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"_Toc119937302" </w:instrText>
      </w:r>
      <w:r>
        <w:fldChar w:fldCharType="separate"/>
      </w:r>
      <w:r>
        <w:rPr>
          <w:rStyle w:val="44"/>
          <w:rFonts w:cs="Arial"/>
        </w:rPr>
        <w:t>5.2.4</w:t>
      </w:r>
      <w:r>
        <w:rPr>
          <w:rFonts w:asciiTheme="minorHAnsi" w:hAnsiTheme="minorHAnsi" w:eastAsiaTheme="minorEastAsia" w:cstheme="minorBidi"/>
          <w:iCs w:val="0"/>
          <w:color w:val="auto"/>
          <w:kern w:val="2"/>
          <w:sz w:val="21"/>
          <w:szCs w:val="24"/>
        </w:rPr>
        <w:tab/>
      </w:r>
      <w:r>
        <w:rPr>
          <w:rStyle w:val="44"/>
          <w:rFonts w:cs="Arial"/>
        </w:rPr>
        <w:t>核心原则4 非自愿移民管理体系</w:t>
      </w:r>
      <w:r>
        <w:tab/>
      </w:r>
      <w:r>
        <w:fldChar w:fldCharType="begin"/>
      </w:r>
      <w:r>
        <w:instrText xml:space="preserve"> PAGEREF _Toc119937302 \h </w:instrText>
      </w:r>
      <w:r>
        <w:fldChar w:fldCharType="separate"/>
      </w:r>
      <w:r>
        <w:t>37</w:t>
      </w:r>
      <w:r>
        <w:fldChar w:fldCharType="end"/>
      </w:r>
      <w:r>
        <w:fldChar w:fldCharType="end"/>
      </w:r>
    </w:p>
    <w:p w14:paraId="6DC76521">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"_Toc119937303" </w:instrText>
      </w:r>
      <w:r>
        <w:fldChar w:fldCharType="separate"/>
      </w:r>
      <w:r>
        <w:rPr>
          <w:rStyle w:val="44"/>
          <w:rFonts w:cs="Arial"/>
        </w:rPr>
        <w:t>5.2.5</w:t>
      </w:r>
      <w:r>
        <w:rPr>
          <w:rFonts w:asciiTheme="minorHAnsi" w:hAnsiTheme="minorHAnsi" w:eastAsiaTheme="minorEastAsia" w:cstheme="minorBidi"/>
          <w:iCs w:val="0"/>
          <w:color w:val="auto"/>
          <w:kern w:val="2"/>
          <w:sz w:val="21"/>
          <w:szCs w:val="24"/>
        </w:rPr>
        <w:tab/>
      </w:r>
      <w:r>
        <w:rPr>
          <w:rStyle w:val="44"/>
          <w:rFonts w:cs="Arial"/>
        </w:rPr>
        <w:t>核心原则5 少数民族和弱势群体的管理体系</w:t>
      </w:r>
      <w:r>
        <w:tab/>
      </w:r>
      <w:r>
        <w:fldChar w:fldCharType="begin"/>
      </w:r>
      <w:r>
        <w:instrText xml:space="preserve"> PAGEREF _Toc119937303 \h </w:instrText>
      </w:r>
      <w:r>
        <w:fldChar w:fldCharType="separate"/>
      </w:r>
      <w:r>
        <w:t>40</w:t>
      </w:r>
      <w:r>
        <w:fldChar w:fldCharType="end"/>
      </w:r>
      <w:r>
        <w:fldChar w:fldCharType="end"/>
      </w:r>
    </w:p>
    <w:p w14:paraId="157F8932">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"_Toc119937304" </w:instrText>
      </w:r>
      <w:r>
        <w:fldChar w:fldCharType="separate"/>
      </w:r>
      <w:r>
        <w:rPr>
          <w:rStyle w:val="44"/>
          <w:rFonts w:cs="Arial"/>
        </w:rPr>
        <w:t>5.2.6</w:t>
      </w:r>
      <w:r>
        <w:rPr>
          <w:rFonts w:asciiTheme="minorHAnsi" w:hAnsiTheme="minorHAnsi" w:eastAsiaTheme="minorEastAsia" w:cstheme="minorBidi"/>
          <w:iCs w:val="0"/>
          <w:color w:val="auto"/>
          <w:kern w:val="2"/>
          <w:sz w:val="21"/>
          <w:szCs w:val="24"/>
        </w:rPr>
        <w:tab/>
      </w:r>
      <w:r>
        <w:rPr>
          <w:rStyle w:val="44"/>
          <w:rFonts w:cs="Arial"/>
        </w:rPr>
        <w:t>核心原则6社会冲突管理体系</w:t>
      </w:r>
      <w:r>
        <w:tab/>
      </w:r>
      <w:r>
        <w:fldChar w:fldCharType="begin"/>
      </w:r>
      <w:r>
        <w:instrText xml:space="preserve"> PAGEREF _Toc119937304 \h </w:instrText>
      </w:r>
      <w:r>
        <w:fldChar w:fldCharType="separate"/>
      </w:r>
      <w:r>
        <w:t>43</w:t>
      </w:r>
      <w:r>
        <w:fldChar w:fldCharType="end"/>
      </w:r>
      <w:r>
        <w:fldChar w:fldCharType="end"/>
      </w:r>
    </w:p>
    <w:p w14:paraId="58BEED59">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"_Toc119937305" </w:instrText>
      </w:r>
      <w:r>
        <w:fldChar w:fldCharType="separate"/>
      </w:r>
      <w:r>
        <w:rPr>
          <w:rStyle w:val="44"/>
        </w:rPr>
        <w:t>5.3.</w:t>
      </w:r>
      <w:r>
        <w:rPr>
          <w:rFonts w:asciiTheme="minorHAnsi" w:hAnsiTheme="minorHAnsi" w:eastAsiaTheme="minorEastAsia" w:cstheme="minorBidi"/>
          <w:smallCaps w:val="0"/>
          <w:color w:val="auto"/>
          <w:kern w:val="2"/>
          <w:sz w:val="21"/>
          <w:szCs w:val="24"/>
        </w:rPr>
        <w:tab/>
      </w:r>
      <w:r>
        <w:rPr>
          <w:rStyle w:val="44"/>
        </w:rPr>
        <w:t>社会管理机制与能力评估</w:t>
      </w:r>
      <w:r>
        <w:tab/>
      </w:r>
      <w:r>
        <w:fldChar w:fldCharType="begin"/>
      </w:r>
      <w:r>
        <w:instrText xml:space="preserve"> PAGEREF _Toc119937305 \h </w:instrText>
      </w:r>
      <w:r>
        <w:fldChar w:fldCharType="separate"/>
      </w:r>
      <w:r>
        <w:t>43</w:t>
      </w:r>
      <w:r>
        <w:fldChar w:fldCharType="end"/>
      </w:r>
      <w:r>
        <w:fldChar w:fldCharType="end"/>
      </w:r>
    </w:p>
    <w:p w14:paraId="2FA4534A">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"_Toc119937306" </w:instrText>
      </w:r>
      <w:r>
        <w:fldChar w:fldCharType="separate"/>
      </w:r>
      <w:r>
        <w:rPr>
          <w:rStyle w:val="44"/>
          <w:rFonts w:cs="Arial"/>
        </w:rPr>
        <w:t>5.3.1</w:t>
      </w:r>
      <w:r>
        <w:rPr>
          <w:rFonts w:asciiTheme="minorHAnsi" w:hAnsiTheme="minorHAnsi" w:eastAsiaTheme="minorEastAsia" w:cstheme="minorBidi"/>
          <w:iCs w:val="0"/>
          <w:color w:val="auto"/>
          <w:kern w:val="2"/>
          <w:sz w:val="21"/>
          <w:szCs w:val="24"/>
        </w:rPr>
        <w:tab/>
      </w:r>
      <w:r>
        <w:rPr>
          <w:rStyle w:val="44"/>
          <w:rFonts w:cs="Arial"/>
        </w:rPr>
        <w:t>社会风险评估管理机构</w:t>
      </w:r>
      <w:r>
        <w:tab/>
      </w:r>
      <w:r>
        <w:fldChar w:fldCharType="begin"/>
      </w:r>
      <w:r>
        <w:instrText xml:space="preserve"> PAGEREF _Toc119937306 \h </w:instrText>
      </w:r>
      <w:r>
        <w:fldChar w:fldCharType="separate"/>
      </w:r>
      <w:r>
        <w:t>43</w:t>
      </w:r>
      <w:r>
        <w:fldChar w:fldCharType="end"/>
      </w:r>
      <w:r>
        <w:fldChar w:fldCharType="end"/>
      </w:r>
    </w:p>
    <w:p w14:paraId="4E1BFD32">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"_Toc119937308" </w:instrText>
      </w:r>
      <w:r>
        <w:fldChar w:fldCharType="separate"/>
      </w:r>
      <w:r>
        <w:rPr>
          <w:rStyle w:val="44"/>
          <w:rFonts w:cs="Arial"/>
        </w:rPr>
        <w:t>5.3.2</w:t>
      </w:r>
      <w:r>
        <w:rPr>
          <w:rFonts w:asciiTheme="minorHAnsi" w:hAnsiTheme="minorHAnsi" w:eastAsiaTheme="minorEastAsia" w:cstheme="minorBidi"/>
          <w:iCs w:val="0"/>
          <w:color w:val="auto"/>
          <w:kern w:val="2"/>
          <w:sz w:val="21"/>
          <w:szCs w:val="24"/>
        </w:rPr>
        <w:tab/>
      </w:r>
      <w:r>
        <w:rPr>
          <w:rStyle w:val="44"/>
          <w:rFonts w:cs="Arial"/>
        </w:rPr>
        <w:t>文物保护机构</w:t>
      </w:r>
      <w:r>
        <w:tab/>
      </w:r>
      <w:r>
        <w:fldChar w:fldCharType="begin"/>
      </w:r>
      <w:r>
        <w:instrText xml:space="preserve"> PAGEREF _Toc119937308 \h </w:instrText>
      </w:r>
      <w:r>
        <w:fldChar w:fldCharType="separate"/>
      </w:r>
      <w:r>
        <w:t>44</w:t>
      </w:r>
      <w:r>
        <w:fldChar w:fldCharType="end"/>
      </w:r>
      <w:r>
        <w:fldChar w:fldCharType="end"/>
      </w:r>
    </w:p>
    <w:p w14:paraId="22CD53AA">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"_Toc119937309" </w:instrText>
      </w:r>
      <w:r>
        <w:fldChar w:fldCharType="separate"/>
      </w:r>
      <w:r>
        <w:rPr>
          <w:rStyle w:val="44"/>
          <w:rFonts w:cs="Arial"/>
        </w:rPr>
        <w:t>5.3.3</w:t>
      </w:r>
      <w:r>
        <w:rPr>
          <w:rFonts w:asciiTheme="minorHAnsi" w:hAnsiTheme="minorHAnsi" w:eastAsiaTheme="minorEastAsia" w:cstheme="minorBidi"/>
          <w:iCs w:val="0"/>
          <w:color w:val="auto"/>
          <w:kern w:val="2"/>
          <w:sz w:val="21"/>
          <w:szCs w:val="24"/>
        </w:rPr>
        <w:tab/>
      </w:r>
      <w:r>
        <w:rPr>
          <w:rStyle w:val="44"/>
          <w:rFonts w:cs="Arial"/>
        </w:rPr>
        <w:t>征地拆迁机构</w:t>
      </w:r>
      <w:r>
        <w:tab/>
      </w:r>
      <w:r>
        <w:fldChar w:fldCharType="begin"/>
      </w:r>
      <w:r>
        <w:instrText xml:space="preserve"> PAGEREF _Toc119937309 \h </w:instrText>
      </w:r>
      <w:r>
        <w:fldChar w:fldCharType="separate"/>
      </w:r>
      <w:r>
        <w:t>44</w:t>
      </w:r>
      <w:r>
        <w:fldChar w:fldCharType="end"/>
      </w:r>
      <w:r>
        <w:fldChar w:fldCharType="end"/>
      </w:r>
    </w:p>
    <w:p w14:paraId="3A0F54D5">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"_Toc119937310" </w:instrText>
      </w:r>
      <w:r>
        <w:fldChar w:fldCharType="separate"/>
      </w:r>
      <w:r>
        <w:rPr>
          <w:rStyle w:val="44"/>
          <w:rFonts w:cs="Arial"/>
        </w:rPr>
        <w:t>5.3.4</w:t>
      </w:r>
      <w:r>
        <w:rPr>
          <w:rFonts w:asciiTheme="minorHAnsi" w:hAnsiTheme="minorHAnsi" w:eastAsiaTheme="minorEastAsia" w:cstheme="minorBidi"/>
          <w:iCs w:val="0"/>
          <w:color w:val="auto"/>
          <w:kern w:val="2"/>
          <w:sz w:val="21"/>
          <w:szCs w:val="24"/>
        </w:rPr>
        <w:tab/>
      </w:r>
      <w:r>
        <w:rPr>
          <w:rStyle w:val="44"/>
          <w:rFonts w:cs="Arial"/>
        </w:rPr>
        <w:t>公众安全、劳动者健康安全和应急管理机构</w:t>
      </w:r>
      <w:r>
        <w:tab/>
      </w:r>
      <w:r>
        <w:fldChar w:fldCharType="begin"/>
      </w:r>
      <w:r>
        <w:instrText xml:space="preserve"> PAGEREF _Toc119937310 \h </w:instrText>
      </w:r>
      <w:r>
        <w:fldChar w:fldCharType="separate"/>
      </w:r>
      <w:r>
        <w:t>47</w:t>
      </w:r>
      <w:r>
        <w:fldChar w:fldCharType="end"/>
      </w:r>
      <w:r>
        <w:fldChar w:fldCharType="end"/>
      </w:r>
    </w:p>
    <w:p w14:paraId="7936526E">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"_Toc119937311" </w:instrText>
      </w:r>
      <w:r>
        <w:fldChar w:fldCharType="separate"/>
      </w:r>
      <w:r>
        <w:rPr>
          <w:rStyle w:val="44"/>
          <w:rFonts w:cs="Arial"/>
        </w:rPr>
        <w:t>5.3.5</w:t>
      </w:r>
      <w:r>
        <w:rPr>
          <w:rFonts w:asciiTheme="minorHAnsi" w:hAnsiTheme="minorHAnsi" w:eastAsiaTheme="minorEastAsia" w:cstheme="minorBidi"/>
          <w:iCs w:val="0"/>
          <w:color w:val="auto"/>
          <w:kern w:val="2"/>
          <w:sz w:val="21"/>
          <w:szCs w:val="24"/>
        </w:rPr>
        <w:tab/>
      </w:r>
      <w:r>
        <w:rPr>
          <w:rStyle w:val="44"/>
          <w:rFonts w:cs="Arial"/>
        </w:rPr>
        <w:t>少数民族事务管理机构</w:t>
      </w:r>
      <w:r>
        <w:tab/>
      </w:r>
      <w:r>
        <w:fldChar w:fldCharType="begin"/>
      </w:r>
      <w:r>
        <w:instrText xml:space="preserve"> PAGEREF _Toc119937311 \h </w:instrText>
      </w:r>
      <w:r>
        <w:fldChar w:fldCharType="separate"/>
      </w:r>
      <w:r>
        <w:t>48</w:t>
      </w:r>
      <w:r>
        <w:fldChar w:fldCharType="end"/>
      </w:r>
      <w:r>
        <w:fldChar w:fldCharType="end"/>
      </w:r>
    </w:p>
    <w:p w14:paraId="34054B1C">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"_Toc119937312" </w:instrText>
      </w:r>
      <w:r>
        <w:fldChar w:fldCharType="separate"/>
      </w:r>
      <w:r>
        <w:rPr>
          <w:rStyle w:val="44"/>
          <w:rFonts w:cs="Arial"/>
        </w:rPr>
        <w:t>5.3.6</w:t>
      </w:r>
      <w:r>
        <w:rPr>
          <w:rFonts w:asciiTheme="minorHAnsi" w:hAnsiTheme="minorHAnsi" w:eastAsiaTheme="minorEastAsia" w:cstheme="minorBidi"/>
          <w:iCs w:val="0"/>
          <w:color w:val="auto"/>
          <w:kern w:val="2"/>
          <w:sz w:val="21"/>
          <w:szCs w:val="24"/>
        </w:rPr>
        <w:tab/>
      </w:r>
      <w:r>
        <w:rPr>
          <w:rStyle w:val="44"/>
          <w:rFonts w:cs="Arial"/>
        </w:rPr>
        <w:t>弱势群体权益保护机构</w:t>
      </w:r>
      <w:r>
        <w:tab/>
      </w:r>
      <w:r>
        <w:fldChar w:fldCharType="begin"/>
      </w:r>
      <w:r>
        <w:instrText xml:space="preserve"> PAGEREF _Toc119937312 \h </w:instrText>
      </w:r>
      <w:r>
        <w:fldChar w:fldCharType="separate"/>
      </w:r>
      <w:r>
        <w:t>49</w:t>
      </w:r>
      <w:r>
        <w:fldChar w:fldCharType="end"/>
      </w:r>
      <w:r>
        <w:fldChar w:fldCharType="end"/>
      </w:r>
    </w:p>
    <w:p w14:paraId="4A1F4278">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"_Toc119937313" </w:instrText>
      </w:r>
      <w:r>
        <w:fldChar w:fldCharType="separate"/>
      </w:r>
      <w:r>
        <w:rPr>
          <w:rStyle w:val="44"/>
        </w:rPr>
        <w:t>5.4.</w:t>
      </w:r>
      <w:r>
        <w:rPr>
          <w:rFonts w:asciiTheme="minorHAnsi" w:hAnsiTheme="minorHAnsi" w:eastAsiaTheme="minorEastAsia" w:cstheme="minorBidi"/>
          <w:smallCaps w:val="0"/>
          <w:color w:val="auto"/>
          <w:kern w:val="2"/>
          <w:sz w:val="21"/>
          <w:szCs w:val="24"/>
        </w:rPr>
        <w:tab/>
      </w:r>
      <w:r>
        <w:rPr>
          <w:rStyle w:val="44"/>
        </w:rPr>
        <w:t>社会实践效果评估</w:t>
      </w:r>
      <w:r>
        <w:tab/>
      </w:r>
      <w:r>
        <w:fldChar w:fldCharType="begin"/>
      </w:r>
      <w:r>
        <w:instrText xml:space="preserve"> PAGEREF _Toc119937313 \h </w:instrText>
      </w:r>
      <w:r>
        <w:fldChar w:fldCharType="separate"/>
      </w:r>
      <w:r>
        <w:t>50</w:t>
      </w:r>
      <w:r>
        <w:fldChar w:fldCharType="end"/>
      </w:r>
      <w:r>
        <w:fldChar w:fldCharType="end"/>
      </w:r>
    </w:p>
    <w:p w14:paraId="2C45D282">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"_Toc119937314" </w:instrText>
      </w:r>
      <w:r>
        <w:fldChar w:fldCharType="separate"/>
      </w:r>
      <w:r>
        <w:rPr>
          <w:rStyle w:val="44"/>
          <w:rFonts w:cs="Arial"/>
        </w:rPr>
        <w:t>5.4.1</w:t>
      </w:r>
      <w:r>
        <w:rPr>
          <w:rFonts w:asciiTheme="minorHAnsi" w:hAnsiTheme="minorHAnsi" w:eastAsiaTheme="minorEastAsia" w:cstheme="minorBidi"/>
          <w:iCs w:val="0"/>
          <w:color w:val="auto"/>
          <w:kern w:val="2"/>
          <w:sz w:val="21"/>
          <w:szCs w:val="24"/>
        </w:rPr>
        <w:tab/>
      </w:r>
      <w:r>
        <w:rPr>
          <w:rStyle w:val="44"/>
          <w:rFonts w:cs="Arial"/>
        </w:rPr>
        <w:t>核心原则1：可持续的社会风险管理体系</w:t>
      </w:r>
      <w:r>
        <w:tab/>
      </w:r>
      <w:r>
        <w:fldChar w:fldCharType="begin"/>
      </w:r>
      <w:r>
        <w:instrText xml:space="preserve"> PAGEREF _Toc119937314 \h </w:instrText>
      </w:r>
      <w:r>
        <w:fldChar w:fldCharType="separate"/>
      </w:r>
      <w:r>
        <w:t>50</w:t>
      </w:r>
      <w:r>
        <w:fldChar w:fldCharType="end"/>
      </w:r>
      <w:r>
        <w:fldChar w:fldCharType="end"/>
      </w:r>
    </w:p>
    <w:p w14:paraId="0DA981B2">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"_Toc119937315" </w:instrText>
      </w:r>
      <w:r>
        <w:fldChar w:fldCharType="separate"/>
      </w:r>
      <w:r>
        <w:rPr>
          <w:rStyle w:val="44"/>
          <w:rFonts w:cs="Arial"/>
        </w:rPr>
        <w:t>5.4.2</w:t>
      </w:r>
      <w:r>
        <w:rPr>
          <w:rFonts w:asciiTheme="minorHAnsi" w:hAnsiTheme="minorHAnsi" w:eastAsiaTheme="minorEastAsia" w:cstheme="minorBidi"/>
          <w:iCs w:val="0"/>
          <w:color w:val="auto"/>
          <w:kern w:val="2"/>
          <w:sz w:val="21"/>
          <w:szCs w:val="24"/>
        </w:rPr>
        <w:tab/>
      </w:r>
      <w:r>
        <w:rPr>
          <w:rStyle w:val="44"/>
          <w:rFonts w:cs="Arial"/>
        </w:rPr>
        <w:t>核心原则2：文物资源管理体系</w:t>
      </w:r>
      <w:r>
        <w:tab/>
      </w:r>
      <w:r>
        <w:fldChar w:fldCharType="begin"/>
      </w:r>
      <w:r>
        <w:instrText xml:space="preserve"> PAGEREF _Toc119937315 \h </w:instrText>
      </w:r>
      <w:r>
        <w:fldChar w:fldCharType="separate"/>
      </w:r>
      <w:r>
        <w:t>54</w:t>
      </w:r>
      <w:r>
        <w:fldChar w:fldCharType="end"/>
      </w:r>
      <w:r>
        <w:fldChar w:fldCharType="end"/>
      </w:r>
    </w:p>
    <w:p w14:paraId="3AE1538B">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"_Toc119937316" </w:instrText>
      </w:r>
      <w:r>
        <w:fldChar w:fldCharType="separate"/>
      </w:r>
      <w:r>
        <w:rPr>
          <w:rStyle w:val="44"/>
          <w:rFonts w:cs="Arial"/>
        </w:rPr>
        <w:t>5.4.3</w:t>
      </w:r>
      <w:r>
        <w:rPr>
          <w:rFonts w:asciiTheme="minorHAnsi" w:hAnsiTheme="minorHAnsi" w:eastAsiaTheme="minorEastAsia" w:cstheme="minorBidi"/>
          <w:iCs w:val="0"/>
          <w:color w:val="auto"/>
          <w:kern w:val="2"/>
          <w:sz w:val="21"/>
          <w:szCs w:val="24"/>
        </w:rPr>
        <w:tab/>
      </w:r>
      <w:r>
        <w:rPr>
          <w:rStyle w:val="44"/>
          <w:rFonts w:cs="Arial"/>
        </w:rPr>
        <w:t>核心原则3：公众和劳动者安全管理体系</w:t>
      </w:r>
      <w:r>
        <w:tab/>
      </w:r>
      <w:r>
        <w:fldChar w:fldCharType="begin"/>
      </w:r>
      <w:r>
        <w:instrText xml:space="preserve"> PAGEREF _Toc119937316 \h </w:instrText>
      </w:r>
      <w:r>
        <w:fldChar w:fldCharType="separate"/>
      </w:r>
      <w:r>
        <w:t>55</w:t>
      </w:r>
      <w:r>
        <w:fldChar w:fldCharType="end"/>
      </w:r>
      <w:r>
        <w:fldChar w:fldCharType="end"/>
      </w:r>
    </w:p>
    <w:p w14:paraId="714ED914">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"_Toc119937317" </w:instrText>
      </w:r>
      <w:r>
        <w:fldChar w:fldCharType="separate"/>
      </w:r>
      <w:r>
        <w:rPr>
          <w:rStyle w:val="44"/>
          <w:rFonts w:cs="Arial"/>
        </w:rPr>
        <w:t>5.4.4</w:t>
      </w:r>
      <w:r>
        <w:rPr>
          <w:rFonts w:asciiTheme="minorHAnsi" w:hAnsiTheme="minorHAnsi" w:eastAsiaTheme="minorEastAsia" w:cstheme="minorBidi"/>
          <w:iCs w:val="0"/>
          <w:color w:val="auto"/>
          <w:kern w:val="2"/>
          <w:sz w:val="21"/>
          <w:szCs w:val="24"/>
        </w:rPr>
        <w:tab/>
      </w:r>
      <w:r>
        <w:rPr>
          <w:rStyle w:val="44"/>
          <w:rFonts w:cs="Arial"/>
        </w:rPr>
        <w:t>核心原则4：非志愿移民管理体系</w:t>
      </w:r>
      <w:r>
        <w:tab/>
      </w:r>
      <w:r>
        <w:fldChar w:fldCharType="begin"/>
      </w:r>
      <w:r>
        <w:instrText xml:space="preserve"> PAGEREF _Toc119937317 \h </w:instrText>
      </w:r>
      <w:r>
        <w:fldChar w:fldCharType="separate"/>
      </w:r>
      <w:r>
        <w:t>56</w:t>
      </w:r>
      <w:r>
        <w:fldChar w:fldCharType="end"/>
      </w:r>
      <w:r>
        <w:fldChar w:fldCharType="end"/>
      </w:r>
    </w:p>
    <w:p w14:paraId="78EACF72">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"_Toc119937318" </w:instrText>
      </w:r>
      <w:r>
        <w:fldChar w:fldCharType="separate"/>
      </w:r>
      <w:r>
        <w:rPr>
          <w:rStyle w:val="44"/>
          <w:rFonts w:cs="Arial"/>
        </w:rPr>
        <w:t>5.4.5</w:t>
      </w:r>
      <w:r>
        <w:rPr>
          <w:rFonts w:asciiTheme="minorHAnsi" w:hAnsiTheme="minorHAnsi" w:eastAsiaTheme="minorEastAsia" w:cstheme="minorBidi"/>
          <w:iCs w:val="0"/>
          <w:color w:val="auto"/>
          <w:kern w:val="2"/>
          <w:sz w:val="21"/>
          <w:szCs w:val="24"/>
        </w:rPr>
        <w:tab/>
      </w:r>
      <w:r>
        <w:rPr>
          <w:rStyle w:val="44"/>
          <w:rFonts w:cs="Arial"/>
        </w:rPr>
        <w:t>核心原则5：少数民族和弱势群体的管理体系</w:t>
      </w:r>
      <w:r>
        <w:tab/>
      </w:r>
      <w:r>
        <w:fldChar w:fldCharType="begin"/>
      </w:r>
      <w:r>
        <w:instrText xml:space="preserve"> PAGEREF _Toc119937318 \h </w:instrText>
      </w:r>
      <w:r>
        <w:fldChar w:fldCharType="separate"/>
      </w:r>
      <w:r>
        <w:t>58</w:t>
      </w:r>
      <w:r>
        <w:fldChar w:fldCharType="end"/>
      </w:r>
      <w:r>
        <w:fldChar w:fldCharType="end"/>
      </w:r>
    </w:p>
    <w:p w14:paraId="632539EE">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"_Toc119937319" </w:instrText>
      </w:r>
      <w:r>
        <w:fldChar w:fldCharType="separate"/>
      </w:r>
      <w:r>
        <w:rPr>
          <w:rStyle w:val="44"/>
          <w:rFonts w:cs="Arial"/>
        </w:rPr>
        <w:t>6.</w:t>
      </w:r>
      <w:r>
        <w:rPr>
          <w:rFonts w:asciiTheme="minorHAnsi" w:hAnsiTheme="minorHAnsi" w:eastAsiaTheme="minorEastAsia" w:cstheme="minorBidi"/>
          <w:b w:val="0"/>
          <w:bCs w:val="0"/>
          <w:color w:val="auto"/>
          <w:kern w:val="2"/>
          <w:sz w:val="21"/>
          <w:szCs w:val="24"/>
        </w:rPr>
        <w:tab/>
      </w:r>
      <w:r>
        <w:rPr>
          <w:rStyle w:val="44"/>
          <w:rFonts w:cs="Arial"/>
        </w:rPr>
        <w:t>公众参与和申诉机制</w:t>
      </w:r>
      <w:r>
        <w:tab/>
      </w:r>
      <w:r>
        <w:fldChar w:fldCharType="begin"/>
      </w:r>
      <w:r>
        <w:instrText xml:space="preserve"> PAGEREF _Toc119937319 \h </w:instrText>
      </w:r>
      <w:r>
        <w:fldChar w:fldCharType="separate"/>
      </w:r>
      <w:r>
        <w:t>61</w:t>
      </w:r>
      <w:r>
        <w:fldChar w:fldCharType="end"/>
      </w:r>
      <w:r>
        <w:fldChar w:fldCharType="end"/>
      </w:r>
    </w:p>
    <w:p w14:paraId="262C407F">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"_Toc119937320" </w:instrText>
      </w:r>
      <w:r>
        <w:fldChar w:fldCharType="separate"/>
      </w:r>
      <w:r>
        <w:rPr>
          <w:rStyle w:val="44"/>
        </w:rPr>
        <w:t>6.1</w:t>
      </w:r>
      <w:r>
        <w:rPr>
          <w:rFonts w:asciiTheme="minorHAnsi" w:hAnsiTheme="minorHAnsi" w:eastAsiaTheme="minorEastAsia" w:cstheme="minorBidi"/>
          <w:smallCaps w:val="0"/>
          <w:color w:val="auto"/>
          <w:kern w:val="2"/>
          <w:sz w:val="21"/>
          <w:szCs w:val="24"/>
        </w:rPr>
        <w:tab/>
      </w:r>
      <w:r>
        <w:rPr>
          <w:rStyle w:val="44"/>
        </w:rPr>
        <w:t xml:space="preserve">  公众参与</w:t>
      </w:r>
      <w:r>
        <w:tab/>
      </w:r>
      <w:r>
        <w:fldChar w:fldCharType="begin"/>
      </w:r>
      <w:r>
        <w:instrText xml:space="preserve"> PAGEREF _Toc119937320 \h </w:instrText>
      </w:r>
      <w:r>
        <w:fldChar w:fldCharType="separate"/>
      </w:r>
      <w:r>
        <w:t>61</w:t>
      </w:r>
      <w:r>
        <w:fldChar w:fldCharType="end"/>
      </w:r>
      <w:r>
        <w:fldChar w:fldCharType="end"/>
      </w:r>
    </w:p>
    <w:p w14:paraId="0AB3043C">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"_Toc119937321" </w:instrText>
      </w:r>
      <w:r>
        <w:fldChar w:fldCharType="separate"/>
      </w:r>
      <w:r>
        <w:rPr>
          <w:rStyle w:val="44"/>
          <w:rFonts w:cs="Arial"/>
        </w:rPr>
        <w:t>6.1.1</w:t>
      </w:r>
      <w:r>
        <w:rPr>
          <w:rFonts w:asciiTheme="minorHAnsi" w:hAnsiTheme="minorHAnsi" w:eastAsiaTheme="minorEastAsia" w:cstheme="minorBidi"/>
          <w:iCs w:val="0"/>
          <w:color w:val="auto"/>
          <w:kern w:val="2"/>
          <w:sz w:val="21"/>
          <w:szCs w:val="24"/>
        </w:rPr>
        <w:tab/>
      </w:r>
      <w:r>
        <w:rPr>
          <w:rStyle w:val="44"/>
          <w:rFonts w:cs="Arial"/>
        </w:rPr>
        <w:t xml:space="preserve"> 已开展的参与</w:t>
      </w:r>
      <w:r>
        <w:tab/>
      </w:r>
      <w:r>
        <w:fldChar w:fldCharType="begin"/>
      </w:r>
      <w:r>
        <w:instrText xml:space="preserve"> PAGEREF _Toc119937321 \h </w:instrText>
      </w:r>
      <w:r>
        <w:fldChar w:fldCharType="separate"/>
      </w:r>
      <w:r>
        <w:t>61</w:t>
      </w:r>
      <w:r>
        <w:fldChar w:fldCharType="end"/>
      </w:r>
      <w:r>
        <w:fldChar w:fldCharType="end"/>
      </w:r>
    </w:p>
    <w:p w14:paraId="10B618D6">
      <w:pPr>
        <w:pStyle w:val="18"/>
        <w:rPr>
          <w:rFonts w:asciiTheme="minorHAnsi" w:hAnsiTheme="minorHAnsi" w:eastAsiaTheme="minorEastAsia" w:cstheme="minorBidi"/>
          <w:iCs w:val="0"/>
          <w:color w:val="auto"/>
          <w:kern w:val="2"/>
          <w:sz w:val="21"/>
          <w:szCs w:val="24"/>
        </w:rPr>
      </w:pPr>
      <w:r>
        <w:fldChar w:fldCharType="begin"/>
      </w:r>
      <w:r>
        <w:instrText xml:space="preserve"> HYPERLINK \l "_Toc119937322" </w:instrText>
      </w:r>
      <w:r>
        <w:fldChar w:fldCharType="separate"/>
      </w:r>
      <w:r>
        <w:rPr>
          <w:rStyle w:val="44"/>
          <w:rFonts w:cs="Arial"/>
        </w:rPr>
        <w:t xml:space="preserve">6.1.2 </w:t>
      </w:r>
      <w:r>
        <w:rPr>
          <w:rFonts w:asciiTheme="minorHAnsi" w:hAnsiTheme="minorHAnsi" w:eastAsiaTheme="minorEastAsia" w:cstheme="minorBidi"/>
          <w:iCs w:val="0"/>
          <w:color w:val="auto"/>
          <w:kern w:val="2"/>
          <w:sz w:val="21"/>
          <w:szCs w:val="24"/>
        </w:rPr>
        <w:tab/>
      </w:r>
      <w:r>
        <w:rPr>
          <w:rStyle w:val="44"/>
          <w:rFonts w:cs="Arial"/>
        </w:rPr>
        <w:t xml:space="preserve"> 本报告的公众磋商</w:t>
      </w:r>
      <w:r>
        <w:tab/>
      </w:r>
      <w:r>
        <w:fldChar w:fldCharType="begin"/>
      </w:r>
      <w:r>
        <w:instrText xml:space="preserve"> PAGEREF _Toc119937322 \h </w:instrText>
      </w:r>
      <w:r>
        <w:fldChar w:fldCharType="separate"/>
      </w:r>
      <w:r>
        <w:t>61</w:t>
      </w:r>
      <w:r>
        <w:fldChar w:fldCharType="end"/>
      </w:r>
      <w:r>
        <w:fldChar w:fldCharType="end"/>
      </w:r>
    </w:p>
    <w:p w14:paraId="34E39592">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"_Toc119937323" </w:instrText>
      </w:r>
      <w:r>
        <w:fldChar w:fldCharType="separate"/>
      </w:r>
      <w:r>
        <w:rPr>
          <w:rStyle w:val="44"/>
        </w:rPr>
        <w:t>6.2</w:t>
      </w:r>
      <w:r>
        <w:rPr>
          <w:rFonts w:asciiTheme="minorHAnsi" w:hAnsiTheme="minorHAnsi" w:eastAsiaTheme="minorEastAsia" w:cstheme="minorBidi"/>
          <w:smallCaps w:val="0"/>
          <w:color w:val="auto"/>
          <w:kern w:val="2"/>
          <w:sz w:val="21"/>
          <w:szCs w:val="24"/>
        </w:rPr>
        <w:tab/>
      </w:r>
      <w:r>
        <w:rPr>
          <w:rStyle w:val="44"/>
        </w:rPr>
        <w:t xml:space="preserve"> 申诉机制</w:t>
      </w:r>
      <w:r>
        <w:tab/>
      </w:r>
      <w:r>
        <w:fldChar w:fldCharType="begin"/>
      </w:r>
      <w:r>
        <w:instrText xml:space="preserve"> PAGEREF _Toc119937323 \h </w:instrText>
      </w:r>
      <w:r>
        <w:fldChar w:fldCharType="separate"/>
      </w:r>
      <w:r>
        <w:t>62</w:t>
      </w:r>
      <w:r>
        <w:fldChar w:fldCharType="end"/>
      </w:r>
      <w:r>
        <w:fldChar w:fldCharType="end"/>
      </w:r>
    </w:p>
    <w:p w14:paraId="19EDD4FD">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"_Toc119937324" </w:instrText>
      </w:r>
      <w:r>
        <w:fldChar w:fldCharType="separate"/>
      </w:r>
      <w:r>
        <w:rPr>
          <w:rStyle w:val="44"/>
          <w:rFonts w:cs="Arial"/>
        </w:rPr>
        <w:t>7.</w:t>
      </w:r>
      <w:r>
        <w:rPr>
          <w:rFonts w:asciiTheme="minorHAnsi" w:hAnsiTheme="minorHAnsi" w:eastAsiaTheme="minorEastAsia" w:cstheme="minorBidi"/>
          <w:b w:val="0"/>
          <w:bCs w:val="0"/>
          <w:color w:val="auto"/>
          <w:kern w:val="2"/>
          <w:sz w:val="21"/>
          <w:szCs w:val="24"/>
        </w:rPr>
        <w:tab/>
      </w:r>
      <w:r>
        <w:rPr>
          <w:rStyle w:val="44"/>
          <w:rFonts w:cs="Arial"/>
        </w:rPr>
        <w:t>结论、建议与行动计划</w:t>
      </w:r>
      <w:r>
        <w:tab/>
      </w:r>
      <w:r>
        <w:fldChar w:fldCharType="begin"/>
      </w:r>
      <w:r>
        <w:instrText xml:space="preserve"> PAGEREF _Toc119937324 \h </w:instrText>
      </w:r>
      <w:r>
        <w:fldChar w:fldCharType="separate"/>
      </w:r>
      <w:r>
        <w:t>63</w:t>
      </w:r>
      <w:r>
        <w:fldChar w:fldCharType="end"/>
      </w:r>
      <w:r>
        <w:fldChar w:fldCharType="end"/>
      </w:r>
    </w:p>
    <w:p w14:paraId="5410A44F">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"_Toc119937325" </w:instrText>
      </w:r>
      <w:r>
        <w:fldChar w:fldCharType="separate"/>
      </w:r>
      <w:r>
        <w:rPr>
          <w:rStyle w:val="44"/>
        </w:rPr>
        <w:t>7.1</w:t>
      </w:r>
      <w:r>
        <w:rPr>
          <w:rFonts w:asciiTheme="minorHAnsi" w:hAnsiTheme="minorHAnsi" w:eastAsiaTheme="minorEastAsia" w:cstheme="minorBidi"/>
          <w:smallCaps w:val="0"/>
          <w:color w:val="auto"/>
          <w:kern w:val="2"/>
          <w:sz w:val="21"/>
          <w:szCs w:val="24"/>
        </w:rPr>
        <w:tab/>
      </w:r>
      <w:r>
        <w:rPr>
          <w:rStyle w:val="44"/>
        </w:rPr>
        <w:t xml:space="preserve"> 结论</w:t>
      </w:r>
      <w:r>
        <w:tab/>
      </w:r>
      <w:r>
        <w:fldChar w:fldCharType="begin"/>
      </w:r>
      <w:r>
        <w:instrText xml:space="preserve"> PAGEREF _Toc119937325 \h </w:instrText>
      </w:r>
      <w:r>
        <w:fldChar w:fldCharType="separate"/>
      </w:r>
      <w:r>
        <w:t>63</w:t>
      </w:r>
      <w:r>
        <w:fldChar w:fldCharType="end"/>
      </w:r>
      <w:r>
        <w:fldChar w:fldCharType="end"/>
      </w:r>
    </w:p>
    <w:p w14:paraId="1D7C3F98">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"_Toc119937326" </w:instrText>
      </w:r>
      <w:r>
        <w:fldChar w:fldCharType="separate"/>
      </w:r>
      <w:r>
        <w:rPr>
          <w:rStyle w:val="44"/>
        </w:rPr>
        <w:t>7.2</w:t>
      </w:r>
      <w:r>
        <w:rPr>
          <w:rFonts w:asciiTheme="minorHAnsi" w:hAnsiTheme="minorHAnsi" w:eastAsiaTheme="minorEastAsia" w:cstheme="minorBidi"/>
          <w:smallCaps w:val="0"/>
          <w:color w:val="auto"/>
          <w:kern w:val="2"/>
          <w:sz w:val="21"/>
          <w:szCs w:val="24"/>
        </w:rPr>
        <w:tab/>
      </w:r>
      <w:r>
        <w:rPr>
          <w:rStyle w:val="44"/>
        </w:rPr>
        <w:t xml:space="preserve"> 建议</w:t>
      </w:r>
      <w:r>
        <w:tab/>
      </w:r>
      <w:r>
        <w:fldChar w:fldCharType="begin"/>
      </w:r>
      <w:r>
        <w:instrText xml:space="preserve"> PAGEREF _Toc119937326 \h </w:instrText>
      </w:r>
      <w:r>
        <w:fldChar w:fldCharType="separate"/>
      </w:r>
      <w:r>
        <w:t>63</w:t>
      </w:r>
      <w:r>
        <w:fldChar w:fldCharType="end"/>
      </w:r>
      <w:r>
        <w:fldChar w:fldCharType="end"/>
      </w:r>
    </w:p>
    <w:p w14:paraId="42A07C57">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"_Toc119937327" </w:instrText>
      </w:r>
      <w:r>
        <w:fldChar w:fldCharType="separate"/>
      </w:r>
      <w:r>
        <w:rPr>
          <w:rStyle w:val="44"/>
        </w:rPr>
        <w:t>7.3</w:t>
      </w:r>
      <w:r>
        <w:rPr>
          <w:rFonts w:asciiTheme="minorHAnsi" w:hAnsiTheme="minorHAnsi" w:eastAsiaTheme="minorEastAsia" w:cstheme="minorBidi"/>
          <w:smallCaps w:val="0"/>
          <w:color w:val="auto"/>
          <w:kern w:val="2"/>
          <w:sz w:val="21"/>
          <w:szCs w:val="24"/>
        </w:rPr>
        <w:tab/>
      </w:r>
      <w:r>
        <w:rPr>
          <w:rStyle w:val="44"/>
        </w:rPr>
        <w:t xml:space="preserve"> 行动计划</w:t>
      </w:r>
      <w:r>
        <w:tab/>
      </w:r>
      <w:r>
        <w:fldChar w:fldCharType="begin"/>
      </w:r>
      <w:r>
        <w:instrText xml:space="preserve"> PAGEREF _Toc119937327 \h </w:instrText>
      </w:r>
      <w:r>
        <w:fldChar w:fldCharType="separate"/>
      </w:r>
      <w:r>
        <w:t>63</w:t>
      </w:r>
      <w:r>
        <w:fldChar w:fldCharType="end"/>
      </w:r>
      <w:r>
        <w:fldChar w:fldCharType="end"/>
      </w:r>
    </w:p>
    <w:p w14:paraId="21CEF272">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"_Toc119937328" </w:instrText>
      </w:r>
      <w:r>
        <w:fldChar w:fldCharType="separate"/>
      </w:r>
      <w:r>
        <w:rPr>
          <w:rStyle w:val="44"/>
          <w:rFonts w:cs="Arial"/>
        </w:rPr>
        <w:t>8.</w:t>
      </w:r>
      <w:r>
        <w:rPr>
          <w:rFonts w:asciiTheme="minorHAnsi" w:hAnsiTheme="minorHAnsi" w:eastAsiaTheme="minorEastAsia" w:cstheme="minorBidi"/>
          <w:b w:val="0"/>
          <w:bCs w:val="0"/>
          <w:color w:val="auto"/>
          <w:kern w:val="2"/>
          <w:sz w:val="21"/>
          <w:szCs w:val="24"/>
        </w:rPr>
        <w:tab/>
      </w:r>
      <w:r>
        <w:rPr>
          <w:rStyle w:val="44"/>
          <w:rFonts w:cs="Arial"/>
        </w:rPr>
        <w:t>实施管理与监测</w:t>
      </w:r>
      <w:r>
        <w:tab/>
      </w:r>
      <w:r>
        <w:fldChar w:fldCharType="begin"/>
      </w:r>
      <w:r>
        <w:instrText xml:space="preserve"> PAGEREF _Toc119937328 \h </w:instrText>
      </w:r>
      <w:r>
        <w:fldChar w:fldCharType="separate"/>
      </w:r>
      <w:r>
        <w:t>65</w:t>
      </w:r>
      <w:r>
        <w:fldChar w:fldCharType="end"/>
      </w:r>
      <w:r>
        <w:fldChar w:fldCharType="end"/>
      </w:r>
    </w:p>
    <w:p w14:paraId="1B37B4EA">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"_Toc119937329" </w:instrText>
      </w:r>
      <w:r>
        <w:fldChar w:fldCharType="separate"/>
      </w:r>
      <w:r>
        <w:rPr>
          <w:rStyle w:val="44"/>
        </w:rPr>
        <w:t>8.1</w:t>
      </w:r>
      <w:r>
        <w:rPr>
          <w:rFonts w:asciiTheme="minorHAnsi" w:hAnsiTheme="minorHAnsi" w:eastAsiaTheme="minorEastAsia" w:cstheme="minorBidi"/>
          <w:smallCaps w:val="0"/>
          <w:color w:val="auto"/>
          <w:kern w:val="2"/>
          <w:sz w:val="21"/>
          <w:szCs w:val="24"/>
        </w:rPr>
        <w:tab/>
      </w:r>
      <w:r>
        <w:rPr>
          <w:rStyle w:val="44"/>
        </w:rPr>
        <w:t xml:space="preserve"> 项目实施方</w:t>
      </w:r>
      <w:r>
        <w:tab/>
      </w:r>
      <w:r>
        <w:fldChar w:fldCharType="begin"/>
      </w:r>
      <w:r>
        <w:instrText xml:space="preserve"> PAGEREF _Toc119937329 \h </w:instrText>
      </w:r>
      <w:r>
        <w:fldChar w:fldCharType="separate"/>
      </w:r>
      <w:r>
        <w:t>65</w:t>
      </w:r>
      <w:r>
        <w:fldChar w:fldCharType="end"/>
      </w:r>
      <w:r>
        <w:fldChar w:fldCharType="end"/>
      </w:r>
    </w:p>
    <w:p w14:paraId="43244302">
      <w:pPr>
        <w:pStyle w:val="33"/>
        <w:rPr>
          <w:rFonts w:asciiTheme="minorHAnsi" w:hAnsiTheme="minorHAnsi" w:eastAsiaTheme="minorEastAsia" w:cstheme="minorBidi"/>
          <w:smallCaps w:val="0"/>
          <w:color w:val="auto"/>
          <w:kern w:val="2"/>
          <w:sz w:val="21"/>
          <w:szCs w:val="24"/>
        </w:rPr>
      </w:pPr>
      <w:r>
        <w:fldChar w:fldCharType="begin"/>
      </w:r>
      <w:r>
        <w:instrText xml:space="preserve"> HYPERLINK \l "_Toc119937330" </w:instrText>
      </w:r>
      <w:r>
        <w:fldChar w:fldCharType="separate"/>
      </w:r>
      <w:r>
        <w:rPr>
          <w:rStyle w:val="44"/>
        </w:rPr>
        <w:t>8.2</w:t>
      </w:r>
      <w:r>
        <w:rPr>
          <w:rFonts w:asciiTheme="minorHAnsi" w:hAnsiTheme="minorHAnsi" w:eastAsiaTheme="minorEastAsia" w:cstheme="minorBidi"/>
          <w:smallCaps w:val="0"/>
          <w:color w:val="auto"/>
          <w:kern w:val="2"/>
          <w:sz w:val="21"/>
          <w:szCs w:val="24"/>
        </w:rPr>
        <w:tab/>
      </w:r>
      <w:r>
        <w:rPr>
          <w:rStyle w:val="44"/>
        </w:rPr>
        <w:t xml:space="preserve"> 世行方面</w:t>
      </w:r>
      <w:r>
        <w:tab/>
      </w:r>
      <w:r>
        <w:fldChar w:fldCharType="begin"/>
      </w:r>
      <w:r>
        <w:instrText xml:space="preserve"> PAGEREF _Toc119937330 \h </w:instrText>
      </w:r>
      <w:r>
        <w:fldChar w:fldCharType="separate"/>
      </w:r>
      <w:r>
        <w:t>65</w:t>
      </w:r>
      <w:r>
        <w:fldChar w:fldCharType="end"/>
      </w:r>
      <w:r>
        <w:fldChar w:fldCharType="end"/>
      </w:r>
    </w:p>
    <w:p w14:paraId="612B80F0">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"_Toc119937331" </w:instrText>
      </w:r>
      <w:r>
        <w:fldChar w:fldCharType="separate"/>
      </w:r>
      <w:r>
        <w:rPr>
          <w:rStyle w:val="44"/>
          <w:rFonts w:cs="Arial"/>
        </w:rPr>
        <w:t>附件1：政府规划活动筛查及本项目PforR边界确定</w:t>
      </w:r>
      <w:r>
        <w:tab/>
      </w:r>
      <w:r>
        <w:fldChar w:fldCharType="begin"/>
      </w:r>
      <w:r>
        <w:instrText xml:space="preserve"> PAGEREF _Toc119937331 \h </w:instrText>
      </w:r>
      <w:r>
        <w:fldChar w:fldCharType="separate"/>
      </w:r>
      <w:r>
        <w:t>66</w:t>
      </w:r>
      <w:r>
        <w:fldChar w:fldCharType="end"/>
      </w:r>
      <w:r>
        <w:fldChar w:fldCharType="end"/>
      </w:r>
    </w:p>
    <w:p w14:paraId="5CFE4F87">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"_Toc119937332" </w:instrText>
      </w:r>
      <w:r>
        <w:fldChar w:fldCharType="separate"/>
      </w:r>
      <w:r>
        <w:rPr>
          <w:rStyle w:val="44"/>
          <w:rFonts w:cs="Arial"/>
        </w:rPr>
        <w:t>附件2：本项目活动环境与社会风险分析</w:t>
      </w:r>
      <w:r>
        <w:tab/>
      </w:r>
      <w:r>
        <w:fldChar w:fldCharType="begin"/>
      </w:r>
      <w:r>
        <w:instrText xml:space="preserve"> PAGEREF _Toc119937332 \h </w:instrText>
      </w:r>
      <w:r>
        <w:fldChar w:fldCharType="separate"/>
      </w:r>
      <w:r>
        <w:t>70</w:t>
      </w:r>
      <w:r>
        <w:fldChar w:fldCharType="end"/>
      </w:r>
      <w:r>
        <w:fldChar w:fldCharType="end"/>
      </w:r>
    </w:p>
    <w:p w14:paraId="233DCDCE">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"_Toc119937333" </w:instrText>
      </w:r>
      <w:r>
        <w:fldChar w:fldCharType="separate"/>
      </w:r>
      <w:r>
        <w:rPr>
          <w:rStyle w:val="44"/>
          <w:rFonts w:cs="Arial"/>
        </w:rPr>
        <w:t>附件3：环境与社会管理体系和世行政策对照分析</w:t>
      </w:r>
      <w:r>
        <w:tab/>
      </w:r>
      <w:r>
        <w:fldChar w:fldCharType="begin"/>
      </w:r>
      <w:r>
        <w:instrText xml:space="preserve"> PAGEREF _Toc119937333 \h </w:instrText>
      </w:r>
      <w:r>
        <w:fldChar w:fldCharType="separate"/>
      </w:r>
      <w:r>
        <w:t>76</w:t>
      </w:r>
      <w:r>
        <w:fldChar w:fldCharType="end"/>
      </w:r>
      <w:r>
        <w:fldChar w:fldCharType="end"/>
      </w:r>
    </w:p>
    <w:p w14:paraId="150D108F">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"_Toc119937334" </w:instrText>
      </w:r>
      <w:r>
        <w:fldChar w:fldCharType="separate"/>
      </w:r>
      <w:r>
        <w:rPr>
          <w:rStyle w:val="44"/>
          <w:rFonts w:cs="Arial"/>
        </w:rPr>
        <w:t>附件4：利益相关方分析</w:t>
      </w:r>
      <w:r>
        <w:tab/>
      </w:r>
      <w:r>
        <w:fldChar w:fldCharType="begin"/>
      </w:r>
      <w:r>
        <w:instrText xml:space="preserve"> PAGEREF _Toc119937334 \h </w:instrText>
      </w:r>
      <w:r>
        <w:fldChar w:fldCharType="separate"/>
      </w:r>
      <w:r>
        <w:t>90</w:t>
      </w:r>
      <w:r>
        <w:fldChar w:fldCharType="end"/>
      </w:r>
      <w:r>
        <w:fldChar w:fldCharType="end"/>
      </w:r>
    </w:p>
    <w:p w14:paraId="314104AF">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"_Toc119937335" </w:instrText>
      </w:r>
      <w:r>
        <w:fldChar w:fldCharType="separate"/>
      </w:r>
      <w:r>
        <w:rPr>
          <w:rStyle w:val="44"/>
          <w:rFonts w:cs="Arial"/>
        </w:rPr>
        <w:t>附件5：利益相关方参与情况</w:t>
      </w:r>
      <w:r>
        <w:tab/>
      </w:r>
      <w:r>
        <w:fldChar w:fldCharType="begin"/>
      </w:r>
      <w:r>
        <w:instrText xml:space="preserve"> PAGEREF _Toc119937335 \h </w:instrText>
      </w:r>
      <w:r>
        <w:fldChar w:fldCharType="separate"/>
      </w:r>
      <w:r>
        <w:t>92</w:t>
      </w:r>
      <w:r>
        <w:fldChar w:fldCharType="end"/>
      </w:r>
      <w:r>
        <w:fldChar w:fldCharType="end"/>
      </w:r>
    </w:p>
    <w:p w14:paraId="265D7309">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"_Toc119937336" </w:instrText>
      </w:r>
      <w:r>
        <w:fldChar w:fldCharType="separate"/>
      </w:r>
      <w:r>
        <w:rPr>
          <w:rStyle w:val="44"/>
          <w:rFonts w:cs="Arial"/>
        </w:rPr>
        <w:t>附件6：本项目ESSA报告公众协商意见反馈</w:t>
      </w:r>
      <w:r>
        <w:tab/>
      </w:r>
      <w:r>
        <w:fldChar w:fldCharType="begin"/>
      </w:r>
      <w:r>
        <w:instrText xml:space="preserve"> PAGEREF _Toc119937336 \h </w:instrText>
      </w:r>
      <w:r>
        <w:fldChar w:fldCharType="separate"/>
      </w:r>
      <w:r>
        <w:t>94</w:t>
      </w:r>
      <w:r>
        <w:fldChar w:fldCharType="end"/>
      </w:r>
      <w:r>
        <w:fldChar w:fldCharType="end"/>
      </w:r>
    </w:p>
    <w:p w14:paraId="6A12E25B">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"_Toc119937337" </w:instrText>
      </w:r>
      <w:r>
        <w:fldChar w:fldCharType="separate"/>
      </w:r>
      <w:r>
        <w:rPr>
          <w:rStyle w:val="44"/>
          <w:rFonts w:cs="Arial"/>
        </w:rPr>
        <w:t>附件7：现场考察照片</w:t>
      </w:r>
      <w:r>
        <w:tab/>
      </w:r>
      <w:r>
        <w:fldChar w:fldCharType="begin"/>
      </w:r>
      <w:r>
        <w:instrText xml:space="preserve"> PAGEREF _Toc119937337 \h </w:instrText>
      </w:r>
      <w:r>
        <w:fldChar w:fldCharType="separate"/>
      </w:r>
      <w:r>
        <w:t>98</w:t>
      </w:r>
      <w:r>
        <w:fldChar w:fldCharType="end"/>
      </w:r>
      <w:r>
        <w:fldChar w:fldCharType="end"/>
      </w:r>
    </w:p>
    <w:p w14:paraId="71829ED6">
      <w:pPr>
        <w:pStyle w:val="25"/>
        <w:rPr>
          <w:rFonts w:asciiTheme="minorHAnsi" w:hAnsiTheme="minorHAnsi" w:eastAsiaTheme="minorEastAsia" w:cstheme="minorBidi"/>
          <w:b w:val="0"/>
          <w:bCs w:val="0"/>
          <w:color w:val="auto"/>
          <w:kern w:val="2"/>
          <w:sz w:val="21"/>
          <w:szCs w:val="24"/>
        </w:rPr>
      </w:pPr>
      <w:r>
        <w:fldChar w:fldCharType="begin"/>
      </w:r>
      <w:r>
        <w:instrText xml:space="preserve"> HYPERLINK \l "_Toc119937338" </w:instrText>
      </w:r>
      <w:r>
        <w:fldChar w:fldCharType="separate"/>
      </w:r>
      <w:r>
        <w:rPr>
          <w:rStyle w:val="44"/>
          <w:rFonts w:cs="Arial"/>
        </w:rPr>
        <w:t>附件8：环境与社会影响消减措施</w:t>
      </w:r>
      <w:r>
        <w:tab/>
      </w:r>
      <w:r>
        <w:fldChar w:fldCharType="begin"/>
      </w:r>
      <w:r>
        <w:instrText xml:space="preserve"> PAGEREF _Toc119937338 \h </w:instrText>
      </w:r>
      <w:r>
        <w:fldChar w:fldCharType="separate"/>
      </w:r>
      <w:r>
        <w:t>101</w:t>
      </w:r>
      <w:r>
        <w:fldChar w:fldCharType="end"/>
      </w:r>
      <w:r>
        <w:fldChar w:fldCharType="end"/>
      </w:r>
    </w:p>
    <w:p w14:paraId="43C55C1F">
      <w:pPr>
        <w:jc w:val="center"/>
        <w:rPr>
          <w:rFonts w:ascii="Arial" w:hAnsi="Arial" w:cs="Arial"/>
          <w:b/>
          <w:bCs/>
          <w:sz w:val="28"/>
          <w:szCs w:val="32"/>
          <w:lang w:val="en-GB"/>
        </w:rPr>
      </w:pPr>
      <w:r>
        <w:rPr>
          <w:rFonts w:ascii="Arial" w:hAnsi="Arial" w:cs="Arial"/>
          <w:b/>
          <w:bCs/>
          <w:color w:val="000000" w:themeColor="text1"/>
          <w:sz w:val="28"/>
          <w:szCs w:val="32"/>
          <w14:textFill>
            <w14:solidFill>
              <w14:schemeClr w14:val="tx1"/>
            </w14:solidFill>
          </w14:textFill>
        </w:rPr>
        <w:fldChar w:fldCharType="end"/>
      </w:r>
    </w:p>
    <w:p w14:paraId="056BF36C">
      <w:pPr>
        <w:jc w:val="center"/>
        <w:rPr>
          <w:rFonts w:ascii="Arial" w:hAnsi="Arial" w:cs="Arial"/>
          <w:b/>
          <w:bCs/>
          <w:color w:val="1F4E79" w:themeColor="accent5" w:themeShade="80"/>
          <w:sz w:val="28"/>
          <w:szCs w:val="32"/>
        </w:rPr>
      </w:pPr>
      <w:bookmarkStart w:id="0" w:name="_Toc79939239"/>
      <w:r>
        <w:rPr>
          <w:rFonts w:ascii="Arial" w:hAnsi="Arial" w:cs="Arial"/>
          <w:b/>
          <w:bCs/>
          <w:color w:val="1F4E79" w:themeColor="accent5" w:themeShade="80"/>
          <w:sz w:val="28"/>
          <w:szCs w:val="32"/>
        </w:rPr>
        <w:t>缩略词</w:t>
      </w:r>
      <w:bookmarkEnd w:id="0"/>
    </w:p>
    <w:p w14:paraId="196627C4">
      <w:pPr>
        <w:jc w:val="center"/>
        <w:rPr>
          <w:rFonts w:ascii="Arial" w:hAnsi="Arial" w:cs="Arial"/>
          <w:b/>
          <w:bCs/>
          <w:color w:val="1F4E79" w:themeColor="accent5" w:themeShade="80"/>
          <w:sz w:val="22"/>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19"/>
        <w:gridCol w:w="7513"/>
      </w:tblGrid>
      <w:tr w14:paraId="39041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7F104026">
            <w:pPr>
              <w:rPr>
                <w:rFonts w:ascii="Arial" w:hAnsi="Arial" w:cs="Arial"/>
                <w:kern w:val="44"/>
                <w:sz w:val="22"/>
              </w:rPr>
            </w:pPr>
            <w:r>
              <w:rPr>
                <w:rFonts w:ascii="Arial" w:hAnsi="Arial" w:cs="Arial"/>
                <w:kern w:val="44"/>
                <w:sz w:val="22"/>
              </w:rPr>
              <w:t>RA</w:t>
            </w:r>
          </w:p>
        </w:tc>
        <w:tc>
          <w:tcPr>
            <w:tcW w:w="7513" w:type="dxa"/>
          </w:tcPr>
          <w:p w14:paraId="2D79E99E">
            <w:pPr>
              <w:rPr>
                <w:rFonts w:ascii="Arial" w:hAnsi="Arial" w:cs="Arial"/>
                <w:kern w:val="44"/>
                <w:sz w:val="22"/>
              </w:rPr>
            </w:pPr>
            <w:r>
              <w:rPr>
                <w:rFonts w:ascii="Arial" w:hAnsi="Arial" w:cs="Arial"/>
                <w:kern w:val="44"/>
                <w:sz w:val="22"/>
              </w:rPr>
              <w:t>结果领域</w:t>
            </w:r>
          </w:p>
        </w:tc>
      </w:tr>
      <w:tr w14:paraId="5F6FC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6CF1968F">
            <w:pPr>
              <w:rPr>
                <w:rFonts w:ascii="Arial" w:hAnsi="Arial" w:cs="Arial"/>
                <w:kern w:val="44"/>
                <w:sz w:val="22"/>
              </w:rPr>
            </w:pPr>
            <w:r>
              <w:rPr>
                <w:rFonts w:ascii="Arial" w:hAnsi="Arial" w:cs="Arial"/>
                <w:kern w:val="44"/>
                <w:sz w:val="22"/>
              </w:rPr>
              <w:t>DLI</w:t>
            </w:r>
          </w:p>
        </w:tc>
        <w:tc>
          <w:tcPr>
            <w:tcW w:w="7513" w:type="dxa"/>
          </w:tcPr>
          <w:p w14:paraId="0B29D8D3">
            <w:pPr>
              <w:rPr>
                <w:rFonts w:ascii="Arial" w:hAnsi="Arial" w:cs="Arial"/>
                <w:kern w:val="44"/>
                <w:sz w:val="22"/>
              </w:rPr>
            </w:pPr>
            <w:r>
              <w:rPr>
                <w:rFonts w:ascii="Arial" w:hAnsi="Arial" w:cs="Arial"/>
                <w:kern w:val="44"/>
                <w:sz w:val="22"/>
              </w:rPr>
              <w:t>支付关联指标</w:t>
            </w:r>
          </w:p>
        </w:tc>
      </w:tr>
      <w:tr w14:paraId="31250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5E3CEA93">
            <w:pPr>
              <w:rPr>
                <w:rFonts w:ascii="Arial" w:hAnsi="Arial" w:cs="Arial"/>
                <w:kern w:val="44"/>
                <w:sz w:val="22"/>
              </w:rPr>
            </w:pPr>
            <w:r>
              <w:rPr>
                <w:rFonts w:ascii="Arial" w:hAnsi="Arial" w:cs="Arial"/>
                <w:kern w:val="44"/>
                <w:sz w:val="22"/>
              </w:rPr>
              <w:t>ESSA</w:t>
            </w:r>
          </w:p>
        </w:tc>
        <w:tc>
          <w:tcPr>
            <w:tcW w:w="7513" w:type="dxa"/>
          </w:tcPr>
          <w:p w14:paraId="61FFE5F0">
            <w:pPr>
              <w:rPr>
                <w:rFonts w:ascii="Arial" w:hAnsi="Arial" w:cs="Arial"/>
                <w:kern w:val="44"/>
                <w:sz w:val="22"/>
              </w:rPr>
            </w:pPr>
            <w:r>
              <w:rPr>
                <w:rFonts w:ascii="Arial" w:hAnsi="Arial" w:cs="Arial"/>
                <w:kern w:val="44"/>
                <w:sz w:val="22"/>
              </w:rPr>
              <w:t>环境与社会系统评价</w:t>
            </w:r>
          </w:p>
        </w:tc>
      </w:tr>
      <w:tr w14:paraId="5C090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75ABA29D">
            <w:pPr>
              <w:rPr>
                <w:rFonts w:ascii="Arial" w:hAnsi="Arial" w:cs="Arial"/>
                <w:kern w:val="44"/>
                <w:sz w:val="22"/>
              </w:rPr>
            </w:pPr>
            <w:r>
              <w:rPr>
                <w:rFonts w:ascii="Arial" w:hAnsi="Arial" w:cs="Arial"/>
                <w:kern w:val="44"/>
                <w:sz w:val="22"/>
              </w:rPr>
              <w:t>FGD</w:t>
            </w:r>
          </w:p>
        </w:tc>
        <w:tc>
          <w:tcPr>
            <w:tcW w:w="7513" w:type="dxa"/>
          </w:tcPr>
          <w:p w14:paraId="548A631C">
            <w:pPr>
              <w:rPr>
                <w:rFonts w:ascii="Arial" w:hAnsi="Arial" w:cs="Arial"/>
                <w:kern w:val="44"/>
                <w:sz w:val="22"/>
              </w:rPr>
            </w:pPr>
            <w:r>
              <w:rPr>
                <w:rFonts w:ascii="Arial" w:hAnsi="Arial" w:cs="Arial"/>
                <w:kern w:val="44"/>
                <w:sz w:val="22"/>
              </w:rPr>
              <w:t>焦点人群访谈</w:t>
            </w:r>
          </w:p>
        </w:tc>
      </w:tr>
      <w:tr w14:paraId="76424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62A84608">
            <w:pPr>
              <w:rPr>
                <w:rFonts w:ascii="Arial" w:hAnsi="Arial" w:cs="Arial"/>
                <w:kern w:val="44"/>
                <w:sz w:val="22"/>
              </w:rPr>
            </w:pPr>
            <w:r>
              <w:rPr>
                <w:rFonts w:ascii="Arial" w:hAnsi="Arial" w:cs="Arial"/>
                <w:kern w:val="44"/>
                <w:sz w:val="22"/>
              </w:rPr>
              <w:t>IPF</w:t>
            </w:r>
          </w:p>
        </w:tc>
        <w:tc>
          <w:tcPr>
            <w:tcW w:w="7513" w:type="dxa"/>
          </w:tcPr>
          <w:p w14:paraId="6C939EDC">
            <w:pPr>
              <w:rPr>
                <w:rFonts w:ascii="Arial" w:hAnsi="Arial" w:cs="Arial"/>
                <w:kern w:val="44"/>
                <w:sz w:val="22"/>
              </w:rPr>
            </w:pPr>
            <w:r>
              <w:rPr>
                <w:rFonts w:ascii="Arial" w:hAnsi="Arial" w:cs="Arial"/>
                <w:kern w:val="44"/>
                <w:sz w:val="22"/>
              </w:rPr>
              <w:t>投资项目融资贷款</w:t>
            </w:r>
          </w:p>
        </w:tc>
      </w:tr>
      <w:tr w14:paraId="3556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67534F23">
            <w:pPr>
              <w:rPr>
                <w:rFonts w:ascii="Arial" w:hAnsi="Arial" w:cs="Arial"/>
                <w:kern w:val="44"/>
                <w:sz w:val="22"/>
              </w:rPr>
            </w:pPr>
            <w:r>
              <w:rPr>
                <w:rFonts w:ascii="Arial" w:hAnsi="Arial" w:cs="Arial"/>
                <w:kern w:val="44"/>
                <w:sz w:val="22"/>
              </w:rPr>
              <w:t>GRM</w:t>
            </w:r>
          </w:p>
        </w:tc>
        <w:tc>
          <w:tcPr>
            <w:tcW w:w="7513" w:type="dxa"/>
          </w:tcPr>
          <w:p w14:paraId="020FDB25">
            <w:pPr>
              <w:rPr>
                <w:rFonts w:ascii="Arial" w:hAnsi="Arial" w:cs="Arial"/>
                <w:kern w:val="44"/>
                <w:sz w:val="22"/>
              </w:rPr>
            </w:pPr>
            <w:r>
              <w:rPr>
                <w:rFonts w:ascii="Arial" w:hAnsi="Arial" w:cs="Arial"/>
                <w:kern w:val="44"/>
                <w:sz w:val="22"/>
              </w:rPr>
              <w:t>申诉机制</w:t>
            </w:r>
          </w:p>
        </w:tc>
      </w:tr>
      <w:tr w14:paraId="19011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5BAB3EA0">
            <w:pPr>
              <w:rPr>
                <w:rFonts w:hint="eastAsia" w:ascii="Arial" w:hAnsi="Arial" w:eastAsia="宋体" w:cs="Arial"/>
                <w:kern w:val="44"/>
                <w:sz w:val="22"/>
                <w:lang w:eastAsia="zh-CN"/>
              </w:rPr>
            </w:pPr>
            <w:r>
              <w:rPr>
                <w:rFonts w:ascii="Arial" w:hAnsi="Arial" w:cs="Arial"/>
                <w:kern w:val="44"/>
                <w:sz w:val="22"/>
              </w:rPr>
              <w:t>LA</w:t>
            </w:r>
            <w:r>
              <w:rPr>
                <w:rFonts w:hint="eastAsia" w:ascii="Arial" w:hAnsi="Arial" w:cs="Arial"/>
                <w:kern w:val="44"/>
                <w:sz w:val="22"/>
                <w:lang w:eastAsia="zh-CN"/>
              </w:rPr>
              <w:t>(</w:t>
            </w:r>
            <w:r>
              <w:rPr>
                <w:rFonts w:ascii="Arial" w:hAnsi="Arial" w:cs="Arial"/>
                <w:kern w:val="44"/>
                <w:sz w:val="22"/>
              </w:rPr>
              <w:t>R</w:t>
            </w:r>
            <w:r>
              <w:rPr>
                <w:rFonts w:hint="eastAsia" w:ascii="Arial" w:hAnsi="Arial" w:cs="Arial"/>
                <w:kern w:val="44"/>
                <w:sz w:val="22"/>
                <w:lang w:eastAsia="zh-CN"/>
              </w:rPr>
              <w:t>)</w:t>
            </w:r>
          </w:p>
        </w:tc>
        <w:tc>
          <w:tcPr>
            <w:tcW w:w="7513" w:type="dxa"/>
          </w:tcPr>
          <w:p w14:paraId="538E668D">
            <w:pPr>
              <w:rPr>
                <w:rFonts w:ascii="Arial" w:hAnsi="Arial" w:cs="Arial"/>
                <w:kern w:val="44"/>
                <w:sz w:val="22"/>
              </w:rPr>
            </w:pPr>
            <w:r>
              <w:rPr>
                <w:rFonts w:ascii="Arial" w:hAnsi="Arial" w:cs="Arial"/>
                <w:kern w:val="44"/>
                <w:sz w:val="22"/>
              </w:rPr>
              <w:t>征地和安置</w:t>
            </w:r>
          </w:p>
        </w:tc>
      </w:tr>
      <w:tr w14:paraId="59AB7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59830870">
            <w:pPr>
              <w:rPr>
                <w:rFonts w:ascii="Arial" w:hAnsi="Arial" w:cs="Arial"/>
                <w:kern w:val="44"/>
                <w:sz w:val="22"/>
              </w:rPr>
            </w:pPr>
            <w:r>
              <w:rPr>
                <w:rFonts w:ascii="Arial" w:hAnsi="Arial" w:cs="Arial"/>
                <w:kern w:val="44"/>
                <w:sz w:val="22"/>
              </w:rPr>
              <w:t>NIMBY</w:t>
            </w:r>
          </w:p>
        </w:tc>
        <w:tc>
          <w:tcPr>
            <w:tcW w:w="7513" w:type="dxa"/>
          </w:tcPr>
          <w:p w14:paraId="12E7977E">
            <w:pPr>
              <w:rPr>
                <w:rFonts w:ascii="Arial" w:hAnsi="Arial" w:cs="Arial"/>
                <w:kern w:val="44"/>
                <w:sz w:val="22"/>
              </w:rPr>
            </w:pPr>
            <w:r>
              <w:rPr>
                <w:rFonts w:ascii="Arial" w:hAnsi="Arial" w:cs="Arial"/>
                <w:kern w:val="44"/>
                <w:sz w:val="22"/>
              </w:rPr>
              <w:t>邻避效应</w:t>
            </w:r>
          </w:p>
        </w:tc>
      </w:tr>
      <w:tr w14:paraId="6F2A4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22348AF5">
            <w:pPr>
              <w:rPr>
                <w:rFonts w:ascii="Arial" w:hAnsi="Arial" w:cs="Arial"/>
                <w:kern w:val="44"/>
                <w:sz w:val="22"/>
              </w:rPr>
            </w:pPr>
            <w:r>
              <w:rPr>
                <w:rFonts w:ascii="Arial" w:hAnsi="Arial" w:cs="Arial"/>
                <w:kern w:val="44"/>
                <w:sz w:val="22"/>
              </w:rPr>
              <w:t>OHS</w:t>
            </w:r>
          </w:p>
        </w:tc>
        <w:tc>
          <w:tcPr>
            <w:tcW w:w="7513" w:type="dxa"/>
          </w:tcPr>
          <w:p w14:paraId="54C39B51">
            <w:pPr>
              <w:rPr>
                <w:rFonts w:ascii="Arial" w:hAnsi="Arial" w:cs="Arial"/>
                <w:kern w:val="44"/>
                <w:sz w:val="22"/>
              </w:rPr>
            </w:pPr>
            <w:r>
              <w:rPr>
                <w:rFonts w:ascii="Arial" w:hAnsi="Arial" w:cs="Arial"/>
                <w:kern w:val="44"/>
                <w:sz w:val="22"/>
              </w:rPr>
              <w:t>职业健康与安全</w:t>
            </w:r>
          </w:p>
        </w:tc>
      </w:tr>
      <w:tr w14:paraId="76C8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434F8ECD">
            <w:pPr>
              <w:rPr>
                <w:rFonts w:ascii="Arial" w:hAnsi="Arial" w:cs="Arial"/>
                <w:kern w:val="44"/>
                <w:sz w:val="22"/>
              </w:rPr>
            </w:pPr>
            <w:r>
              <w:rPr>
                <w:rFonts w:ascii="Arial" w:hAnsi="Arial" w:cs="Arial"/>
                <w:kern w:val="44"/>
                <w:sz w:val="22"/>
              </w:rPr>
              <w:t>PAP</w:t>
            </w:r>
          </w:p>
        </w:tc>
        <w:tc>
          <w:tcPr>
            <w:tcW w:w="7513" w:type="dxa"/>
          </w:tcPr>
          <w:p w14:paraId="5E261A39">
            <w:pPr>
              <w:rPr>
                <w:rFonts w:ascii="Arial" w:hAnsi="Arial" w:cs="Arial"/>
                <w:kern w:val="44"/>
                <w:sz w:val="22"/>
              </w:rPr>
            </w:pPr>
            <w:r>
              <w:rPr>
                <w:rFonts w:ascii="Arial" w:hAnsi="Arial" w:cs="Arial"/>
                <w:kern w:val="44"/>
                <w:sz w:val="22"/>
              </w:rPr>
              <w:t>项目受影响人</w:t>
            </w:r>
          </w:p>
        </w:tc>
      </w:tr>
      <w:tr w14:paraId="2B981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1587803F">
            <w:pPr>
              <w:rPr>
                <w:rFonts w:ascii="Arial" w:hAnsi="Arial" w:cs="Arial"/>
                <w:kern w:val="44"/>
                <w:sz w:val="22"/>
              </w:rPr>
            </w:pPr>
            <w:r>
              <w:rPr>
                <w:rFonts w:ascii="Arial" w:hAnsi="Arial" w:cs="Arial"/>
                <w:sz w:val="22"/>
              </w:rPr>
              <w:t>PforR</w:t>
            </w:r>
          </w:p>
        </w:tc>
        <w:tc>
          <w:tcPr>
            <w:tcW w:w="7513" w:type="dxa"/>
          </w:tcPr>
          <w:p w14:paraId="0A4F9F1F">
            <w:pPr>
              <w:rPr>
                <w:rFonts w:ascii="Arial" w:hAnsi="Arial" w:cs="Arial"/>
                <w:kern w:val="44"/>
                <w:sz w:val="22"/>
              </w:rPr>
            </w:pPr>
            <w:r>
              <w:rPr>
                <w:rFonts w:ascii="Arial" w:hAnsi="Arial" w:cs="Arial"/>
                <w:kern w:val="44"/>
                <w:sz w:val="22"/>
              </w:rPr>
              <w:t>结果导向型规划</w:t>
            </w:r>
          </w:p>
        </w:tc>
      </w:tr>
      <w:tr w14:paraId="38A00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19" w:type="dxa"/>
          </w:tcPr>
          <w:p w14:paraId="05D74E8D">
            <w:pPr>
              <w:rPr>
                <w:rFonts w:ascii="Arial" w:hAnsi="Arial" w:cs="Arial"/>
                <w:sz w:val="22"/>
              </w:rPr>
            </w:pPr>
            <w:r>
              <w:rPr>
                <w:rFonts w:ascii="Arial" w:hAnsi="Arial" w:cs="Arial"/>
                <w:sz w:val="22"/>
              </w:rPr>
              <w:t>SSRA</w:t>
            </w:r>
          </w:p>
        </w:tc>
        <w:tc>
          <w:tcPr>
            <w:tcW w:w="7513" w:type="dxa"/>
          </w:tcPr>
          <w:p w14:paraId="2FED2B39">
            <w:pPr>
              <w:rPr>
                <w:rFonts w:ascii="Arial" w:hAnsi="Arial" w:cs="Arial"/>
                <w:kern w:val="44"/>
                <w:sz w:val="22"/>
              </w:rPr>
            </w:pPr>
            <w:r>
              <w:rPr>
                <w:rFonts w:ascii="Arial" w:hAnsi="Arial" w:cs="Arial"/>
                <w:kern w:val="44"/>
                <w:sz w:val="22"/>
              </w:rPr>
              <w:t>社会稳定风险评估</w:t>
            </w:r>
          </w:p>
        </w:tc>
      </w:tr>
    </w:tbl>
    <w:p w14:paraId="6E0B1FA6">
      <w:pPr>
        <w:jc w:val="center"/>
        <w:rPr>
          <w:rFonts w:ascii="Arial" w:hAnsi="Arial" w:cs="Arial"/>
          <w:b/>
          <w:bCs/>
          <w:color w:val="1F4E79" w:themeColor="accent5" w:themeShade="80"/>
          <w:sz w:val="22"/>
        </w:rPr>
      </w:pPr>
    </w:p>
    <w:p w14:paraId="3BCA1A84">
      <w:pPr>
        <w:rPr>
          <w:rFonts w:ascii="Arial" w:hAnsi="Arial" w:cs="Arial"/>
          <w:sz w:val="28"/>
          <w:szCs w:val="32"/>
        </w:rPr>
        <w:sectPr>
          <w:headerReference r:id="rId8" w:type="default"/>
          <w:footerReference r:id="rId9" w:type="default"/>
          <w:pgSz w:w="11900" w:h="16820"/>
          <w:pgMar w:top="1134" w:right="1134" w:bottom="1134" w:left="1134" w:header="720" w:footer="720" w:gutter="0"/>
          <w:pgNumType w:fmt="lowerRoman" w:start="1"/>
          <w:cols w:space="720" w:num="1"/>
          <w:docGrid w:linePitch="360" w:charSpace="0"/>
        </w:sectPr>
      </w:pPr>
    </w:p>
    <w:p w14:paraId="5368137E">
      <w:pPr>
        <w:pStyle w:val="2"/>
        <w:numPr>
          <w:ilvl w:val="0"/>
          <w:numId w:val="4"/>
        </w:numPr>
        <w:tabs>
          <w:tab w:val="left" w:pos="851"/>
        </w:tabs>
        <w:adjustRightInd w:val="0"/>
        <w:snapToGrid w:val="0"/>
        <w:spacing w:before="120" w:after="120" w:line="240" w:lineRule="auto"/>
        <w:rPr>
          <w:rFonts w:ascii="Arial" w:hAnsi="Arial" w:cs="Arial"/>
          <w:color w:val="1F4E79" w:themeColor="accent5" w:themeShade="80"/>
          <w:sz w:val="28"/>
          <w:szCs w:val="28"/>
        </w:rPr>
      </w:pPr>
      <w:bookmarkStart w:id="1" w:name="_Toc79939240"/>
      <w:r>
        <w:rPr>
          <w:rFonts w:ascii="Arial" w:hAnsi="Arial" w:cs="Arial"/>
          <w:color w:val="1F4E79" w:themeColor="accent5" w:themeShade="80"/>
          <w:sz w:val="28"/>
          <w:szCs w:val="28"/>
        </w:rPr>
        <w:tab/>
      </w:r>
      <w:bookmarkStart w:id="2" w:name="_Toc119937270"/>
      <w:r>
        <w:rPr>
          <w:rFonts w:ascii="Arial" w:hAnsi="Arial" w:cs="Arial"/>
          <w:color w:val="1F4E79" w:themeColor="accent5" w:themeShade="80"/>
          <w:sz w:val="28"/>
          <w:szCs w:val="28"/>
        </w:rPr>
        <w:t>前言</w:t>
      </w:r>
      <w:bookmarkEnd w:id="1"/>
      <w:bookmarkEnd w:id="2"/>
    </w:p>
    <w:p w14:paraId="5AC0A4EF">
      <w:pPr>
        <w:pStyle w:val="48"/>
        <w:adjustRightInd w:val="0"/>
        <w:snapToGrid w:val="0"/>
        <w:spacing w:before="120" w:beforeLines="50" w:after="120" w:afterLines="50"/>
        <w:ind w:left="420" w:firstLineChars="0"/>
        <w:rPr>
          <w:rFonts w:ascii="Arial" w:hAnsi="Arial" w:cs="Arial"/>
          <w:b/>
          <w:bCs/>
          <w:color w:val="1F4E79" w:themeColor="accent5" w:themeShade="80"/>
          <w:sz w:val="22"/>
        </w:rPr>
      </w:pPr>
      <w:bookmarkStart w:id="3" w:name="_Toc101058893"/>
      <w:bookmarkEnd w:id="3"/>
      <w:bookmarkStart w:id="4" w:name="_Toc105680392"/>
      <w:bookmarkEnd w:id="4"/>
      <w:bookmarkStart w:id="5" w:name="_Toc100883971"/>
      <w:bookmarkEnd w:id="5"/>
      <w:bookmarkStart w:id="6" w:name="_Toc100613677"/>
      <w:bookmarkEnd w:id="6"/>
      <w:bookmarkStart w:id="7" w:name="_Toc105711256"/>
      <w:bookmarkEnd w:id="7"/>
      <w:bookmarkStart w:id="8" w:name="_Toc101056873"/>
      <w:bookmarkEnd w:id="8"/>
      <w:bookmarkStart w:id="9" w:name="_Toc105679554"/>
      <w:bookmarkEnd w:id="9"/>
      <w:bookmarkStart w:id="10" w:name="_Toc101056670"/>
      <w:bookmarkEnd w:id="10"/>
      <w:bookmarkStart w:id="11" w:name="_Toc105709823"/>
      <w:bookmarkEnd w:id="11"/>
      <w:bookmarkStart w:id="12" w:name="_Toc105680454"/>
      <w:bookmarkEnd w:id="12"/>
      <w:bookmarkStart w:id="13" w:name="_Toc100884023"/>
      <w:bookmarkEnd w:id="13"/>
      <w:bookmarkStart w:id="14" w:name="_Toc101043403"/>
      <w:bookmarkEnd w:id="14"/>
      <w:bookmarkStart w:id="15" w:name="_Toc100870480"/>
      <w:bookmarkEnd w:id="15"/>
      <w:bookmarkStart w:id="16" w:name="_Toc101054318"/>
      <w:bookmarkEnd w:id="16"/>
      <w:bookmarkStart w:id="17" w:name="_Toc105768769"/>
      <w:bookmarkEnd w:id="17"/>
      <w:bookmarkStart w:id="18" w:name="_Toc101059148"/>
      <w:bookmarkEnd w:id="18"/>
      <w:bookmarkStart w:id="19" w:name="_Toc103807087"/>
      <w:bookmarkEnd w:id="19"/>
      <w:bookmarkStart w:id="20" w:name="_Toc104641024"/>
      <w:bookmarkEnd w:id="20"/>
      <w:bookmarkStart w:id="21" w:name="_Toc106310861"/>
      <w:bookmarkEnd w:id="21"/>
      <w:bookmarkStart w:id="22" w:name="_Toc101115820"/>
      <w:bookmarkEnd w:id="22"/>
      <w:bookmarkStart w:id="23" w:name="_Toc105711443"/>
      <w:bookmarkEnd w:id="23"/>
      <w:bookmarkStart w:id="24" w:name="_Toc101056920"/>
      <w:bookmarkEnd w:id="24"/>
      <w:bookmarkStart w:id="25" w:name="_Toc103108866"/>
      <w:bookmarkEnd w:id="25"/>
      <w:bookmarkStart w:id="26" w:name="_Toc106094904"/>
      <w:bookmarkEnd w:id="26"/>
      <w:bookmarkStart w:id="27" w:name="_Toc101056793"/>
      <w:bookmarkEnd w:id="27"/>
      <w:bookmarkStart w:id="28" w:name="_Toc100884740"/>
      <w:bookmarkEnd w:id="28"/>
      <w:bookmarkStart w:id="29" w:name="_Toc103108595"/>
      <w:bookmarkEnd w:id="29"/>
      <w:bookmarkStart w:id="30" w:name="_Toc105160620"/>
      <w:bookmarkEnd w:id="30"/>
      <w:bookmarkStart w:id="31" w:name="_Toc101455041"/>
      <w:bookmarkEnd w:id="31"/>
      <w:bookmarkStart w:id="32" w:name="_Toc105711374"/>
      <w:bookmarkEnd w:id="32"/>
      <w:bookmarkStart w:id="33" w:name="_Toc101058505"/>
      <w:bookmarkEnd w:id="33"/>
      <w:bookmarkStart w:id="34" w:name="_Toc101058977"/>
      <w:bookmarkEnd w:id="34"/>
      <w:bookmarkStart w:id="35" w:name="_Toc101056747"/>
      <w:bookmarkEnd w:id="35"/>
      <w:bookmarkStart w:id="36" w:name="_Toc100884644"/>
      <w:bookmarkEnd w:id="36"/>
      <w:bookmarkStart w:id="37" w:name="_Toc100674569"/>
      <w:bookmarkEnd w:id="37"/>
      <w:bookmarkStart w:id="38" w:name="_Toc102247590"/>
      <w:bookmarkEnd w:id="38"/>
      <w:bookmarkStart w:id="39" w:name="_Toc101038508"/>
      <w:bookmarkEnd w:id="39"/>
      <w:bookmarkStart w:id="40" w:name="_Toc100884227"/>
      <w:bookmarkEnd w:id="40"/>
      <w:r>
        <w:rPr>
          <w:rFonts w:ascii="Arial" w:hAnsi="Arial" w:cs="Arial"/>
          <w:b/>
          <w:bCs/>
          <w:color w:val="1F4E79" w:themeColor="accent5" w:themeShade="80"/>
          <w:sz w:val="22"/>
        </w:rPr>
        <w:t>背景</w:t>
      </w:r>
    </w:p>
    <w:p w14:paraId="2B844EB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2022年3月31日世行批准了结果导向型绿色农业与乡村振兴项目</w:t>
      </w:r>
      <w:r>
        <w:rPr>
          <w:rFonts w:hint="eastAsia" w:ascii="Arial" w:hAnsi="Arial" w:cs="Arial"/>
          <w:sz w:val="22"/>
          <w:lang w:eastAsia="zh-CN"/>
        </w:rPr>
        <w:t>（</w:t>
      </w:r>
      <w:r>
        <w:rPr>
          <w:rFonts w:ascii="Arial" w:hAnsi="Arial" w:cs="Arial"/>
          <w:sz w:val="22"/>
        </w:rPr>
        <w:t>P177590</w:t>
      </w:r>
      <w:r>
        <w:rPr>
          <w:rFonts w:hint="eastAsia" w:ascii="Arial" w:hAnsi="Arial" w:cs="Arial"/>
          <w:sz w:val="22"/>
          <w:lang w:eastAsia="zh-CN"/>
        </w:rPr>
        <w:t>）</w:t>
      </w:r>
      <w:r>
        <w:rPr>
          <w:rFonts w:ascii="Arial" w:hAnsi="Arial" w:cs="Arial"/>
          <w:sz w:val="22"/>
        </w:rPr>
        <w:t xml:space="preserve"> （以下简称</w:t>
      </w:r>
      <w:r>
        <w:rPr>
          <w:rFonts w:hint="eastAsia" w:ascii="Arial" w:hAnsi="Arial" w:cs="Arial"/>
          <w:sz w:val="22"/>
        </w:rPr>
        <w:t>一期</w:t>
      </w:r>
      <w:r>
        <w:rPr>
          <w:rFonts w:ascii="Arial" w:hAnsi="Arial" w:cs="Arial"/>
          <w:sz w:val="22"/>
        </w:rPr>
        <w:t>项目），利用3.2亿美元结果导向型规划贷款支持国家《</w:t>
      </w:r>
      <w:r>
        <w:rPr>
          <w:rFonts w:ascii="Arial" w:hAnsi="Arial" w:cs="Arial"/>
          <w:color w:val="000000" w:themeColor="text1"/>
          <w:sz w:val="22"/>
          <w14:textFill>
            <w14:solidFill>
              <w14:schemeClr w14:val="tx1"/>
            </w14:solidFill>
          </w14:textFill>
        </w:rPr>
        <w:t>乡村振兴计划（2018</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2035）</w:t>
      </w:r>
      <w:r>
        <w:rPr>
          <w:rFonts w:ascii="Arial" w:hAnsi="Arial" w:cs="Arial"/>
          <w:sz w:val="22"/>
        </w:rPr>
        <w:t>》在广西和贵州实施《</w:t>
      </w:r>
      <w:r>
        <w:rPr>
          <w:rFonts w:ascii="Arial" w:hAnsi="Arial" w:cs="Arial"/>
          <w:color w:val="000000" w:themeColor="text1"/>
          <w:sz w:val="22"/>
          <w14:textFill>
            <w14:solidFill>
              <w14:schemeClr w14:val="tx1"/>
            </w14:solidFill>
          </w14:textFill>
        </w:rPr>
        <w:t>乡村振兴战略规划</w:t>
      </w:r>
      <w:r>
        <w:rPr>
          <w:rFonts w:ascii="Arial" w:hAnsi="Arial" w:cs="Arial"/>
          <w:sz w:val="22"/>
        </w:rPr>
        <w:t xml:space="preserve">》，通过开展三个结果领域内的活动，即RA1 </w:t>
      </w:r>
      <w:r>
        <w:rPr>
          <w:rFonts w:hint="eastAsia" w:ascii="Arial" w:hAnsi="Arial" w:cs="Arial"/>
          <w:sz w:val="22"/>
          <w:lang w:eastAsia="zh-CN"/>
        </w:rPr>
        <w:t>—</w:t>
      </w:r>
      <w:r>
        <w:rPr>
          <w:rFonts w:ascii="Arial" w:hAnsi="Arial" w:cs="Arial"/>
          <w:sz w:val="22"/>
        </w:rPr>
        <w:t xml:space="preserve"> 加强机构管理能力，RA2 </w:t>
      </w:r>
      <w:r>
        <w:rPr>
          <w:rFonts w:hint="eastAsia" w:ascii="Arial" w:hAnsi="Arial" w:cs="Arial"/>
          <w:sz w:val="22"/>
          <w:lang w:eastAsia="zh-CN"/>
        </w:rPr>
        <w:t>—</w:t>
      </w:r>
      <w:r>
        <w:rPr>
          <w:rFonts w:ascii="Arial" w:hAnsi="Arial" w:cs="Arial"/>
          <w:sz w:val="22"/>
        </w:rPr>
        <w:t xml:space="preserve"> 绿色农业全产业链发展，RA3 </w:t>
      </w:r>
      <w:r>
        <w:rPr>
          <w:rFonts w:hint="eastAsia" w:ascii="Arial" w:hAnsi="Arial" w:cs="Arial"/>
          <w:sz w:val="22"/>
          <w:lang w:eastAsia="zh-CN"/>
        </w:rPr>
        <w:t>—</w:t>
      </w:r>
      <w:r>
        <w:rPr>
          <w:rFonts w:ascii="Arial" w:hAnsi="Arial" w:cs="Arial"/>
          <w:sz w:val="22"/>
        </w:rPr>
        <w:t xml:space="preserve"> 改善农村生活垃圾和生活污水服务，以促进广西和贵州选点地区的环境可持续农业和农村基础设施发展。目前，世行团队和中国政府仍在推进一期项目的协议签署和生效工作。</w:t>
      </w:r>
    </w:p>
    <w:p w14:paraId="0DCBF5C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bCs/>
          <w:sz w:val="22"/>
        </w:rPr>
      </w:pPr>
      <w:r>
        <w:rPr>
          <w:rFonts w:ascii="Arial" w:hAnsi="Arial" w:cs="Arial"/>
          <w:sz w:val="22"/>
        </w:rPr>
        <w:t>本次利用结果导向型规划贷款开展</w:t>
      </w:r>
      <w:r>
        <w:rPr>
          <w:rFonts w:ascii="Arial" w:hAnsi="Arial" w:cs="Arial"/>
          <w:bCs/>
          <w:sz w:val="22"/>
        </w:rPr>
        <w:t>世行绿色农业与乡村振兴项目</w:t>
      </w:r>
      <w:r>
        <w:rPr>
          <w:rFonts w:hint="eastAsia" w:ascii="Arial" w:hAnsi="Arial" w:cs="Arial"/>
          <w:sz w:val="22"/>
        </w:rPr>
        <w:t>（湖北和湖南）</w:t>
      </w:r>
      <w:r>
        <w:rPr>
          <w:rFonts w:ascii="Arial" w:hAnsi="Arial" w:cs="Arial"/>
          <w:sz w:val="22"/>
        </w:rPr>
        <w:t>（以下简称本项目），将作为一期项目的延伸，继续支持国家</w:t>
      </w:r>
      <w:r>
        <w:rPr>
          <w:rFonts w:ascii="Arial" w:hAnsi="Arial" w:cs="Arial"/>
          <w:bCs/>
          <w:sz w:val="22"/>
        </w:rPr>
        <w:t xml:space="preserve">《乡村振兴规划 </w:t>
      </w:r>
      <w:r>
        <w:rPr>
          <w:rFonts w:hint="eastAsia" w:ascii="Arial" w:hAnsi="Arial" w:cs="Arial"/>
          <w:bCs/>
          <w:sz w:val="22"/>
          <w:lang w:eastAsia="zh-CN"/>
        </w:rPr>
        <w:t>（</w:t>
      </w:r>
      <w:r>
        <w:rPr>
          <w:rFonts w:ascii="Arial" w:hAnsi="Arial" w:cs="Arial"/>
          <w:bCs/>
          <w:sz w:val="22"/>
        </w:rPr>
        <w:t>2018</w:t>
      </w:r>
      <w:r>
        <w:rPr>
          <w:rFonts w:hint="eastAsia" w:ascii="Arial" w:hAnsi="Arial" w:cs="Arial"/>
          <w:bCs/>
          <w:sz w:val="22"/>
          <w:lang w:eastAsia="zh-CN"/>
        </w:rPr>
        <w:t>—</w:t>
      </w:r>
      <w:r>
        <w:rPr>
          <w:rFonts w:ascii="Arial" w:hAnsi="Arial" w:cs="Arial"/>
          <w:bCs/>
          <w:sz w:val="22"/>
        </w:rPr>
        <w:t>2035年</w:t>
      </w:r>
      <w:r>
        <w:rPr>
          <w:rFonts w:hint="eastAsia" w:ascii="Arial" w:hAnsi="Arial" w:cs="Arial"/>
          <w:bCs/>
          <w:sz w:val="22"/>
          <w:lang w:eastAsia="zh-CN"/>
        </w:rPr>
        <w:t>）</w:t>
      </w:r>
      <w:r>
        <w:rPr>
          <w:rFonts w:ascii="Arial" w:hAnsi="Arial" w:cs="Arial"/>
          <w:bCs/>
          <w:sz w:val="22"/>
        </w:rPr>
        <w:t>》</w:t>
      </w:r>
      <w:r>
        <w:rPr>
          <w:rFonts w:ascii="Arial" w:hAnsi="Arial" w:cs="Arial"/>
          <w:sz w:val="22"/>
        </w:rPr>
        <w:t>的实施，包括：</w:t>
      </w:r>
    </w:p>
    <w:p w14:paraId="649FC6F3">
      <w:pPr>
        <w:pStyle w:val="48"/>
        <w:widowControl w:val="0"/>
        <w:numPr>
          <w:ilvl w:val="0"/>
          <w:numId w:val="6"/>
        </w:numPr>
        <w:tabs>
          <w:tab w:val="left" w:pos="851"/>
        </w:tabs>
        <w:adjustRightInd w:val="0"/>
        <w:snapToGrid w:val="0"/>
        <w:spacing w:before="120" w:after="120"/>
        <w:ind w:hanging="562" w:firstLineChars="0"/>
        <w:jc w:val="both"/>
        <w:rPr>
          <w:rFonts w:ascii="Arial" w:hAnsi="Arial" w:cs="Arial"/>
          <w:bCs/>
          <w:sz w:val="22"/>
        </w:rPr>
      </w:pPr>
      <w:r>
        <w:rPr>
          <w:rFonts w:ascii="Arial" w:hAnsi="Arial" w:cs="Arial"/>
          <w:bCs/>
          <w:sz w:val="22"/>
        </w:rPr>
        <w:t xml:space="preserve">国家乡村振兴局中国国际扶贫中心实施 </w:t>
      </w:r>
      <w:r>
        <w:rPr>
          <w:rFonts w:hint="eastAsia" w:ascii="Arial" w:hAnsi="Arial" w:cs="Arial"/>
          <w:bCs/>
          <w:sz w:val="22"/>
          <w:lang w:eastAsia="zh-CN"/>
        </w:rPr>
        <w:t>（</w:t>
      </w:r>
      <w:r>
        <w:rPr>
          <w:rFonts w:ascii="Arial" w:hAnsi="Arial" w:cs="Arial"/>
          <w:bCs/>
          <w:sz w:val="22"/>
        </w:rPr>
        <w:t>1</w:t>
      </w:r>
      <w:r>
        <w:rPr>
          <w:rFonts w:hint="eastAsia" w:ascii="Arial" w:hAnsi="Arial" w:cs="Arial"/>
          <w:bCs/>
          <w:sz w:val="22"/>
          <w:lang w:eastAsia="zh-CN"/>
        </w:rPr>
        <w:t>）</w:t>
      </w:r>
      <w:r>
        <w:rPr>
          <w:rFonts w:ascii="Arial" w:hAnsi="Arial" w:cs="Arial"/>
          <w:bCs/>
          <w:sz w:val="22"/>
        </w:rPr>
        <w:t xml:space="preserve"> 农村基础设施和公共服务分布与监测评估的电子信息平台开发；</w:t>
      </w:r>
      <w:r>
        <w:rPr>
          <w:rFonts w:hint="eastAsia" w:ascii="Arial" w:hAnsi="Arial" w:cs="Arial"/>
          <w:bCs/>
          <w:sz w:val="22"/>
          <w:lang w:eastAsia="zh-CN"/>
        </w:rPr>
        <w:t>（</w:t>
      </w:r>
      <w:r>
        <w:rPr>
          <w:rFonts w:ascii="Arial" w:hAnsi="Arial" w:cs="Arial"/>
          <w:bCs/>
          <w:sz w:val="22"/>
        </w:rPr>
        <w:t>2</w:t>
      </w:r>
      <w:r>
        <w:rPr>
          <w:rFonts w:hint="eastAsia" w:ascii="Arial" w:hAnsi="Arial" w:cs="Arial"/>
          <w:bCs/>
          <w:sz w:val="22"/>
          <w:lang w:eastAsia="zh-CN"/>
        </w:rPr>
        <w:t>）</w:t>
      </w:r>
      <w:r>
        <w:rPr>
          <w:rFonts w:ascii="Arial" w:hAnsi="Arial" w:cs="Arial"/>
          <w:bCs/>
          <w:sz w:val="22"/>
        </w:rPr>
        <w:t xml:space="preserve"> 农业和农村温室气体减排的监测、报告和复核机制开发。</w:t>
      </w:r>
      <w:r>
        <w:rPr>
          <w:rFonts w:hint="eastAsia" w:ascii="Arial" w:hAnsi="Arial" w:cs="Arial"/>
          <w:bCs/>
          <w:sz w:val="22"/>
        </w:rPr>
        <w:t>在本项目生效（2025年6月10日）前，应财政部2025年3月的要求，此子项目的活动转由湖北省和湖南省实施。</w:t>
      </w:r>
    </w:p>
    <w:p w14:paraId="60A05050">
      <w:pPr>
        <w:pStyle w:val="48"/>
        <w:widowControl w:val="0"/>
        <w:numPr>
          <w:ilvl w:val="0"/>
          <w:numId w:val="6"/>
        </w:numPr>
        <w:tabs>
          <w:tab w:val="left" w:pos="851"/>
        </w:tabs>
        <w:adjustRightInd w:val="0"/>
        <w:snapToGrid w:val="0"/>
        <w:spacing w:before="120" w:after="120"/>
        <w:ind w:hanging="562" w:firstLineChars="0"/>
        <w:jc w:val="both"/>
        <w:rPr>
          <w:rFonts w:ascii="Arial" w:hAnsi="Arial" w:cs="Arial"/>
          <w:bCs/>
          <w:sz w:val="22"/>
        </w:rPr>
      </w:pPr>
      <w:bookmarkStart w:id="41" w:name="_Toc42159664"/>
      <w:bookmarkStart w:id="42" w:name="_Toc472708272"/>
      <w:r>
        <w:rPr>
          <w:rFonts w:ascii="Arial" w:hAnsi="Arial" w:cs="Arial"/>
          <w:sz w:val="22"/>
        </w:rPr>
        <w:t>湖南和湖北</w:t>
      </w:r>
      <w:r>
        <w:rPr>
          <w:rFonts w:ascii="Arial" w:hAnsi="Arial" w:cs="Arial"/>
          <w:bCs/>
          <w:sz w:val="22"/>
        </w:rPr>
        <w:t>两省环境可持续农业和农村基础设施发展。</w:t>
      </w:r>
    </w:p>
    <w:p w14:paraId="0135E675">
      <w:pPr>
        <w:pStyle w:val="48"/>
        <w:adjustRightInd w:val="0"/>
        <w:snapToGrid w:val="0"/>
        <w:spacing w:before="120" w:beforeLines="50" w:after="120" w:afterLines="50"/>
        <w:ind w:left="420" w:firstLineChars="0"/>
        <w:rPr>
          <w:rFonts w:ascii="Arial" w:hAnsi="Arial" w:cs="Arial"/>
          <w:b/>
          <w:bCs/>
          <w:color w:val="1F4E79" w:themeColor="accent5" w:themeShade="80"/>
          <w:sz w:val="22"/>
        </w:rPr>
      </w:pPr>
      <w:r>
        <w:rPr>
          <w:rFonts w:ascii="Arial" w:hAnsi="Arial" w:cs="Arial"/>
          <w:b/>
          <w:bCs/>
          <w:color w:val="1F4E79" w:themeColor="accent5" w:themeShade="80"/>
          <w:sz w:val="22"/>
        </w:rPr>
        <w:t>本次评价的目的和任务</w:t>
      </w:r>
    </w:p>
    <w:p w14:paraId="0BD6BE5F">
      <w:pPr>
        <w:pStyle w:val="48"/>
        <w:widowControl w:val="0"/>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根据《世行</w:t>
      </w:r>
      <w:r>
        <w:rPr>
          <w:rFonts w:ascii="Arial" w:hAnsi="Arial" w:cs="Arial"/>
          <w:bCs/>
          <w:sz w:val="22"/>
        </w:rPr>
        <w:t>结果导向型贷款项目</w:t>
      </w:r>
      <w:r>
        <w:rPr>
          <w:rFonts w:ascii="Arial" w:hAnsi="Arial" w:cs="Arial"/>
          <w:sz w:val="22"/>
        </w:rPr>
        <w:t>环境与社会系统评价导则》，本次编制《环境与社会系统评价》（</w:t>
      </w:r>
      <w:r>
        <w:rPr>
          <w:rFonts w:ascii="Arial" w:hAnsi="Arial" w:cs="Arial"/>
          <w:bCs/>
          <w:sz w:val="22"/>
        </w:rPr>
        <w:t>ESSA，以下简称本</w:t>
      </w:r>
      <w:r>
        <w:rPr>
          <w:rFonts w:ascii="Arial" w:hAnsi="Arial" w:cs="Arial"/>
          <w:sz w:val="22"/>
        </w:rPr>
        <w:t>报告）</w:t>
      </w:r>
      <w:r>
        <w:rPr>
          <w:rFonts w:ascii="Arial" w:hAnsi="Arial" w:cs="Arial"/>
          <w:bCs/>
          <w:sz w:val="22"/>
        </w:rPr>
        <w:t>作为</w:t>
      </w:r>
      <w:r>
        <w:rPr>
          <w:rFonts w:ascii="Arial" w:hAnsi="Arial" w:cs="Arial"/>
          <w:sz w:val="22"/>
        </w:rPr>
        <w:t>管理工具，通过识别本项目的环境与社会风险、评价中国政府管理这些风险的能力、根据需要提出改进措施，来指导本项目运用国内体系管理相关的环境与社会风险。本次评价将关注以下任务：</w:t>
      </w:r>
    </w:p>
    <w:p w14:paraId="4851E7E7">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识别、排查、评价本项目活动潜在的环境与社会影响和风险；</w:t>
      </w:r>
    </w:p>
    <w:p w14:paraId="093A6067">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识别适用于本项目的国家、省级和地方环境与社会管理的</w:t>
      </w:r>
      <w:r>
        <w:rPr>
          <w:rFonts w:hint="eastAsia" w:ascii="Arial" w:hAnsi="Arial" w:cs="Arial"/>
          <w:bCs/>
          <w:sz w:val="22"/>
          <w:lang w:eastAsia="zh-CN"/>
        </w:rPr>
        <w:t>法律法规</w:t>
      </w:r>
      <w:r>
        <w:rPr>
          <w:rFonts w:ascii="Arial" w:hAnsi="Arial" w:cs="Arial"/>
          <w:bCs/>
          <w:sz w:val="22"/>
        </w:rPr>
        <w:t>、政策等；</w:t>
      </w:r>
    </w:p>
    <w:p w14:paraId="1F90F230">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识别省及地方与本项目环境与社会管理相关的机构设置和实施程序；</w:t>
      </w:r>
    </w:p>
    <w:p w14:paraId="16A7D9B5">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评价本项目环境与社会管理相关机构的管理绩效；</w:t>
      </w:r>
    </w:p>
    <w:p w14:paraId="4057A60F">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提出建议和计划，按国家规定和世行</w:t>
      </w:r>
      <w:r>
        <w:rPr>
          <w:rFonts w:ascii="Arial" w:hAnsi="Arial" w:cs="Arial"/>
          <w:sz w:val="22"/>
        </w:rPr>
        <w:t>PforR</w:t>
      </w:r>
      <w:r>
        <w:rPr>
          <w:rFonts w:ascii="Arial" w:hAnsi="Arial" w:cs="Arial"/>
          <w:bCs/>
          <w:sz w:val="22"/>
        </w:rPr>
        <w:t>政策的要求改善环境与社会管理绩效。</w:t>
      </w:r>
    </w:p>
    <w:p w14:paraId="7D8A54DA">
      <w:pPr>
        <w:pStyle w:val="48"/>
        <w:adjustRightInd w:val="0"/>
        <w:snapToGrid w:val="0"/>
        <w:spacing w:before="120" w:beforeLines="50" w:after="120" w:afterLines="50"/>
        <w:ind w:left="420" w:firstLineChars="0"/>
        <w:rPr>
          <w:rFonts w:ascii="Arial" w:hAnsi="Arial" w:cs="Arial"/>
          <w:b/>
          <w:bCs/>
          <w:color w:val="1F4E79" w:themeColor="accent5" w:themeShade="80"/>
          <w:sz w:val="22"/>
        </w:rPr>
      </w:pPr>
      <w:r>
        <w:rPr>
          <w:rFonts w:ascii="Arial" w:hAnsi="Arial" w:cs="Arial"/>
          <w:b/>
          <w:bCs/>
          <w:color w:val="1F4E79" w:themeColor="accent5" w:themeShade="80"/>
          <w:sz w:val="22"/>
        </w:rPr>
        <w:t>本次评价的程序与方法</w:t>
      </w:r>
    </w:p>
    <w:p w14:paraId="3EE6335F">
      <w:pPr>
        <w:pStyle w:val="48"/>
        <w:widowControl w:val="0"/>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具体开展环境与社会系统评价工作并编制报告的责任在于世行，但世行团队也在很大程度上依赖中国政府的协助，尤其是在项目周期各阶段开展信息收集和公众咨询方面。</w:t>
      </w:r>
    </w:p>
    <w:p w14:paraId="204D86E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在项目识别阶段</w:t>
      </w:r>
      <w:r>
        <w:rPr>
          <w:rFonts w:ascii="Arial" w:hAnsi="Arial" w:cs="Arial"/>
          <w:sz w:val="22"/>
        </w:rPr>
        <w:t>，分为两步开展环境与社会风险筛查工作：使用环境与社会排除原则，将不符合PforR融资条件的活动排除在本项目范围之外；对本项目环境与社会影响进行初步评估和风险评级。</w:t>
      </w:r>
      <w:r>
        <w:rPr>
          <w:rFonts w:ascii="Arial" w:hAnsi="Arial" w:cs="Arial"/>
          <w:b/>
          <w:bCs/>
          <w:sz w:val="22"/>
        </w:rPr>
        <w:t>在项目准备阶段</w:t>
      </w:r>
      <w:r>
        <w:rPr>
          <w:rFonts w:ascii="Arial" w:hAnsi="Arial" w:cs="Arial"/>
          <w:sz w:val="22"/>
        </w:rPr>
        <w:t>，世行团队根据商定的项目范围全面开展环境与社会系统评价工作，包括评价项目的环境与社会效益、影响和风险，从法律框架、机构安排和实施绩效等方面评价国内环境与社会管理系统，并对比世行政策提出改进措施和行动计划。针对本报告与相关政府部门进行磋商，并根据反馈意见对报告进行完善。</w:t>
      </w:r>
      <w:r>
        <w:rPr>
          <w:rFonts w:ascii="Arial" w:hAnsi="Arial" w:cs="Arial"/>
          <w:b/>
          <w:bCs/>
          <w:sz w:val="22"/>
        </w:rPr>
        <w:t>在项目评估阶段</w:t>
      </w:r>
      <w:r>
        <w:rPr>
          <w:rFonts w:ascii="Arial" w:hAnsi="Arial" w:cs="Arial"/>
          <w:sz w:val="22"/>
        </w:rPr>
        <w:t>，就本报告所建议的行动方案达成一致意见并纳入项目总体行动计划，最终报告在世行和中国政府网站上进行披露。</w:t>
      </w:r>
    </w:p>
    <w:p w14:paraId="593BFE2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为了顺利开展本次评价，世行团队采用多种方法进行资料收集和咨询协商。为此，从23个示范市县中选择了6个样本市县，选择时采用了以下标准：</w:t>
      </w:r>
      <w:r>
        <w:rPr>
          <w:rFonts w:hint="eastAsia" w:ascii="Arial" w:hAnsi="Arial" w:cs="Arial"/>
          <w:sz w:val="22"/>
          <w:lang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rPr>
        <w:t xml:space="preserve"> 分布在不同的地级市；</w:t>
      </w:r>
      <w:r>
        <w:rPr>
          <w:rFonts w:hint="eastAsia" w:ascii="Arial" w:hAnsi="Arial" w:cs="Arial"/>
          <w:sz w:val="22"/>
          <w:lang w:eastAsia="zh-CN"/>
        </w:rPr>
        <w:t>（</w:t>
      </w:r>
      <w:r>
        <w:rPr>
          <w:rFonts w:ascii="Arial" w:hAnsi="Arial" w:cs="Arial"/>
          <w:sz w:val="22"/>
        </w:rPr>
        <w:t>2</w:t>
      </w:r>
      <w:r>
        <w:rPr>
          <w:rFonts w:hint="eastAsia" w:ascii="Arial" w:hAnsi="Arial" w:cs="Arial"/>
          <w:sz w:val="22"/>
          <w:lang w:eastAsia="zh-CN"/>
        </w:rPr>
        <w:t>）</w:t>
      </w:r>
      <w:r>
        <w:rPr>
          <w:rFonts w:ascii="Arial" w:hAnsi="Arial" w:cs="Arial"/>
          <w:sz w:val="22"/>
        </w:rPr>
        <w:t xml:space="preserve"> 包含代表性的少数民族村庄。同时也通过省项目办收集了其他项目县的资料。</w:t>
      </w:r>
    </w:p>
    <w:p w14:paraId="6D927356">
      <w:pPr>
        <w:pStyle w:val="48"/>
        <w:widowControl w:val="0"/>
        <w:numPr>
          <w:ilvl w:val="0"/>
          <w:numId w:val="7"/>
        </w:numPr>
        <w:snapToGrid w:val="0"/>
        <w:ind w:left="851" w:hanging="851" w:firstLineChars="0"/>
        <w:jc w:val="both"/>
        <w:rPr>
          <w:rFonts w:ascii="Arial" w:hAnsi="Arial" w:cs="Arial"/>
          <w:b/>
          <w:bCs/>
          <w:sz w:val="22"/>
        </w:rPr>
      </w:pPr>
      <w:r>
        <w:rPr>
          <w:rFonts w:ascii="Arial" w:hAnsi="Arial" w:cs="Arial"/>
          <w:b/>
          <w:bCs/>
          <w:sz w:val="22"/>
        </w:rPr>
        <w:t>二手资料收集与案头研究：</w:t>
      </w:r>
      <w:r>
        <w:rPr>
          <w:rFonts w:ascii="Arial" w:hAnsi="Arial" w:cs="Arial"/>
          <w:sz w:val="22"/>
        </w:rPr>
        <w:t>尽量收集和利用二手资料，包括省级和样本市县政府部门提供的资料、网上查到的公开资料、出版的文献书籍等。通过案头研究，了解本项目相关的国内环境与社会管理系统的法律框架、机构安排、实施程序等情况。</w:t>
      </w:r>
    </w:p>
    <w:p w14:paraId="265FA188">
      <w:pPr>
        <w:pStyle w:val="48"/>
        <w:widowControl w:val="0"/>
        <w:numPr>
          <w:ilvl w:val="0"/>
          <w:numId w:val="7"/>
        </w:numPr>
        <w:snapToGrid w:val="0"/>
        <w:ind w:left="851" w:hanging="851" w:firstLineChars="0"/>
        <w:jc w:val="both"/>
        <w:rPr>
          <w:rFonts w:ascii="Arial" w:hAnsi="Arial" w:cs="Arial"/>
          <w:sz w:val="22"/>
        </w:rPr>
      </w:pPr>
      <w:r>
        <w:rPr>
          <w:rFonts w:ascii="Arial" w:hAnsi="Arial" w:cs="Arial"/>
          <w:b/>
          <w:bCs/>
          <w:sz w:val="22"/>
        </w:rPr>
        <w:t>一手资料收集与整理分析：</w:t>
      </w:r>
      <w:r>
        <w:rPr>
          <w:rFonts w:ascii="Arial" w:hAnsi="Arial" w:cs="Arial"/>
          <w:sz w:val="22"/>
        </w:rPr>
        <w:t>利用咨询、讨论、走访、问卷、现场查勘等</w:t>
      </w:r>
      <w:r>
        <w:rPr>
          <w:rFonts w:hint="eastAsia" w:ascii="Arial" w:hAnsi="Arial" w:cs="Arial"/>
          <w:sz w:val="22"/>
          <w:lang w:eastAsia="zh-CN"/>
        </w:rPr>
        <w:t>多种</w:t>
      </w:r>
      <w:r>
        <w:rPr>
          <w:rFonts w:ascii="Arial" w:hAnsi="Arial" w:cs="Arial"/>
          <w:sz w:val="22"/>
        </w:rPr>
        <w:t>方式收集一手数据资料</w:t>
      </w:r>
      <w:r>
        <w:rPr>
          <w:rFonts w:ascii="Arial" w:hAnsi="Arial" w:cs="Arial"/>
          <w:sz w:val="22"/>
          <w:lang w:val="en-GB"/>
        </w:rPr>
        <w:t>。</w:t>
      </w:r>
      <w:r>
        <w:rPr>
          <w:rFonts w:ascii="Arial" w:hAnsi="Arial" w:cs="Arial"/>
          <w:sz w:val="22"/>
        </w:rPr>
        <w:t>2022年8月</w:t>
      </w:r>
      <w:r>
        <w:rPr>
          <w:rFonts w:ascii="Arial" w:hAnsi="Arial" w:cs="Arial"/>
          <w:bCs/>
          <w:sz w:val="22"/>
        </w:rPr>
        <w:t>对湖南和湖北的省级、市县级相关行业主管部门进行了一系列现场会议、走访</w:t>
      </w:r>
      <w:r>
        <w:rPr>
          <w:rFonts w:ascii="Arial" w:hAnsi="Arial" w:cs="Arial"/>
          <w:sz w:val="22"/>
        </w:rPr>
        <w:t>，以了解环境与社会管理体系的基本机制；并对样本县典型活动或项目进行了现场查勘，以了解环境与社会管理体系的实施效果。</w:t>
      </w:r>
    </w:p>
    <w:p w14:paraId="3DC4987A">
      <w:pPr>
        <w:pStyle w:val="48"/>
        <w:widowControl w:val="0"/>
        <w:numPr>
          <w:ilvl w:val="0"/>
          <w:numId w:val="7"/>
        </w:numPr>
        <w:snapToGrid w:val="0"/>
        <w:ind w:left="851" w:hanging="851" w:firstLineChars="0"/>
        <w:jc w:val="both"/>
        <w:rPr>
          <w:rFonts w:ascii="Arial" w:hAnsi="Arial" w:cs="Arial"/>
          <w:sz w:val="22"/>
        </w:rPr>
      </w:pPr>
      <w:r>
        <w:rPr>
          <w:rFonts w:ascii="Arial" w:hAnsi="Arial" w:cs="Arial"/>
          <w:b/>
          <w:bCs/>
          <w:sz w:val="22"/>
        </w:rPr>
        <w:t>全过程利益相关方参与：</w:t>
      </w:r>
      <w:r>
        <w:rPr>
          <w:rFonts w:ascii="Arial" w:hAnsi="Arial" w:cs="Arial"/>
          <w:sz w:val="22"/>
        </w:rPr>
        <w:t>从世行初期进行项目</w:t>
      </w:r>
      <w:r>
        <w:rPr>
          <w:rFonts w:hint="eastAsia" w:ascii="Arial" w:hAnsi="Arial" w:cs="Arial"/>
          <w:sz w:val="22"/>
          <w:lang w:val="en-US" w:eastAsia="zh-CN"/>
        </w:rPr>
        <w:t>县</w:t>
      </w:r>
      <w:r>
        <w:rPr>
          <w:rFonts w:ascii="Arial" w:hAnsi="Arial" w:cs="Arial"/>
          <w:sz w:val="22"/>
        </w:rPr>
        <w:t>识别和培训开始，到本报告开始准备，直至报告完稿，世行</w:t>
      </w:r>
      <w:r>
        <w:rPr>
          <w:rFonts w:ascii="Arial" w:hAnsi="Arial" w:cs="Arial"/>
          <w:bCs/>
          <w:sz w:val="22"/>
        </w:rPr>
        <w:t>评价团队一直全程参与</w:t>
      </w:r>
      <w:r>
        <w:rPr>
          <w:rFonts w:ascii="Arial" w:hAnsi="Arial" w:cs="Arial"/>
          <w:sz w:val="22"/>
        </w:rPr>
        <w:t>，并在每个阶段与项目相关方保持沟通。在本报告准备过程中，世行评价团队对项目涉及环境与社会管理的省级和样本区县政府部门进行了访谈，并与样本地区可能受影响的农村社区领导及居民代表、妇女代表、贫困人口代表和少数民族代表等开展了咨询。咨询形式包括面对面的会议、访谈，以及视频会议。</w:t>
      </w:r>
    </w:p>
    <w:p w14:paraId="3A1A5165">
      <w:pPr>
        <w:pStyle w:val="48"/>
        <w:widowControl w:val="0"/>
        <w:numPr>
          <w:ilvl w:val="0"/>
          <w:numId w:val="7"/>
        </w:numPr>
        <w:snapToGrid w:val="0"/>
        <w:ind w:left="851" w:hanging="851" w:firstLineChars="0"/>
        <w:jc w:val="both"/>
        <w:rPr>
          <w:rFonts w:ascii="Arial" w:hAnsi="Arial" w:cs="Arial"/>
          <w:b/>
          <w:bCs/>
          <w:color w:val="1F4E79" w:themeColor="accent5" w:themeShade="80"/>
          <w:sz w:val="22"/>
        </w:rPr>
      </w:pPr>
      <w:r>
        <w:rPr>
          <w:rFonts w:ascii="Arial" w:hAnsi="Arial" w:cs="Arial"/>
          <w:b/>
          <w:bCs/>
          <w:sz w:val="22"/>
        </w:rPr>
        <w:t>环境与社会系统评价报告协商：</w:t>
      </w:r>
      <w:r>
        <w:rPr>
          <w:rFonts w:ascii="Arial" w:hAnsi="Arial" w:cs="Arial"/>
          <w:sz w:val="22"/>
        </w:rPr>
        <w:t>2022年10月份就本报告与</w:t>
      </w:r>
      <w:r>
        <w:rPr>
          <w:rFonts w:ascii="Arial" w:hAnsi="Arial" w:cs="Arial"/>
          <w:sz w:val="22"/>
          <w:lang w:val="en-GB"/>
        </w:rPr>
        <w:t>国家级、</w:t>
      </w:r>
      <w:r>
        <w:rPr>
          <w:rFonts w:ascii="Arial" w:hAnsi="Arial" w:cs="Arial"/>
          <w:sz w:val="22"/>
        </w:rPr>
        <w:t>省级和县级相关政府部门进行了磋商。世行团队于2022年10月11日发出了本报告第一版初稿，以征求省级项目办、所有相关的</w:t>
      </w:r>
      <w:r>
        <w:rPr>
          <w:rFonts w:ascii="Arial" w:hAnsi="Arial" w:cs="Arial"/>
          <w:sz w:val="22"/>
          <w:lang w:val="en-GB"/>
        </w:rPr>
        <w:t>省级和</w:t>
      </w:r>
      <w:r>
        <w:rPr>
          <w:rFonts w:ascii="Arial" w:hAnsi="Arial" w:cs="Arial"/>
          <w:sz w:val="22"/>
        </w:rPr>
        <w:t>县市级政府部门的意见。2022年10月26日和27日分别与湖南和湖北两省召开了线上磋商会，</w:t>
      </w:r>
      <w:r>
        <w:rPr>
          <w:rFonts w:ascii="Arial" w:hAnsi="Arial" w:cs="Arial"/>
          <w:bCs/>
          <w:sz w:val="22"/>
        </w:rPr>
        <w:t>与相关的省级和县级政府部门就本报告初稿进行了讨论。相关部门在</w:t>
      </w:r>
      <w:r>
        <w:rPr>
          <w:rFonts w:ascii="Arial" w:hAnsi="Arial" w:cs="Arial"/>
          <w:sz w:val="22"/>
        </w:rPr>
        <w:t>磋商会后很快提交了</w:t>
      </w:r>
      <w:r>
        <w:rPr>
          <w:rFonts w:ascii="Arial" w:hAnsi="Arial" w:cs="Arial"/>
          <w:bCs/>
          <w:sz w:val="22"/>
        </w:rPr>
        <w:t>书面反馈意见，已</w:t>
      </w:r>
      <w:r>
        <w:rPr>
          <w:rFonts w:ascii="Arial" w:hAnsi="Arial" w:cs="Arial"/>
          <w:sz w:val="22"/>
        </w:rPr>
        <w:t>反映在本报告中，详见</w:t>
      </w:r>
      <w:r>
        <w:rPr>
          <w:rFonts w:ascii="Arial" w:hAnsi="Arial" w:cs="Arial"/>
          <w:b/>
          <w:bCs/>
          <w:sz w:val="22"/>
        </w:rPr>
        <w:t>附件6</w:t>
      </w:r>
      <w:r>
        <w:rPr>
          <w:rFonts w:ascii="Arial" w:hAnsi="Arial" w:cs="Arial"/>
          <w:sz w:val="22"/>
        </w:rPr>
        <w:t>。</w:t>
      </w:r>
    </w:p>
    <w:p w14:paraId="7FFC749B">
      <w:pPr>
        <w:pStyle w:val="48"/>
        <w:widowControl w:val="0"/>
        <w:numPr>
          <w:ilvl w:val="0"/>
          <w:numId w:val="7"/>
        </w:numPr>
        <w:snapToGrid w:val="0"/>
        <w:ind w:left="851" w:hanging="851" w:firstLineChars="0"/>
        <w:jc w:val="both"/>
        <w:rPr>
          <w:rFonts w:ascii="Arial" w:hAnsi="Arial" w:cs="Arial"/>
          <w:b/>
          <w:bCs/>
          <w:color w:val="1F4E79" w:themeColor="accent5" w:themeShade="80"/>
          <w:sz w:val="22"/>
        </w:rPr>
      </w:pPr>
      <w:r>
        <w:rPr>
          <w:rFonts w:hint="eastAsia" w:ascii="Arial" w:hAnsi="Arial" w:cs="Arial"/>
          <w:b/>
          <w:bCs/>
          <w:sz w:val="22"/>
        </w:rPr>
        <w:t>对新纳入本项目的县区的补充评估：</w:t>
      </w:r>
      <w:r>
        <w:rPr>
          <w:rFonts w:ascii="Arial" w:hAnsi="Arial" w:cs="Arial"/>
          <w:sz w:val="22"/>
        </w:rPr>
        <w:t>2025</w:t>
      </w:r>
      <w:r>
        <w:rPr>
          <w:rFonts w:hint="eastAsia" w:ascii="Arial" w:hAnsi="Arial" w:cs="Arial"/>
          <w:sz w:val="22"/>
        </w:rPr>
        <w:t>年</w:t>
      </w:r>
      <w:r>
        <w:rPr>
          <w:rFonts w:ascii="Arial" w:hAnsi="Arial" w:cs="Arial"/>
          <w:sz w:val="22"/>
        </w:rPr>
        <w:t>6</w:t>
      </w:r>
      <w:r>
        <w:rPr>
          <w:rFonts w:hint="eastAsia" w:ascii="Arial" w:hAnsi="Arial" w:cs="Arial"/>
          <w:sz w:val="22"/>
        </w:rPr>
        <w:t>月项目生效后，湖南省要求把原项目范围内的绥宁县替换为新田县，湖北省要求把原项目范围内的石首县替换为咸宁市的咸安区。世行团队于2025年7月</w:t>
      </w:r>
      <w:r>
        <w:rPr>
          <w:rFonts w:hint="eastAsia" w:ascii="Arial" w:hAnsi="Arial" w:cs="Arial"/>
          <w:sz w:val="22"/>
          <w:lang w:eastAsia="zh-CN"/>
        </w:rPr>
        <w:t>到</w:t>
      </w:r>
      <w:r>
        <w:rPr>
          <w:rFonts w:hint="eastAsia" w:ascii="Arial" w:hAnsi="Arial" w:cs="Arial"/>
          <w:sz w:val="22"/>
        </w:rPr>
        <w:t>湖南的新田县和湖北的咸安区以及两省</w:t>
      </w:r>
      <w:r>
        <w:rPr>
          <w:rFonts w:ascii="Arial" w:hAnsi="Arial" w:cs="Arial"/>
          <w:sz w:val="22"/>
        </w:rPr>
        <w:t>政府部门</w:t>
      </w:r>
      <w:r>
        <w:rPr>
          <w:rFonts w:hint="eastAsia" w:ascii="Arial" w:hAnsi="Arial" w:cs="Arial"/>
          <w:sz w:val="22"/>
        </w:rPr>
        <w:t>座谈、收集资料、查勘典型活动现场</w:t>
      </w:r>
      <w:r>
        <w:rPr>
          <w:rFonts w:hint="eastAsia" w:ascii="Arial" w:hAnsi="Arial" w:cs="Arial"/>
          <w:sz w:val="22"/>
          <w:lang w:eastAsia="zh-CN"/>
        </w:rPr>
        <w:t>，</w:t>
      </w:r>
      <w:r>
        <w:rPr>
          <w:rFonts w:ascii="Arial" w:hAnsi="Arial" w:cs="Arial"/>
          <w:sz w:val="22"/>
        </w:rPr>
        <w:t xml:space="preserve"> </w:t>
      </w:r>
      <w:r>
        <w:rPr>
          <w:rFonts w:hint="eastAsia" w:ascii="Arial" w:hAnsi="Arial" w:cs="Arial"/>
          <w:sz w:val="22"/>
        </w:rPr>
        <w:t>以了解环境与社会管理体系的实施效果、征询新田县和咸安区政府部门对本报告的意见，相关部门的意见已经反映在本报告中。</w:t>
      </w:r>
    </w:p>
    <w:bookmarkEnd w:id="41"/>
    <w:bookmarkEnd w:id="42"/>
    <w:p w14:paraId="1EB157B3">
      <w:pPr>
        <w:rPr>
          <w:rFonts w:ascii="Arial" w:hAnsi="Arial" w:cs="Arial"/>
          <w:sz w:val="22"/>
        </w:rPr>
      </w:pPr>
      <w:r>
        <w:rPr>
          <w:rFonts w:ascii="Arial" w:hAnsi="Arial" w:cs="Arial"/>
          <w:sz w:val="22"/>
        </w:rPr>
        <w:br w:type="page"/>
      </w:r>
    </w:p>
    <w:p w14:paraId="147E36DC">
      <w:pPr>
        <w:pStyle w:val="2"/>
        <w:numPr>
          <w:ilvl w:val="0"/>
          <w:numId w:val="4"/>
        </w:numPr>
        <w:tabs>
          <w:tab w:val="left" w:pos="851"/>
        </w:tabs>
        <w:adjustRightInd w:val="0"/>
        <w:snapToGrid w:val="0"/>
        <w:spacing w:before="120" w:after="120" w:line="240" w:lineRule="auto"/>
        <w:rPr>
          <w:rFonts w:ascii="Arial" w:hAnsi="Arial" w:cs="Arial"/>
          <w:color w:val="1F4E79" w:themeColor="accent5" w:themeShade="80"/>
          <w:sz w:val="28"/>
          <w:szCs w:val="28"/>
        </w:rPr>
      </w:pPr>
      <w:r>
        <w:rPr>
          <w:rFonts w:ascii="Arial" w:hAnsi="Arial" w:cs="Arial"/>
          <w:color w:val="1F4E79" w:themeColor="accent5" w:themeShade="80"/>
          <w:sz w:val="28"/>
          <w:szCs w:val="28"/>
        </w:rPr>
        <w:tab/>
      </w:r>
      <w:bookmarkStart w:id="43" w:name="_Toc119937271"/>
      <w:r>
        <w:rPr>
          <w:rFonts w:ascii="Arial" w:hAnsi="Arial" w:cs="Arial"/>
          <w:color w:val="1F4E79" w:themeColor="accent5" w:themeShade="80"/>
          <w:sz w:val="28"/>
          <w:szCs w:val="28"/>
        </w:rPr>
        <w:t>项目概况</w:t>
      </w:r>
      <w:bookmarkEnd w:id="43"/>
    </w:p>
    <w:p w14:paraId="490B5EAD">
      <w:pPr>
        <w:pStyle w:val="3"/>
        <w:rPr>
          <w:color w:val="1F4E79" w:themeColor="accent5" w:themeShade="80"/>
          <w:sz w:val="24"/>
        </w:rPr>
      </w:pPr>
      <w:bookmarkStart w:id="44" w:name="_Toc119937272"/>
      <w:r>
        <w:rPr>
          <w:color w:val="1F4E79" w:themeColor="accent5" w:themeShade="80"/>
          <w:sz w:val="24"/>
        </w:rPr>
        <w:t>2.1</w:t>
      </w:r>
      <w:r>
        <w:rPr>
          <w:color w:val="1F4E79" w:themeColor="accent5" w:themeShade="80"/>
          <w:sz w:val="24"/>
        </w:rPr>
        <w:tab/>
      </w:r>
      <w:r>
        <w:rPr>
          <w:color w:val="1F4E79" w:themeColor="accent5" w:themeShade="80"/>
          <w:sz w:val="24"/>
        </w:rPr>
        <w:tab/>
      </w:r>
      <w:r>
        <w:rPr>
          <w:color w:val="1F4E79" w:themeColor="accent5" w:themeShade="80"/>
          <w:sz w:val="24"/>
        </w:rPr>
        <w:t>政府规划</w:t>
      </w:r>
      <w:bookmarkEnd w:id="44"/>
    </w:p>
    <w:p w14:paraId="543BFAFF">
      <w:pPr>
        <w:pStyle w:val="48"/>
        <w:numPr>
          <w:ilvl w:val="0"/>
          <w:numId w:val="5"/>
        </w:numPr>
        <w:adjustRightInd w:val="0"/>
        <w:snapToGrid w:val="0"/>
        <w:spacing w:before="120" w:after="120"/>
        <w:ind w:left="0" w:firstLine="0" w:firstLineChars="0"/>
        <w:jc w:val="both"/>
        <w:rPr>
          <w:rFonts w:ascii="Arial" w:hAnsi="Arial" w:cs="Arial"/>
          <w:sz w:val="22"/>
        </w:rPr>
      </w:pPr>
      <w:bookmarkStart w:id="45" w:name="_Toc90334666"/>
      <w:bookmarkEnd w:id="45"/>
      <w:bookmarkStart w:id="46" w:name="_Toc90840411"/>
      <w:bookmarkEnd w:id="46"/>
      <w:bookmarkStart w:id="47" w:name="_Toc90332036"/>
      <w:bookmarkEnd w:id="47"/>
      <w:bookmarkStart w:id="48" w:name="_Toc77620708"/>
      <w:bookmarkEnd w:id="48"/>
      <w:bookmarkStart w:id="49" w:name="_Toc88862088"/>
      <w:bookmarkEnd w:id="49"/>
      <w:bookmarkStart w:id="50" w:name="_Toc89425485"/>
      <w:bookmarkEnd w:id="50"/>
      <w:bookmarkStart w:id="51" w:name="_Toc79736556"/>
      <w:bookmarkEnd w:id="51"/>
      <w:bookmarkStart w:id="52" w:name="_Toc77864020"/>
      <w:bookmarkEnd w:id="52"/>
      <w:bookmarkStart w:id="53" w:name="_Toc89155492"/>
      <w:bookmarkEnd w:id="53"/>
      <w:bookmarkStart w:id="54" w:name="_Toc77947587"/>
      <w:bookmarkEnd w:id="54"/>
      <w:bookmarkStart w:id="55" w:name="_Toc77866188"/>
      <w:bookmarkEnd w:id="55"/>
      <w:bookmarkStart w:id="56" w:name="_Toc88857473"/>
      <w:bookmarkEnd w:id="56"/>
      <w:bookmarkStart w:id="57" w:name="_Toc89016096"/>
      <w:bookmarkEnd w:id="57"/>
      <w:bookmarkStart w:id="58" w:name="_Toc77834825"/>
      <w:bookmarkEnd w:id="58"/>
      <w:bookmarkStart w:id="59" w:name="_Toc92803948"/>
      <w:bookmarkEnd w:id="59"/>
      <w:bookmarkStart w:id="60" w:name="_Toc77867873"/>
      <w:bookmarkEnd w:id="60"/>
      <w:bookmarkStart w:id="61" w:name="_Toc90904778"/>
      <w:bookmarkEnd w:id="61"/>
      <w:bookmarkStart w:id="62" w:name="_Toc91572939"/>
      <w:bookmarkEnd w:id="62"/>
      <w:bookmarkStart w:id="63" w:name="_Toc91572873"/>
      <w:bookmarkEnd w:id="63"/>
      <w:bookmarkStart w:id="64" w:name="_Toc90173627"/>
      <w:bookmarkEnd w:id="64"/>
      <w:bookmarkStart w:id="65" w:name="_Toc92267116"/>
      <w:bookmarkEnd w:id="65"/>
      <w:bookmarkStart w:id="66" w:name="_Toc90414814"/>
      <w:bookmarkEnd w:id="66"/>
      <w:bookmarkStart w:id="67" w:name="_Toc88842023"/>
      <w:bookmarkEnd w:id="67"/>
      <w:bookmarkStart w:id="68" w:name="_Toc91573005"/>
      <w:bookmarkEnd w:id="68"/>
      <w:bookmarkStart w:id="69" w:name="_Toc91190244"/>
      <w:bookmarkEnd w:id="69"/>
      <w:bookmarkStart w:id="70" w:name="_Toc93944796"/>
      <w:bookmarkEnd w:id="70"/>
      <w:bookmarkStart w:id="71" w:name="_Toc76050606"/>
      <w:bookmarkEnd w:id="71"/>
      <w:bookmarkStart w:id="72" w:name="_Toc77628967"/>
      <w:bookmarkEnd w:id="72"/>
      <w:bookmarkStart w:id="73" w:name="_Toc88858648"/>
      <w:bookmarkEnd w:id="73"/>
      <w:bookmarkStart w:id="74" w:name="_Toc88858812"/>
      <w:bookmarkEnd w:id="74"/>
      <w:bookmarkStart w:id="75" w:name="_Toc77867275"/>
      <w:bookmarkEnd w:id="75"/>
      <w:bookmarkStart w:id="76" w:name="_Toc89421574"/>
      <w:bookmarkEnd w:id="76"/>
      <w:bookmarkStart w:id="77" w:name="_Toc88861913"/>
      <w:bookmarkEnd w:id="77"/>
      <w:bookmarkStart w:id="78" w:name="_Toc91572726"/>
      <w:bookmarkEnd w:id="78"/>
      <w:bookmarkStart w:id="79" w:name="_Toc79402218"/>
      <w:bookmarkEnd w:id="79"/>
      <w:bookmarkStart w:id="80" w:name="_Toc77355629"/>
      <w:bookmarkEnd w:id="80"/>
      <w:bookmarkStart w:id="81" w:name="_Toc79939244"/>
      <w:bookmarkEnd w:id="81"/>
      <w:bookmarkStart w:id="82" w:name="_Toc88858561"/>
      <w:bookmarkEnd w:id="82"/>
      <w:bookmarkStart w:id="83" w:name="_Toc88861966"/>
      <w:bookmarkEnd w:id="83"/>
      <w:bookmarkStart w:id="84" w:name="_Toc77948050"/>
      <w:bookmarkEnd w:id="84"/>
      <w:bookmarkStart w:id="85" w:name="_Toc77948525"/>
      <w:bookmarkEnd w:id="85"/>
      <w:bookmarkStart w:id="86" w:name="_Toc77947794"/>
      <w:bookmarkEnd w:id="86"/>
      <w:bookmarkStart w:id="87" w:name="_Toc77834778"/>
      <w:bookmarkEnd w:id="87"/>
      <w:bookmarkStart w:id="88" w:name="_Toc65437512"/>
      <w:bookmarkEnd w:id="88"/>
      <w:bookmarkStart w:id="89" w:name="_Toc77947531"/>
      <w:bookmarkEnd w:id="89"/>
      <w:bookmarkStart w:id="90" w:name="_Toc79736421"/>
      <w:bookmarkEnd w:id="90"/>
      <w:bookmarkStart w:id="91" w:name="_Toc88858417"/>
      <w:bookmarkEnd w:id="91"/>
      <w:bookmarkStart w:id="92" w:name="_Toc88857553"/>
      <w:bookmarkEnd w:id="92"/>
      <w:bookmarkStart w:id="93" w:name="_Toc79402171"/>
      <w:bookmarkEnd w:id="93"/>
      <w:bookmarkStart w:id="94" w:name="_Toc88860743"/>
      <w:bookmarkEnd w:id="94"/>
      <w:bookmarkStart w:id="95" w:name="_Toc88858327"/>
      <w:bookmarkEnd w:id="95"/>
      <w:bookmarkStart w:id="96" w:name="_Toc90176448"/>
      <w:bookmarkEnd w:id="96"/>
      <w:bookmarkStart w:id="97" w:name="_Toc90331880"/>
      <w:bookmarkEnd w:id="97"/>
      <w:bookmarkStart w:id="98" w:name="_Toc88858759"/>
      <w:bookmarkEnd w:id="98"/>
      <w:bookmarkStart w:id="99" w:name="_Toc88859486"/>
      <w:bookmarkEnd w:id="99"/>
      <w:bookmarkStart w:id="100" w:name="_Toc77947844"/>
      <w:bookmarkEnd w:id="100"/>
      <w:bookmarkStart w:id="101" w:name="_Toc78301169"/>
      <w:bookmarkEnd w:id="101"/>
      <w:bookmarkStart w:id="102" w:name="_Toc79141942"/>
      <w:bookmarkEnd w:id="102"/>
      <w:bookmarkStart w:id="103" w:name="_Toc90332292"/>
      <w:bookmarkEnd w:id="103"/>
      <w:bookmarkStart w:id="104" w:name="_Toc89155567"/>
      <w:bookmarkEnd w:id="104"/>
      <w:bookmarkStart w:id="105" w:name="_Toc91572658"/>
      <w:bookmarkEnd w:id="105"/>
      <w:bookmarkStart w:id="106" w:name="_Toc91572807"/>
      <w:bookmarkEnd w:id="106"/>
      <w:bookmarkStart w:id="107" w:name="_Toc91573137"/>
      <w:bookmarkEnd w:id="107"/>
      <w:bookmarkStart w:id="108" w:name="_Toc89703104"/>
      <w:bookmarkEnd w:id="108"/>
      <w:bookmarkStart w:id="109" w:name="_Toc90551164"/>
      <w:bookmarkEnd w:id="109"/>
      <w:bookmarkStart w:id="110" w:name="_Toc90174133"/>
      <w:bookmarkEnd w:id="110"/>
      <w:bookmarkStart w:id="111" w:name="_Toc90711505"/>
      <w:bookmarkEnd w:id="111"/>
      <w:bookmarkStart w:id="112" w:name="_Toc90855459"/>
      <w:bookmarkEnd w:id="112"/>
      <w:bookmarkStart w:id="113" w:name="_Toc90169400"/>
      <w:bookmarkEnd w:id="113"/>
      <w:bookmarkStart w:id="114" w:name="_Toc77355860"/>
      <w:bookmarkEnd w:id="114"/>
      <w:bookmarkStart w:id="115" w:name="_Toc90856361"/>
      <w:bookmarkEnd w:id="115"/>
      <w:bookmarkStart w:id="116" w:name="_Toc90855744"/>
      <w:bookmarkEnd w:id="116"/>
      <w:bookmarkStart w:id="117" w:name="_Toc90550973"/>
      <w:bookmarkEnd w:id="117"/>
      <w:bookmarkStart w:id="118" w:name="_Toc90169496"/>
      <w:bookmarkEnd w:id="118"/>
      <w:bookmarkStart w:id="119" w:name="_Toc90174081"/>
      <w:bookmarkEnd w:id="119"/>
      <w:bookmarkStart w:id="120" w:name="_Toc90551044"/>
      <w:bookmarkEnd w:id="120"/>
      <w:bookmarkStart w:id="121" w:name="_Toc90590516"/>
      <w:bookmarkEnd w:id="121"/>
      <w:bookmarkStart w:id="122" w:name="_Toc89703034"/>
      <w:bookmarkEnd w:id="122"/>
      <w:bookmarkStart w:id="123" w:name="_Toc90216888"/>
      <w:bookmarkEnd w:id="123"/>
      <w:bookmarkStart w:id="124" w:name="_Toc90310577"/>
      <w:bookmarkEnd w:id="124"/>
      <w:bookmarkStart w:id="125" w:name="_Toc90180654"/>
      <w:bookmarkEnd w:id="125"/>
      <w:bookmarkStart w:id="126" w:name="_Toc90855525"/>
      <w:bookmarkEnd w:id="126"/>
      <w:bookmarkStart w:id="127" w:name="_Toc92726965"/>
      <w:bookmarkEnd w:id="127"/>
      <w:bookmarkStart w:id="128" w:name="_Toc90173904"/>
      <w:bookmarkEnd w:id="128"/>
      <w:bookmarkStart w:id="129" w:name="_Toc90905764"/>
      <w:bookmarkEnd w:id="129"/>
      <w:bookmarkStart w:id="130" w:name="_Toc90590561"/>
      <w:bookmarkEnd w:id="130"/>
      <w:bookmarkStart w:id="131" w:name="_Toc90181091"/>
      <w:bookmarkEnd w:id="131"/>
      <w:bookmarkStart w:id="132" w:name="_Toc77947988"/>
      <w:bookmarkEnd w:id="132"/>
      <w:bookmarkStart w:id="133" w:name="_Toc66694826"/>
      <w:bookmarkEnd w:id="133"/>
      <w:bookmarkStart w:id="134" w:name="_Toc89241931"/>
      <w:bookmarkEnd w:id="134"/>
      <w:r>
        <w:rPr>
          <w:rFonts w:ascii="Arial" w:hAnsi="Arial" w:cs="Arial"/>
          <w:color w:val="000000" w:themeColor="text1"/>
          <w:sz w:val="22"/>
          <w14:textFill>
            <w14:solidFill>
              <w14:schemeClr w14:val="tx1"/>
            </w14:solidFill>
          </w14:textFill>
        </w:rPr>
        <w:tab/>
      </w:r>
      <w:r>
        <w:rPr>
          <w:rFonts w:ascii="Arial" w:hAnsi="Arial" w:cs="Arial"/>
          <w:color w:val="000000" w:themeColor="text1"/>
          <w:sz w:val="22"/>
          <w14:textFill>
            <w14:solidFill>
              <w14:schemeClr w14:val="tx1"/>
            </w14:solidFill>
          </w14:textFill>
        </w:rPr>
        <w:t>自2017年以来，中国政府实施了雄心勃勃的《乡村振兴计划（2018</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2035）》，按五年一个阶段，通过阶段性的《乡村振兴战略规划》来实施，主要目标是可持续地增加农村收入、强化农村基础设施和公共服务、改善农村地区生活环境。第一阶段的乡村振兴战略规划提出了7个绿色农业发展领域和6个农村基础设施及公共服务领域（见</w:t>
      </w:r>
      <w:r>
        <w:rPr>
          <w:rFonts w:ascii="Arial" w:hAnsi="Arial" w:cs="Arial"/>
          <w:b/>
          <w:bCs/>
          <w:color w:val="000000" w:themeColor="text1"/>
          <w:sz w:val="22"/>
          <w14:textFill>
            <w14:solidFill>
              <w14:schemeClr w14:val="tx1"/>
            </w14:solidFill>
          </w14:textFill>
        </w:rPr>
        <w:t>表2</w:t>
      </w:r>
      <w:r>
        <w:rPr>
          <w:rFonts w:hint="eastAsia" w:ascii="Arial" w:hAnsi="Arial" w:cs="Arial"/>
          <w:b/>
          <w:bCs/>
          <w:color w:val="000000" w:themeColor="text1"/>
          <w:sz w:val="22"/>
          <w:lang w:eastAsia="zh-CN"/>
          <w14:textFill>
            <w14:solidFill>
              <w14:schemeClr w14:val="tx1"/>
            </w14:solidFill>
          </w14:textFill>
        </w:rPr>
        <w:t>—</w:t>
      </w:r>
      <w:r>
        <w:rPr>
          <w:rFonts w:ascii="Arial" w:hAnsi="Arial" w:cs="Arial"/>
          <w:b/>
          <w:bCs/>
          <w:color w:val="000000" w:themeColor="text1"/>
          <w:sz w:val="22"/>
          <w14:textFill>
            <w14:solidFill>
              <w14:schemeClr w14:val="tx1"/>
            </w14:solidFill>
          </w14:textFill>
        </w:rPr>
        <w:t>1</w:t>
      </w:r>
      <w:r>
        <w:rPr>
          <w:rFonts w:ascii="Arial" w:hAnsi="Arial" w:cs="Arial"/>
          <w:color w:val="000000" w:themeColor="text1"/>
          <w:sz w:val="22"/>
          <w14:textFill>
            <w14:solidFill>
              <w14:schemeClr w14:val="tx1"/>
            </w14:solidFill>
          </w14:textFill>
        </w:rPr>
        <w:t>），已在全国范围内实施并已</w:t>
      </w:r>
      <w:r>
        <w:rPr>
          <w:rFonts w:hint="eastAsia" w:ascii="Arial" w:hAnsi="Arial" w:cs="Arial"/>
          <w:color w:val="000000" w:themeColor="text1"/>
          <w:sz w:val="22"/>
          <w:lang w:eastAsia="zh-CN"/>
          <w14:textFill>
            <w14:solidFill>
              <w14:schemeClr w14:val="tx1"/>
            </w14:solidFill>
          </w14:textFill>
        </w:rPr>
        <w:t>纳入</w:t>
      </w:r>
      <w:r>
        <w:rPr>
          <w:rFonts w:ascii="Arial" w:hAnsi="Arial" w:cs="Arial"/>
          <w:color w:val="000000" w:themeColor="text1"/>
          <w:sz w:val="22"/>
          <w14:textFill>
            <w14:solidFill>
              <w14:schemeClr w14:val="tx1"/>
            </w14:solidFill>
          </w14:textFill>
        </w:rPr>
        <w:t>各地</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十四五</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计划（2021</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2025）。本次选定的湖南省和湖北省已分别制定了各自的省级至县级乡村振兴战略规划和相关的农业农村现代化“十四五”规划（发展领域和主要活动内容见</w:t>
      </w:r>
      <w:r>
        <w:rPr>
          <w:rFonts w:ascii="Arial" w:hAnsi="Arial" w:cs="Arial"/>
          <w:b/>
          <w:bCs/>
          <w:color w:val="000000" w:themeColor="text1"/>
          <w:sz w:val="22"/>
          <w14:textFill>
            <w14:solidFill>
              <w14:schemeClr w14:val="tx1"/>
            </w14:solidFill>
          </w14:textFill>
        </w:rPr>
        <w:t>附件1</w:t>
      </w:r>
      <w:r>
        <w:rPr>
          <w:rFonts w:ascii="Arial" w:hAnsi="Arial" w:cs="Arial"/>
          <w:color w:val="000000" w:themeColor="text1"/>
          <w:sz w:val="22"/>
          <w14:textFill>
            <w14:solidFill>
              <w14:schemeClr w14:val="tx1"/>
            </w14:solidFill>
          </w14:textFill>
        </w:rPr>
        <w:t>），综合考虑了各自现有的农业生态环境条件、经济发展水平、可用的财政预算、农业农村发展优先项目等，具有明确的发展基线、目标和融资计划。</w:t>
      </w:r>
    </w:p>
    <w:p w14:paraId="1C18F4E9">
      <w:pPr>
        <w:pStyle w:val="3"/>
        <w:rPr>
          <w:color w:val="1F4E79" w:themeColor="accent5" w:themeShade="80"/>
          <w:sz w:val="24"/>
        </w:rPr>
      </w:pPr>
      <w:bookmarkStart w:id="135" w:name="_Toc107747417"/>
      <w:bookmarkStart w:id="136" w:name="_Toc119937273"/>
      <w:r>
        <w:rPr>
          <w:color w:val="1F4E79" w:themeColor="accent5" w:themeShade="80"/>
          <w:sz w:val="24"/>
        </w:rPr>
        <w:t>2.2</w:t>
      </w:r>
      <w:r>
        <w:rPr>
          <w:color w:val="1F4E79" w:themeColor="accent5" w:themeShade="80"/>
          <w:sz w:val="24"/>
        </w:rPr>
        <w:tab/>
      </w:r>
      <w:r>
        <w:rPr>
          <w:color w:val="1F4E79" w:themeColor="accent5" w:themeShade="80"/>
          <w:sz w:val="24"/>
        </w:rPr>
        <w:tab/>
      </w:r>
      <w:r>
        <w:rPr>
          <w:color w:val="1F4E79" w:themeColor="accent5" w:themeShade="80"/>
          <w:sz w:val="24"/>
        </w:rPr>
        <w:t>PforR项目</w:t>
      </w:r>
      <w:bookmarkEnd w:id="135"/>
      <w:bookmarkEnd w:id="136"/>
    </w:p>
    <w:p w14:paraId="0478542F">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color w:val="000000" w:themeColor="text1"/>
          <w:sz w:val="22"/>
          <w14:textFill>
            <w14:solidFill>
              <w14:schemeClr w14:val="tx1"/>
            </w14:solidFill>
          </w14:textFill>
        </w:rPr>
        <w:tab/>
      </w:r>
      <w:r>
        <w:rPr>
          <w:rFonts w:ascii="Arial" w:hAnsi="Arial" w:cs="Arial"/>
          <w:b/>
          <w:bCs/>
          <w:color w:val="000000" w:themeColor="text1"/>
          <w:sz w:val="22"/>
          <w14:textFill>
            <w14:solidFill>
              <w14:schemeClr w14:val="tx1"/>
            </w14:solidFill>
          </w14:textFill>
        </w:rPr>
        <w:t>投资边界</w:t>
      </w:r>
      <w:r>
        <w:rPr>
          <w:rFonts w:ascii="Arial" w:hAnsi="Arial" w:cs="Arial"/>
          <w:color w:val="000000" w:themeColor="text1"/>
          <w:sz w:val="22"/>
          <w14:textFill>
            <w14:solidFill>
              <w14:schemeClr w14:val="tx1"/>
            </w14:solidFill>
          </w14:textFill>
        </w:rPr>
        <w:t>：本项目除</w:t>
      </w:r>
      <w:r>
        <w:rPr>
          <w:rFonts w:hint="eastAsia" w:ascii="Arial" w:hAnsi="Arial" w:cs="Arial"/>
          <w:color w:val="000000" w:themeColor="text1"/>
          <w:sz w:val="22"/>
          <w14:textFill>
            <w14:solidFill>
              <w14:schemeClr w14:val="tx1"/>
            </w14:solidFill>
          </w14:textFill>
        </w:rPr>
        <w:t>支持农村基础设施和公共服务分布与监测评估的电子信息平台</w:t>
      </w:r>
      <w:r>
        <w:rPr>
          <w:rFonts w:ascii="Arial" w:hAnsi="Arial" w:cs="Arial"/>
          <w:color w:val="000000" w:themeColor="text1"/>
          <w:sz w:val="22"/>
          <w14:textFill>
            <w14:solidFill>
              <w14:schemeClr w14:val="tx1"/>
            </w14:solidFill>
          </w14:textFill>
        </w:rPr>
        <w:t>和管理机制开发，还将支持湖南和湖北两省在23个示范县市实施乡村振兴战略规划下13个发展领域中的9个领域，包括6个绿色农业发展领域和3个农村基础设施及公共服务领域（见</w:t>
      </w:r>
      <w:r>
        <w:rPr>
          <w:rFonts w:ascii="Arial" w:hAnsi="Arial" w:cs="Arial"/>
          <w:b/>
          <w:bCs/>
          <w:color w:val="000000" w:themeColor="text1"/>
          <w:sz w:val="22"/>
          <w14:textFill>
            <w14:solidFill>
              <w14:schemeClr w14:val="tx1"/>
            </w14:solidFill>
          </w14:textFill>
        </w:rPr>
        <w:t>表2</w:t>
      </w:r>
      <w:r>
        <w:rPr>
          <w:rFonts w:hint="eastAsia" w:ascii="Arial" w:hAnsi="Arial" w:cs="Arial"/>
          <w:b/>
          <w:bCs/>
          <w:color w:val="000000" w:themeColor="text1"/>
          <w:sz w:val="22"/>
          <w:lang w:eastAsia="zh-CN"/>
          <w14:textFill>
            <w14:solidFill>
              <w14:schemeClr w14:val="tx1"/>
            </w14:solidFill>
          </w14:textFill>
        </w:rPr>
        <w:t>—</w:t>
      </w:r>
      <w:r>
        <w:rPr>
          <w:rFonts w:ascii="Arial" w:hAnsi="Arial" w:cs="Arial"/>
          <w:b/>
          <w:bCs/>
          <w:color w:val="000000" w:themeColor="text1"/>
          <w:sz w:val="22"/>
          <w14:textFill>
            <w14:solidFill>
              <w14:schemeClr w14:val="tx1"/>
            </w14:solidFill>
          </w14:textFill>
        </w:rPr>
        <w:t>1</w:t>
      </w:r>
      <w:r>
        <w:rPr>
          <w:rFonts w:ascii="Arial" w:hAnsi="Arial" w:cs="Arial"/>
          <w:color w:val="000000" w:themeColor="text1"/>
          <w:sz w:val="22"/>
          <w14:textFill>
            <w14:solidFill>
              <w14:schemeClr w14:val="tx1"/>
            </w14:solidFill>
          </w14:textFill>
        </w:rPr>
        <w:t>）。两省的政府预算为41</w:t>
      </w:r>
      <w:r>
        <w:rPr>
          <w:rFonts w:hint="eastAsia" w:ascii="Arial" w:hAnsi="Arial" w:cs="Arial"/>
          <w:color w:val="000000" w:themeColor="text1"/>
          <w:sz w:val="22"/>
          <w14:textFill>
            <w14:solidFill>
              <w14:schemeClr w14:val="tx1"/>
            </w14:solidFill>
          </w14:textFill>
        </w:rPr>
        <w:t>.05</w:t>
      </w:r>
      <w:r>
        <w:rPr>
          <w:rFonts w:ascii="Arial" w:hAnsi="Arial" w:cs="Arial"/>
          <w:color w:val="000000" w:themeColor="text1"/>
          <w:sz w:val="22"/>
          <w14:textFill>
            <w14:solidFill>
              <w14:schemeClr w14:val="tx1"/>
            </w14:solidFill>
          </w14:textFill>
        </w:rPr>
        <w:t>亿美元，世行贷款为3.4亿美元，</w:t>
      </w:r>
      <w:r>
        <w:rPr>
          <w:rFonts w:hint="eastAsia" w:ascii="Arial" w:hAnsi="Arial" w:cs="Arial"/>
          <w:color w:val="000000" w:themeColor="text1"/>
          <w:sz w:val="22"/>
          <w14:textFill>
            <w14:solidFill>
              <w14:schemeClr w14:val="tx1"/>
            </w14:solidFill>
          </w14:textFill>
        </w:rPr>
        <w:t>项目总投资为4</w:t>
      </w:r>
      <w:r>
        <w:rPr>
          <w:rFonts w:ascii="Arial" w:hAnsi="Arial" w:cs="Arial"/>
          <w:color w:val="000000" w:themeColor="text1"/>
          <w:sz w:val="22"/>
          <w14:textFill>
            <w14:solidFill>
              <w14:schemeClr w14:val="tx1"/>
            </w14:solidFill>
          </w14:textFill>
        </w:rPr>
        <w:t>4</w:t>
      </w:r>
      <w:r>
        <w:rPr>
          <w:rFonts w:hint="eastAsia" w:ascii="Arial" w:hAnsi="Arial" w:cs="Arial"/>
          <w:color w:val="000000" w:themeColor="text1"/>
          <w:sz w:val="22"/>
          <w14:textFill>
            <w14:solidFill>
              <w14:schemeClr w14:val="tx1"/>
            </w14:solidFill>
          </w14:textFill>
        </w:rPr>
        <w:t>.</w:t>
      </w:r>
      <w:r>
        <w:rPr>
          <w:rFonts w:ascii="Arial" w:hAnsi="Arial" w:cs="Arial"/>
          <w:color w:val="000000" w:themeColor="text1"/>
          <w:sz w:val="22"/>
          <w14:textFill>
            <w14:solidFill>
              <w14:schemeClr w14:val="tx1"/>
            </w14:solidFill>
          </w14:textFill>
        </w:rPr>
        <w:t>45</w:t>
      </w:r>
      <w:r>
        <w:rPr>
          <w:rFonts w:hint="eastAsia" w:ascii="Arial" w:hAnsi="Arial" w:cs="Arial"/>
          <w:color w:val="000000" w:themeColor="text1"/>
          <w:sz w:val="22"/>
          <w14:textFill>
            <w14:solidFill>
              <w14:schemeClr w14:val="tx1"/>
            </w14:solidFill>
          </w14:textFill>
        </w:rPr>
        <w:t>亿美元，</w:t>
      </w:r>
      <w:r>
        <w:rPr>
          <w:rFonts w:ascii="Arial" w:hAnsi="Arial" w:cs="Arial"/>
          <w:color w:val="000000" w:themeColor="text1"/>
          <w:sz w:val="22"/>
          <w14:textFill>
            <w14:solidFill>
              <w14:schemeClr w14:val="tx1"/>
            </w14:solidFill>
          </w14:textFill>
        </w:rPr>
        <w:t>实施期为2024年至2029年。</w:t>
      </w:r>
    </w:p>
    <w:p w14:paraId="174231C5">
      <w:pPr>
        <w:pStyle w:val="11"/>
        <w:adjustRightInd w:val="0"/>
        <w:snapToGrid w:val="0"/>
        <w:spacing w:before="120" w:after="120"/>
        <w:ind w:left="720"/>
        <w:jc w:val="center"/>
        <w:rPr>
          <w:rFonts w:ascii="Arial" w:hAnsi="Arial" w:eastAsia="宋体" w:cs="Arial"/>
          <w:b/>
          <w:color w:val="1F4E79" w:themeColor="accent5" w:themeShade="80"/>
          <w:sz w:val="22"/>
          <w:szCs w:val="22"/>
        </w:rPr>
      </w:pPr>
      <w:r>
        <w:rPr>
          <w:rFonts w:ascii="Arial" w:hAnsi="Arial" w:eastAsia="宋体" w:cs="Arial"/>
          <w:b/>
          <w:color w:val="1F4E79" w:themeColor="accent5" w:themeShade="80"/>
          <w:sz w:val="22"/>
          <w:szCs w:val="22"/>
        </w:rPr>
        <w:t>表2</w:t>
      </w:r>
      <w:r>
        <w:rPr>
          <w:rFonts w:hint="eastAsia" w:ascii="Arial" w:hAnsi="Arial" w:eastAsia="宋体" w:cs="Arial"/>
          <w:b/>
          <w:color w:val="1F4E79" w:themeColor="accent5" w:themeShade="80"/>
          <w:sz w:val="22"/>
          <w:szCs w:val="22"/>
          <w:lang w:eastAsia="zh-CN"/>
        </w:rPr>
        <w:t>—</w:t>
      </w:r>
      <w:r>
        <w:rPr>
          <w:rFonts w:ascii="Arial" w:hAnsi="Arial" w:eastAsia="宋体" w:cs="Arial"/>
          <w:b/>
          <w:color w:val="1F4E79" w:themeColor="accent5" w:themeShade="80"/>
          <w:sz w:val="22"/>
          <w:szCs w:val="22"/>
        </w:rPr>
        <w:t>1：政府规划与本项目PforR边界</w:t>
      </w:r>
    </w:p>
    <w:tbl>
      <w:tblPr>
        <w:tblStyle w:val="9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91"/>
        <w:gridCol w:w="4028"/>
        <w:gridCol w:w="4268"/>
      </w:tblGrid>
      <w:tr w14:paraId="4996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718" w:type="pct"/>
            <w:shd w:val="clear" w:color="auto" w:fill="auto"/>
          </w:tcPr>
          <w:p w14:paraId="617C09DD">
            <w:pPr>
              <w:adjustRightInd w:val="0"/>
              <w:snapToGrid w:val="0"/>
              <w:rPr>
                <w:rFonts w:ascii="Arial" w:hAnsi="Arial" w:cs="Arial"/>
                <w:b/>
                <w:bCs/>
                <w:color w:val="404040"/>
                <w:sz w:val="20"/>
                <w:szCs w:val="20"/>
                <w:lang w:eastAsia="en-US"/>
              </w:rPr>
            </w:pPr>
            <w:r>
              <w:rPr>
                <w:rFonts w:ascii="Arial" w:hAnsi="Arial" w:cs="Arial"/>
                <w:b/>
                <w:bCs/>
                <w:color w:val="404040"/>
                <w:sz w:val="20"/>
                <w:szCs w:val="20"/>
                <w:lang w:eastAsia="zh-CN"/>
              </w:rPr>
              <w:t>内容</w:t>
            </w:r>
          </w:p>
        </w:tc>
        <w:tc>
          <w:tcPr>
            <w:tcW w:w="2079" w:type="pct"/>
            <w:shd w:val="clear" w:color="auto" w:fill="auto"/>
          </w:tcPr>
          <w:p w14:paraId="6E933F12">
            <w:pPr>
              <w:adjustRightInd w:val="0"/>
              <w:snapToGrid w:val="0"/>
              <w:rPr>
                <w:rFonts w:ascii="Arial" w:hAnsi="Arial" w:cs="Arial"/>
                <w:b/>
                <w:bCs/>
                <w:color w:val="404040"/>
                <w:sz w:val="20"/>
                <w:szCs w:val="20"/>
                <w:lang w:eastAsia="zh-CN"/>
              </w:rPr>
            </w:pPr>
            <w:r>
              <w:rPr>
                <w:rFonts w:ascii="Arial" w:hAnsi="Arial" w:cs="Arial"/>
                <w:b/>
                <w:bCs/>
                <w:color w:val="404040"/>
                <w:sz w:val="20"/>
                <w:szCs w:val="20"/>
                <w:lang w:eastAsia="zh-CN"/>
              </w:rPr>
              <w:t>国家《乡村振兴计划》和《乡村振兴战略规划》在</w:t>
            </w:r>
            <w:r>
              <w:rPr>
                <w:rFonts w:hint="eastAsia" w:ascii="Arial" w:hAnsi="Arial" w:cs="Arial"/>
                <w:b/>
                <w:bCs/>
                <w:color w:val="404040"/>
                <w:sz w:val="20"/>
                <w:szCs w:val="20"/>
                <w:lang w:eastAsia="zh-CN"/>
              </w:rPr>
              <w:t>“十四五”</w:t>
            </w:r>
            <w:r>
              <w:rPr>
                <w:rFonts w:ascii="Arial" w:hAnsi="Arial" w:cs="Arial"/>
                <w:b/>
                <w:bCs/>
                <w:color w:val="404040"/>
                <w:sz w:val="20"/>
                <w:szCs w:val="20"/>
                <w:lang w:eastAsia="zh-CN"/>
              </w:rPr>
              <w:t>期间的发展规划</w:t>
            </w:r>
          </w:p>
        </w:tc>
        <w:tc>
          <w:tcPr>
            <w:tcW w:w="2203" w:type="pct"/>
            <w:shd w:val="clear" w:color="auto" w:fill="auto"/>
          </w:tcPr>
          <w:p w14:paraId="21E782F0">
            <w:pPr>
              <w:adjustRightInd w:val="0"/>
              <w:snapToGrid w:val="0"/>
              <w:rPr>
                <w:rFonts w:ascii="Arial" w:hAnsi="Arial" w:cs="Arial"/>
                <w:b/>
                <w:bCs/>
                <w:color w:val="404040"/>
                <w:sz w:val="20"/>
                <w:szCs w:val="20"/>
                <w:lang w:eastAsia="zh-CN"/>
              </w:rPr>
            </w:pPr>
            <w:r>
              <w:rPr>
                <w:rFonts w:ascii="Arial" w:hAnsi="Arial" w:cs="Arial"/>
                <w:b/>
                <w:bCs/>
                <w:color w:val="404040"/>
                <w:sz w:val="20"/>
                <w:szCs w:val="20"/>
                <w:lang w:eastAsia="zh-CN"/>
              </w:rPr>
              <w:t>世行</w:t>
            </w:r>
            <w:r>
              <w:rPr>
                <w:rFonts w:ascii="Arial" w:hAnsi="Arial" w:cs="Arial"/>
                <w:b/>
                <w:bCs/>
                <w:color w:val="404040"/>
                <w:sz w:val="20"/>
                <w:szCs w:val="20"/>
                <w:lang w:val="en-GB" w:eastAsia="zh-CN"/>
              </w:rPr>
              <w:t>PforR</w:t>
            </w:r>
            <w:r>
              <w:rPr>
                <w:rFonts w:ascii="Arial" w:hAnsi="Arial" w:cs="Arial"/>
                <w:b/>
                <w:bCs/>
                <w:color w:val="404040"/>
                <w:sz w:val="20"/>
                <w:szCs w:val="20"/>
                <w:lang w:eastAsia="zh-CN"/>
              </w:rPr>
              <w:t xml:space="preserve">项目拟支持的发展领域 </w:t>
            </w:r>
          </w:p>
        </w:tc>
      </w:tr>
      <w:tr w14:paraId="5B99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8" w:type="pct"/>
          </w:tcPr>
          <w:p w14:paraId="3DEE927F">
            <w:pPr>
              <w:adjustRightInd w:val="0"/>
              <w:snapToGrid w:val="0"/>
              <w:rPr>
                <w:rFonts w:ascii="Arial" w:hAnsi="Arial" w:cs="Arial"/>
                <w:b/>
                <w:sz w:val="20"/>
                <w:szCs w:val="20"/>
                <w:lang w:eastAsia="en-US"/>
              </w:rPr>
            </w:pPr>
            <w:r>
              <w:rPr>
                <w:rFonts w:ascii="Arial" w:hAnsi="Arial" w:cs="Arial"/>
                <w:b/>
                <w:sz w:val="20"/>
                <w:szCs w:val="20"/>
                <w:lang w:eastAsia="zh-CN"/>
              </w:rPr>
              <w:t>发展目标</w:t>
            </w:r>
          </w:p>
        </w:tc>
        <w:tc>
          <w:tcPr>
            <w:tcW w:w="2079" w:type="pct"/>
          </w:tcPr>
          <w:p w14:paraId="0476F56C">
            <w:pPr>
              <w:widowControl w:val="0"/>
              <w:autoSpaceDE w:val="0"/>
              <w:autoSpaceDN w:val="0"/>
              <w:adjustRightInd w:val="0"/>
              <w:snapToGrid w:val="0"/>
              <w:rPr>
                <w:rFonts w:ascii="Arial" w:hAnsi="Arial" w:cs="Arial"/>
                <w:bCs/>
                <w:sz w:val="20"/>
                <w:szCs w:val="20"/>
                <w:lang w:eastAsia="zh-CN"/>
              </w:rPr>
            </w:pPr>
            <w:r>
              <w:rPr>
                <w:rFonts w:ascii="Arial" w:hAnsi="Arial" w:cs="Arial"/>
                <w:bCs/>
                <w:sz w:val="20"/>
                <w:szCs w:val="20"/>
                <w:lang w:eastAsia="zh-CN"/>
              </w:rPr>
              <w:t>持续增加农村收入，提升农村基础设施和公共服务，改善农村地区的生活环境</w:t>
            </w:r>
          </w:p>
        </w:tc>
        <w:tc>
          <w:tcPr>
            <w:tcW w:w="2203" w:type="pct"/>
          </w:tcPr>
          <w:p w14:paraId="62B1D732">
            <w:pPr>
              <w:adjustRightInd w:val="0"/>
              <w:snapToGrid w:val="0"/>
              <w:rPr>
                <w:rFonts w:ascii="Arial" w:hAnsi="Arial" w:cs="Arial"/>
                <w:bCs/>
                <w:sz w:val="20"/>
                <w:szCs w:val="20"/>
                <w:lang w:eastAsia="zh-CN"/>
              </w:rPr>
            </w:pPr>
            <w:r>
              <w:rPr>
                <w:rFonts w:hint="eastAsia" w:ascii="Arial" w:hAnsi="Arial" w:cs="Arial"/>
                <w:bCs/>
                <w:sz w:val="20"/>
                <w:szCs w:val="20"/>
                <w:lang w:eastAsia="zh-CN"/>
              </w:rPr>
              <w:t>在湖北和湖南的选定地区加强采用环境可持续的农业和农村基础设施发展实践</w:t>
            </w:r>
          </w:p>
        </w:tc>
      </w:tr>
      <w:tr w14:paraId="2043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8" w:type="pct"/>
          </w:tcPr>
          <w:p w14:paraId="2B78A108">
            <w:pPr>
              <w:adjustRightInd w:val="0"/>
              <w:snapToGrid w:val="0"/>
              <w:rPr>
                <w:rFonts w:ascii="Arial" w:hAnsi="Arial" w:cs="Arial"/>
                <w:b/>
                <w:sz w:val="20"/>
                <w:szCs w:val="20"/>
                <w:lang w:eastAsia="en-US"/>
              </w:rPr>
            </w:pPr>
            <w:r>
              <w:rPr>
                <w:rFonts w:ascii="Arial" w:hAnsi="Arial" w:cs="Arial"/>
                <w:b/>
                <w:sz w:val="20"/>
                <w:szCs w:val="20"/>
                <w:lang w:eastAsia="zh-CN"/>
              </w:rPr>
              <w:t>地理边界</w:t>
            </w:r>
          </w:p>
        </w:tc>
        <w:tc>
          <w:tcPr>
            <w:tcW w:w="2079" w:type="pct"/>
          </w:tcPr>
          <w:p w14:paraId="4DC68C4B">
            <w:pPr>
              <w:adjustRightInd w:val="0"/>
              <w:snapToGrid w:val="0"/>
              <w:rPr>
                <w:rFonts w:ascii="Arial" w:hAnsi="Arial" w:cs="Arial"/>
                <w:bCs/>
                <w:iCs/>
                <w:sz w:val="20"/>
                <w:szCs w:val="20"/>
                <w:lang w:eastAsia="zh-CN"/>
              </w:rPr>
            </w:pPr>
            <w:r>
              <w:rPr>
                <w:rFonts w:ascii="Arial" w:hAnsi="Arial" w:cs="Arial"/>
                <w:bCs/>
                <w:iCs/>
                <w:sz w:val="20"/>
                <w:szCs w:val="20"/>
                <w:lang w:eastAsia="zh-CN"/>
              </w:rPr>
              <w:t>22个省、4个直辖市、5个自治区</w:t>
            </w:r>
          </w:p>
        </w:tc>
        <w:tc>
          <w:tcPr>
            <w:tcW w:w="2203" w:type="pct"/>
          </w:tcPr>
          <w:p w14:paraId="5500F1A9">
            <w:pPr>
              <w:adjustRightInd w:val="0"/>
              <w:snapToGrid w:val="0"/>
              <w:rPr>
                <w:rFonts w:ascii="Arial" w:hAnsi="Arial" w:cs="Arial"/>
                <w:bCs/>
                <w:iCs/>
                <w:sz w:val="20"/>
                <w:szCs w:val="20"/>
                <w:lang w:eastAsia="zh-CN"/>
              </w:rPr>
            </w:pPr>
            <w:r>
              <w:rPr>
                <w:rFonts w:ascii="Arial" w:hAnsi="Arial" w:cs="Arial"/>
                <w:bCs/>
                <w:iCs/>
                <w:sz w:val="20"/>
                <w:szCs w:val="20"/>
                <w:lang w:eastAsia="zh-CN"/>
              </w:rPr>
              <w:t xml:space="preserve">湖北10个市县和湖南13个市县 </w:t>
            </w:r>
          </w:p>
        </w:tc>
      </w:tr>
      <w:tr w14:paraId="470D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8" w:type="pct"/>
          </w:tcPr>
          <w:p w14:paraId="633ACB39">
            <w:pPr>
              <w:adjustRightInd w:val="0"/>
              <w:snapToGrid w:val="0"/>
              <w:rPr>
                <w:rFonts w:ascii="Arial" w:hAnsi="Arial" w:cs="Arial"/>
                <w:b/>
                <w:sz w:val="20"/>
                <w:szCs w:val="20"/>
                <w:lang w:eastAsia="en-US"/>
              </w:rPr>
            </w:pPr>
            <w:r>
              <w:rPr>
                <w:rFonts w:ascii="Arial" w:hAnsi="Arial" w:cs="Arial"/>
                <w:b/>
                <w:sz w:val="20"/>
                <w:szCs w:val="20"/>
                <w:lang w:eastAsia="zh-CN"/>
              </w:rPr>
              <w:t>规划领域</w:t>
            </w:r>
          </w:p>
        </w:tc>
        <w:tc>
          <w:tcPr>
            <w:tcW w:w="2079" w:type="pct"/>
          </w:tcPr>
          <w:p w14:paraId="6193372D">
            <w:pPr>
              <w:adjustRightInd w:val="0"/>
              <w:snapToGrid w:val="0"/>
              <w:ind w:left="374" w:hanging="374"/>
              <w:rPr>
                <w:rFonts w:ascii="Arial" w:hAnsi="Arial" w:cs="Arial"/>
                <w:b/>
                <w:sz w:val="20"/>
                <w:szCs w:val="20"/>
                <w:lang w:eastAsia="en-US"/>
              </w:rPr>
            </w:pPr>
            <w:r>
              <w:rPr>
                <w:rFonts w:ascii="Arial" w:hAnsi="Arial" w:cs="Arial"/>
                <w:b/>
                <w:sz w:val="20"/>
                <w:szCs w:val="20"/>
                <w:lang w:eastAsia="en-US"/>
              </w:rPr>
              <w:t>A.</w:t>
            </w:r>
            <w:r>
              <w:rPr>
                <w:rFonts w:ascii="Arial" w:hAnsi="Arial" w:cs="Arial"/>
                <w:b/>
                <w:sz w:val="20"/>
                <w:szCs w:val="20"/>
                <w:lang w:eastAsia="en-US"/>
              </w:rPr>
              <w:tab/>
            </w:r>
            <w:r>
              <w:rPr>
                <w:rFonts w:ascii="Arial" w:hAnsi="Arial" w:cs="Arial"/>
                <w:b/>
                <w:sz w:val="20"/>
                <w:szCs w:val="20"/>
                <w:lang w:eastAsia="zh-CN"/>
              </w:rPr>
              <w:t>绿色农业发展</w:t>
            </w:r>
          </w:p>
          <w:p w14:paraId="67B8A1A5">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加强农业资源的保护和利用</w:t>
            </w:r>
          </w:p>
          <w:p w14:paraId="311E3127">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加强农业面源污染防治</w:t>
            </w:r>
          </w:p>
          <w:p w14:paraId="6E506275">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加强农业生态保护与恢复</w:t>
            </w:r>
          </w:p>
          <w:p w14:paraId="1CDE12AD">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构建绿色低碳农业产业链</w:t>
            </w:r>
          </w:p>
          <w:p w14:paraId="0E7F272E">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完善绿色农业技术开发创新体系</w:t>
            </w:r>
          </w:p>
          <w:p w14:paraId="3F0EC942">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完善农业绿色发展管理体系和机制</w:t>
            </w:r>
          </w:p>
          <w:p w14:paraId="354BAFA3">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规划和实施绿色农业发展</w:t>
            </w:r>
          </w:p>
          <w:p w14:paraId="339DBEB5">
            <w:pPr>
              <w:adjustRightInd w:val="0"/>
              <w:snapToGrid w:val="0"/>
              <w:ind w:left="374" w:hanging="374"/>
              <w:rPr>
                <w:rFonts w:ascii="Arial" w:hAnsi="Arial" w:cs="Arial"/>
                <w:b/>
                <w:sz w:val="20"/>
                <w:szCs w:val="20"/>
                <w:lang w:eastAsia="zh-CN"/>
              </w:rPr>
            </w:pPr>
            <w:r>
              <w:rPr>
                <w:rFonts w:ascii="Arial" w:hAnsi="Arial" w:cs="Arial"/>
                <w:b/>
                <w:sz w:val="20"/>
                <w:szCs w:val="20"/>
                <w:lang w:eastAsia="zh-CN"/>
              </w:rPr>
              <w:t>B.</w:t>
            </w:r>
            <w:r>
              <w:rPr>
                <w:rFonts w:ascii="Arial" w:hAnsi="Arial" w:cs="Arial"/>
                <w:b/>
                <w:sz w:val="20"/>
                <w:szCs w:val="20"/>
                <w:lang w:eastAsia="zh-CN"/>
              </w:rPr>
              <w:tab/>
            </w:r>
            <w:r>
              <w:rPr>
                <w:rFonts w:ascii="Arial" w:hAnsi="Arial" w:cs="Arial"/>
                <w:b/>
                <w:sz w:val="20"/>
                <w:szCs w:val="20"/>
                <w:lang w:eastAsia="zh-CN"/>
              </w:rPr>
              <w:t xml:space="preserve">农村基础设施和公共服务 </w:t>
            </w:r>
          </w:p>
          <w:p w14:paraId="45A9EBF6">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建设生态宜居美丽乡村</w:t>
            </w:r>
          </w:p>
          <w:p w14:paraId="22CE1DC7">
            <w:pPr>
              <w:pStyle w:val="48"/>
              <w:numPr>
                <w:ilvl w:val="0"/>
                <w:numId w:val="8"/>
              </w:numPr>
              <w:adjustRightInd w:val="0"/>
              <w:snapToGrid w:val="0"/>
              <w:ind w:left="375" w:hanging="91" w:firstLineChars="0"/>
              <w:rPr>
                <w:rFonts w:ascii="Arial" w:hAnsi="Arial" w:cs="Arial"/>
                <w:bCs/>
                <w:sz w:val="20"/>
                <w:szCs w:val="20"/>
                <w:lang w:eastAsia="en-US"/>
              </w:rPr>
            </w:pPr>
            <w:r>
              <w:rPr>
                <w:rFonts w:ascii="Arial" w:hAnsi="Arial" w:cs="Arial"/>
                <w:bCs/>
                <w:sz w:val="20"/>
                <w:szCs w:val="20"/>
                <w:lang w:eastAsia="en-US"/>
              </w:rPr>
              <w:t>改善农村人居环境</w:t>
            </w:r>
          </w:p>
          <w:p w14:paraId="585913DD">
            <w:pPr>
              <w:pStyle w:val="48"/>
              <w:numPr>
                <w:ilvl w:val="0"/>
                <w:numId w:val="8"/>
              </w:numPr>
              <w:adjustRightInd w:val="0"/>
              <w:snapToGrid w:val="0"/>
              <w:ind w:left="375" w:hanging="91" w:firstLineChars="0"/>
              <w:rPr>
                <w:rFonts w:ascii="Arial" w:hAnsi="Arial" w:cs="Arial"/>
                <w:bCs/>
                <w:sz w:val="20"/>
                <w:szCs w:val="20"/>
                <w:lang w:eastAsia="en-US"/>
              </w:rPr>
            </w:pPr>
            <w:r>
              <w:rPr>
                <w:rFonts w:ascii="Arial" w:hAnsi="Arial" w:cs="Arial"/>
                <w:bCs/>
                <w:sz w:val="20"/>
                <w:szCs w:val="20"/>
                <w:lang w:eastAsia="en-US"/>
              </w:rPr>
              <w:t>改善村容</w:t>
            </w:r>
            <w:r>
              <w:rPr>
                <w:rFonts w:ascii="Arial" w:hAnsi="Arial" w:cs="Arial"/>
                <w:bCs/>
                <w:sz w:val="20"/>
                <w:szCs w:val="20"/>
                <w:lang w:eastAsia="zh-CN"/>
              </w:rPr>
              <w:t>村貌</w:t>
            </w:r>
          </w:p>
          <w:p w14:paraId="6C5BE471">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提升农村水务基础设施</w:t>
            </w:r>
          </w:p>
          <w:p w14:paraId="1C57B71E">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加强农村交通基础设施</w:t>
            </w:r>
          </w:p>
          <w:p w14:paraId="6C18BB4F">
            <w:pPr>
              <w:pStyle w:val="48"/>
              <w:numPr>
                <w:ilvl w:val="0"/>
                <w:numId w:val="8"/>
              </w:numPr>
              <w:adjustRightInd w:val="0"/>
              <w:snapToGrid w:val="0"/>
              <w:ind w:left="375" w:hanging="91" w:firstLineChars="0"/>
              <w:rPr>
                <w:rFonts w:ascii="Arial" w:hAnsi="Arial" w:cs="Arial"/>
                <w:bCs/>
                <w:sz w:val="20"/>
                <w:szCs w:val="20"/>
                <w:lang w:eastAsia="zh-CN"/>
              </w:rPr>
            </w:pPr>
            <w:r>
              <w:rPr>
                <w:rFonts w:ascii="Arial" w:hAnsi="Arial" w:cs="Arial"/>
                <w:bCs/>
                <w:sz w:val="20"/>
                <w:szCs w:val="20"/>
                <w:lang w:eastAsia="zh-CN"/>
              </w:rPr>
              <w:t>建设农村现代能源体系</w:t>
            </w:r>
          </w:p>
        </w:tc>
        <w:tc>
          <w:tcPr>
            <w:tcW w:w="2203" w:type="pct"/>
          </w:tcPr>
          <w:p w14:paraId="0BD6B57F">
            <w:pPr>
              <w:widowControl w:val="0"/>
              <w:autoSpaceDE w:val="0"/>
              <w:autoSpaceDN w:val="0"/>
              <w:adjustRightInd w:val="0"/>
              <w:snapToGrid w:val="0"/>
              <w:rPr>
                <w:rFonts w:ascii="Arial" w:hAnsi="Arial" w:cs="Arial"/>
                <w:b/>
                <w:sz w:val="20"/>
                <w:szCs w:val="20"/>
                <w:lang w:eastAsia="en-US"/>
              </w:rPr>
            </w:pPr>
            <w:r>
              <w:rPr>
                <w:rFonts w:ascii="Arial" w:hAnsi="Arial" w:cs="Arial"/>
                <w:b/>
                <w:sz w:val="20"/>
                <w:szCs w:val="20"/>
                <w:lang w:eastAsia="en-US"/>
              </w:rPr>
              <w:t>本项目结果领域</w:t>
            </w:r>
          </w:p>
          <w:p w14:paraId="46FD7CE9">
            <w:pPr>
              <w:widowControl w:val="0"/>
              <w:numPr>
                <w:ilvl w:val="0"/>
                <w:numId w:val="9"/>
              </w:numPr>
              <w:autoSpaceDE w:val="0"/>
              <w:autoSpaceDN w:val="0"/>
              <w:adjustRightInd w:val="0"/>
              <w:snapToGrid w:val="0"/>
              <w:ind w:left="222" w:hanging="222"/>
              <w:rPr>
                <w:rFonts w:ascii="Arial" w:hAnsi="Arial" w:cs="Arial"/>
                <w:bCs/>
                <w:sz w:val="20"/>
                <w:szCs w:val="20"/>
                <w:lang w:eastAsia="zh-CN"/>
              </w:rPr>
            </w:pPr>
            <w:r>
              <w:rPr>
                <w:rFonts w:ascii="Arial" w:hAnsi="Arial" w:cs="Arial"/>
                <w:bCs/>
                <w:sz w:val="20"/>
                <w:szCs w:val="20"/>
                <w:lang w:eastAsia="zh-CN"/>
              </w:rPr>
              <w:t xml:space="preserve">RA1：加强机构管理能力（政府规划领域6） </w:t>
            </w:r>
          </w:p>
          <w:p w14:paraId="05ADE432">
            <w:pPr>
              <w:widowControl w:val="0"/>
              <w:numPr>
                <w:ilvl w:val="0"/>
                <w:numId w:val="9"/>
              </w:numPr>
              <w:autoSpaceDE w:val="0"/>
              <w:autoSpaceDN w:val="0"/>
              <w:adjustRightInd w:val="0"/>
              <w:snapToGrid w:val="0"/>
              <w:ind w:left="222" w:hanging="222"/>
              <w:rPr>
                <w:rFonts w:ascii="Arial" w:hAnsi="Arial" w:cs="Arial"/>
                <w:bCs/>
                <w:sz w:val="20"/>
                <w:szCs w:val="20"/>
                <w:lang w:eastAsia="zh-CN"/>
              </w:rPr>
            </w:pPr>
            <w:r>
              <w:rPr>
                <w:rFonts w:ascii="Arial" w:hAnsi="Arial" w:cs="Arial"/>
                <w:bCs/>
                <w:sz w:val="20"/>
                <w:szCs w:val="20"/>
                <w:lang w:eastAsia="zh-CN"/>
              </w:rPr>
              <w:t>RA2：绿色农业全产业链发展（政府规划领域1、2、4、5）</w:t>
            </w:r>
          </w:p>
          <w:p w14:paraId="7B17F4B4">
            <w:pPr>
              <w:widowControl w:val="0"/>
              <w:numPr>
                <w:ilvl w:val="0"/>
                <w:numId w:val="9"/>
              </w:numPr>
              <w:autoSpaceDE w:val="0"/>
              <w:autoSpaceDN w:val="0"/>
              <w:adjustRightInd w:val="0"/>
              <w:snapToGrid w:val="0"/>
              <w:ind w:left="222" w:hanging="222"/>
              <w:rPr>
                <w:rFonts w:ascii="Arial" w:hAnsi="Arial" w:cs="Arial"/>
                <w:bCs/>
                <w:sz w:val="20"/>
                <w:szCs w:val="20"/>
                <w:lang w:eastAsia="zh-CN"/>
              </w:rPr>
            </w:pPr>
            <w:r>
              <w:rPr>
                <w:rFonts w:ascii="Arial" w:hAnsi="Arial" w:cs="Arial"/>
                <w:bCs/>
                <w:sz w:val="20"/>
                <w:szCs w:val="20"/>
                <w:lang w:eastAsia="zh-CN"/>
              </w:rPr>
              <w:t>RA3：提升农村生活垃圾和生活污水服务（政府规划领域9、10、11）</w:t>
            </w:r>
          </w:p>
          <w:p w14:paraId="6113937A">
            <w:pPr>
              <w:widowControl w:val="0"/>
              <w:numPr>
                <w:ilvl w:val="0"/>
                <w:numId w:val="9"/>
              </w:numPr>
              <w:autoSpaceDE w:val="0"/>
              <w:autoSpaceDN w:val="0"/>
              <w:adjustRightInd w:val="0"/>
              <w:snapToGrid w:val="0"/>
              <w:ind w:left="222" w:hanging="222"/>
              <w:rPr>
                <w:rFonts w:ascii="Arial" w:hAnsi="Arial" w:cs="Arial"/>
                <w:bCs/>
                <w:sz w:val="20"/>
                <w:szCs w:val="20"/>
                <w:lang w:eastAsia="zh-CN"/>
              </w:rPr>
            </w:pPr>
            <w:r>
              <w:rPr>
                <w:rFonts w:ascii="Arial" w:hAnsi="Arial" w:cs="Arial"/>
                <w:bCs/>
                <w:sz w:val="20"/>
                <w:szCs w:val="20"/>
                <w:lang w:eastAsia="zh-CN"/>
              </w:rPr>
              <w:t>RA4：恢复和保护农业生态系统（政府规划领域3）</w:t>
            </w:r>
          </w:p>
        </w:tc>
      </w:tr>
      <w:tr w14:paraId="2BA6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18" w:type="pct"/>
          </w:tcPr>
          <w:p w14:paraId="6EDAA9FA">
            <w:pPr>
              <w:adjustRightInd w:val="0"/>
              <w:snapToGrid w:val="0"/>
              <w:rPr>
                <w:rFonts w:ascii="Arial" w:hAnsi="Arial" w:cs="Arial"/>
                <w:b/>
                <w:sz w:val="20"/>
                <w:szCs w:val="20"/>
                <w:lang w:eastAsia="en-US"/>
              </w:rPr>
            </w:pPr>
            <w:r>
              <w:rPr>
                <w:rFonts w:ascii="Arial" w:hAnsi="Arial" w:cs="Arial"/>
                <w:b/>
                <w:sz w:val="20"/>
                <w:szCs w:val="20"/>
                <w:lang w:eastAsia="zh-CN"/>
              </w:rPr>
              <w:t>总投资</w:t>
            </w:r>
          </w:p>
        </w:tc>
        <w:tc>
          <w:tcPr>
            <w:tcW w:w="2079" w:type="pct"/>
          </w:tcPr>
          <w:p w14:paraId="55B7C432">
            <w:pPr>
              <w:widowControl w:val="0"/>
              <w:autoSpaceDE w:val="0"/>
              <w:autoSpaceDN w:val="0"/>
              <w:adjustRightInd w:val="0"/>
              <w:snapToGrid w:val="0"/>
              <w:rPr>
                <w:rFonts w:ascii="Arial" w:hAnsi="Arial" w:cs="Arial"/>
                <w:bCs/>
                <w:sz w:val="20"/>
                <w:szCs w:val="20"/>
                <w:lang w:eastAsia="en-US"/>
              </w:rPr>
            </w:pPr>
            <w:r>
              <w:rPr>
                <w:rFonts w:ascii="Arial" w:hAnsi="Arial" w:cs="Arial"/>
                <w:bCs/>
                <w:sz w:val="20"/>
                <w:szCs w:val="20"/>
                <w:lang w:eastAsia="en-US"/>
              </w:rPr>
              <w:t>9600</w:t>
            </w:r>
            <w:r>
              <w:rPr>
                <w:rFonts w:ascii="Arial" w:hAnsi="Arial" w:cs="Arial"/>
                <w:bCs/>
                <w:sz w:val="20"/>
                <w:szCs w:val="20"/>
                <w:lang w:eastAsia="zh-CN"/>
              </w:rPr>
              <w:t>亿美元</w:t>
            </w:r>
            <w:r>
              <w:rPr>
                <w:rFonts w:ascii="Arial" w:hAnsi="Arial" w:cs="Arial"/>
                <w:bCs/>
                <w:sz w:val="20"/>
                <w:szCs w:val="20"/>
                <w:lang w:eastAsia="en-US"/>
              </w:rPr>
              <w:t xml:space="preserve"> </w:t>
            </w:r>
            <w:r>
              <w:rPr>
                <w:rFonts w:hint="eastAsia" w:ascii="Arial" w:hAnsi="Arial" w:cs="Arial"/>
                <w:bCs/>
                <w:sz w:val="20"/>
                <w:szCs w:val="20"/>
                <w:lang w:eastAsia="zh-CN"/>
              </w:rPr>
              <w:t>（</w:t>
            </w:r>
            <w:r>
              <w:rPr>
                <w:rFonts w:ascii="Arial" w:hAnsi="Arial" w:cs="Arial"/>
                <w:bCs/>
                <w:sz w:val="20"/>
                <w:szCs w:val="20"/>
                <w:lang w:eastAsia="en-US"/>
              </w:rPr>
              <w:t>2022‒2025</w:t>
            </w:r>
            <w:r>
              <w:rPr>
                <w:rFonts w:ascii="Arial" w:hAnsi="Arial" w:cs="Arial"/>
                <w:bCs/>
                <w:sz w:val="20"/>
                <w:szCs w:val="20"/>
                <w:lang w:eastAsia="zh-CN"/>
              </w:rPr>
              <w:t>年</w:t>
            </w:r>
            <w:r>
              <w:rPr>
                <w:rFonts w:hint="eastAsia" w:ascii="Arial" w:hAnsi="Arial" w:cs="Arial"/>
                <w:bCs/>
                <w:sz w:val="20"/>
                <w:szCs w:val="20"/>
                <w:lang w:eastAsia="zh-CN"/>
              </w:rPr>
              <w:t>）</w:t>
            </w:r>
          </w:p>
        </w:tc>
        <w:tc>
          <w:tcPr>
            <w:tcW w:w="2203" w:type="pct"/>
          </w:tcPr>
          <w:p w14:paraId="05EE8D0E">
            <w:pPr>
              <w:widowControl w:val="0"/>
              <w:autoSpaceDE w:val="0"/>
              <w:autoSpaceDN w:val="0"/>
              <w:adjustRightInd w:val="0"/>
              <w:snapToGrid w:val="0"/>
              <w:rPr>
                <w:rFonts w:ascii="Arial" w:hAnsi="Arial" w:cs="Arial"/>
                <w:bCs/>
                <w:sz w:val="20"/>
                <w:szCs w:val="20"/>
                <w:lang w:eastAsia="zh-CN"/>
              </w:rPr>
            </w:pPr>
            <w:r>
              <w:rPr>
                <w:rFonts w:ascii="Arial" w:hAnsi="Arial" w:cs="Arial"/>
                <w:bCs/>
                <w:sz w:val="20"/>
                <w:szCs w:val="20"/>
                <w:lang w:eastAsia="zh-CN"/>
              </w:rPr>
              <w:t>世行贷款3</w:t>
            </w:r>
            <w:r>
              <w:rPr>
                <w:rFonts w:ascii="Arial" w:hAnsi="Arial" w:cs="Arial"/>
                <w:bCs/>
                <w:sz w:val="20"/>
                <w:szCs w:val="20"/>
                <w:lang w:val="en-GB" w:eastAsia="zh-CN"/>
              </w:rPr>
              <w:t>.4亿美元，</w:t>
            </w:r>
            <w:r>
              <w:rPr>
                <w:rFonts w:ascii="Arial" w:hAnsi="Arial" w:cs="Arial"/>
                <w:bCs/>
                <w:sz w:val="20"/>
                <w:szCs w:val="20"/>
                <w:lang w:eastAsia="zh-CN"/>
              </w:rPr>
              <w:t>政府投资41</w:t>
            </w:r>
            <w:r>
              <w:rPr>
                <w:rFonts w:hint="eastAsia" w:ascii="Arial" w:hAnsi="Arial" w:cs="Arial"/>
                <w:bCs/>
                <w:sz w:val="20"/>
                <w:szCs w:val="20"/>
                <w:lang w:eastAsia="zh-CN"/>
              </w:rPr>
              <w:t>.05</w:t>
            </w:r>
            <w:r>
              <w:rPr>
                <w:rFonts w:ascii="Arial" w:hAnsi="Arial" w:cs="Arial"/>
                <w:bCs/>
                <w:sz w:val="20"/>
                <w:szCs w:val="20"/>
                <w:lang w:eastAsia="zh-CN"/>
              </w:rPr>
              <w:t>亿美元</w:t>
            </w:r>
            <w:r>
              <w:rPr>
                <w:rFonts w:hint="eastAsia" w:ascii="Arial" w:hAnsi="Arial" w:cs="Arial"/>
                <w:bCs/>
                <w:sz w:val="20"/>
                <w:szCs w:val="20"/>
                <w:lang w:eastAsia="zh-CN"/>
              </w:rPr>
              <w:t>（</w:t>
            </w:r>
            <w:r>
              <w:rPr>
                <w:rFonts w:ascii="Arial" w:hAnsi="Arial" w:cs="Arial"/>
                <w:color w:val="000000" w:themeColor="text1"/>
                <w:sz w:val="20"/>
                <w:szCs w:val="20"/>
                <w:lang w:eastAsia="zh-CN"/>
                <w14:textFill>
                  <w14:solidFill>
                    <w14:schemeClr w14:val="tx1"/>
                  </w14:solidFill>
                </w14:textFill>
              </w:rPr>
              <w:t>2024</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lang w:eastAsia="zh-CN"/>
                <w14:textFill>
                  <w14:solidFill>
                    <w14:schemeClr w14:val="tx1"/>
                  </w14:solidFill>
                </w14:textFill>
              </w:rPr>
              <w:t>2029年</w:t>
            </w:r>
            <w:r>
              <w:rPr>
                <w:rFonts w:hint="eastAsia" w:ascii="Arial" w:hAnsi="Arial" w:cs="Arial"/>
                <w:color w:val="000000" w:themeColor="text1"/>
                <w:sz w:val="20"/>
                <w:szCs w:val="20"/>
                <w:lang w:eastAsia="zh-CN"/>
                <w14:textFill>
                  <w14:solidFill>
                    <w14:schemeClr w14:val="tx1"/>
                  </w14:solidFill>
                </w14:textFill>
              </w:rPr>
              <w:t>），项目总投资为</w:t>
            </w:r>
            <w:r>
              <w:rPr>
                <w:rFonts w:ascii="Arial" w:hAnsi="Arial" w:cs="Arial"/>
                <w:color w:val="000000" w:themeColor="text1"/>
                <w:sz w:val="20"/>
                <w:szCs w:val="20"/>
                <w:lang w:eastAsia="zh-CN"/>
                <w14:textFill>
                  <w14:solidFill>
                    <w14:schemeClr w14:val="tx1"/>
                  </w14:solidFill>
                </w14:textFill>
              </w:rPr>
              <w:t>44.45亿美元</w:t>
            </w:r>
          </w:p>
        </w:tc>
      </w:tr>
    </w:tbl>
    <w:p w14:paraId="1D160121">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color w:val="000000" w:themeColor="text1"/>
          <w:sz w:val="22"/>
          <w14:textFill>
            <w14:solidFill>
              <w14:schemeClr w14:val="tx1"/>
            </w14:solidFill>
          </w14:textFill>
        </w:rPr>
        <w:tab/>
      </w:r>
      <w:r>
        <w:rPr>
          <w:rFonts w:ascii="Arial" w:hAnsi="Arial" w:cs="Arial"/>
          <w:b/>
          <w:bCs/>
          <w:sz w:val="22"/>
        </w:rPr>
        <w:t>地理边界</w:t>
      </w:r>
      <w:r>
        <w:rPr>
          <w:rFonts w:ascii="Arial" w:hAnsi="Arial" w:cs="Arial"/>
          <w:sz w:val="22"/>
        </w:rPr>
        <w:t>：</w:t>
      </w:r>
      <w:r>
        <w:rPr>
          <w:rFonts w:ascii="Arial" w:hAnsi="Arial" w:cs="Arial"/>
          <w:bCs/>
          <w:color w:val="000000" w:themeColor="text1"/>
          <w:sz w:val="22"/>
          <w14:textFill>
            <w14:solidFill>
              <w14:schemeClr w14:val="tx1"/>
            </w14:solidFill>
          </w14:textFill>
        </w:rPr>
        <w:t>本项目将在湖北和湖南两省的23个示范市区县开展，包括湖北省103个市区县中的10个即洪湖、崇阳、浠水、阳新、郧西、</w:t>
      </w:r>
      <w:r>
        <w:rPr>
          <w:rFonts w:hint="eastAsia" w:ascii="Arial" w:hAnsi="Arial" w:cs="Arial"/>
          <w:bCs/>
          <w:color w:val="000000" w:themeColor="text1"/>
          <w:sz w:val="22"/>
          <w14:textFill>
            <w14:solidFill>
              <w14:schemeClr w14:val="tx1"/>
            </w14:solidFill>
          </w14:textFill>
        </w:rPr>
        <w:t>咸安</w:t>
      </w:r>
      <w:r>
        <w:rPr>
          <w:rFonts w:ascii="Arial" w:hAnsi="Arial" w:cs="Arial"/>
          <w:bCs/>
          <w:color w:val="000000" w:themeColor="text1"/>
          <w:sz w:val="22"/>
          <w14:textFill>
            <w14:solidFill>
              <w14:schemeClr w14:val="tx1"/>
            </w14:solidFill>
          </w14:textFill>
        </w:rPr>
        <w:t>、随县、仙桃、丹江口、咸丰；湖南省122个市区县中的</w:t>
      </w:r>
      <w:r>
        <w:rPr>
          <w:rFonts w:ascii="Arial" w:hAnsi="Arial" w:cs="Arial"/>
          <w:color w:val="000000" w:themeColor="text1"/>
          <w:sz w:val="22"/>
          <w14:textFill>
            <w14:solidFill>
              <w14:schemeClr w14:val="tx1"/>
            </w14:solidFill>
          </w14:textFill>
        </w:rPr>
        <w:t>13个</w:t>
      </w:r>
      <w:r>
        <w:rPr>
          <w:rFonts w:ascii="Arial" w:hAnsi="Arial" w:cs="Arial"/>
          <w:bCs/>
          <w:color w:val="000000" w:themeColor="text1"/>
          <w:sz w:val="22"/>
          <w14:textFill>
            <w14:solidFill>
              <w14:schemeClr w14:val="tx1"/>
            </w14:solidFill>
          </w14:textFill>
        </w:rPr>
        <w:t>即桃江</w:t>
      </w:r>
      <w:r>
        <w:rPr>
          <w:rFonts w:ascii="Arial" w:hAnsi="Arial" w:cs="Arial"/>
          <w:color w:val="000000" w:themeColor="text1"/>
          <w:sz w:val="22"/>
          <w14:textFill>
            <w14:solidFill>
              <w14:schemeClr w14:val="tx1"/>
            </w14:solidFill>
          </w14:textFill>
        </w:rPr>
        <w:t>、澧县、岳阳、临湘、醴陵、</w:t>
      </w:r>
      <w:r>
        <w:rPr>
          <w:rFonts w:ascii="Arial" w:hAnsi="Arial" w:cs="Arial"/>
          <w:bCs/>
          <w:color w:val="000000" w:themeColor="text1"/>
          <w:sz w:val="22"/>
          <w14:textFill>
            <w14:solidFill>
              <w14:schemeClr w14:val="tx1"/>
            </w14:solidFill>
          </w14:textFill>
        </w:rPr>
        <w:t>江永、</w:t>
      </w:r>
      <w:r>
        <w:rPr>
          <w:rFonts w:hint="eastAsia" w:ascii="Arial" w:hAnsi="Arial" w:cs="Arial"/>
          <w:color w:val="000000" w:themeColor="text1"/>
          <w:sz w:val="22"/>
          <w14:textFill>
            <w14:solidFill>
              <w14:schemeClr w14:val="tx1"/>
            </w14:solidFill>
          </w14:textFill>
        </w:rPr>
        <w:t>新田</w:t>
      </w:r>
      <w:r>
        <w:rPr>
          <w:rFonts w:ascii="Arial" w:hAnsi="Arial" w:cs="Arial"/>
          <w:color w:val="000000" w:themeColor="text1"/>
          <w:sz w:val="22"/>
          <w14:textFill>
            <w14:solidFill>
              <w14:schemeClr w14:val="tx1"/>
            </w14:solidFill>
          </w14:textFill>
        </w:rPr>
        <w:t>、</w:t>
      </w:r>
      <w:r>
        <w:rPr>
          <w:rFonts w:ascii="Arial" w:hAnsi="Arial" w:cs="Arial"/>
          <w:bCs/>
          <w:color w:val="000000" w:themeColor="text1"/>
          <w:sz w:val="22"/>
          <w14:textFill>
            <w14:solidFill>
              <w14:schemeClr w14:val="tx1"/>
            </w14:solidFill>
          </w14:textFill>
        </w:rPr>
        <w:t>衡阳、</w:t>
      </w:r>
      <w:r>
        <w:rPr>
          <w:rFonts w:ascii="Arial" w:hAnsi="Arial" w:cs="Arial"/>
          <w:color w:val="000000" w:themeColor="text1"/>
          <w:sz w:val="22"/>
          <w14:textFill>
            <w14:solidFill>
              <w14:schemeClr w14:val="tx1"/>
            </w14:solidFill>
          </w14:textFill>
        </w:rPr>
        <w:t>衡南、花垣、永定</w:t>
      </w:r>
      <w:r>
        <w:rPr>
          <w:rFonts w:ascii="Arial" w:hAnsi="Arial" w:cs="Arial"/>
          <w:bCs/>
          <w:color w:val="000000" w:themeColor="text1"/>
          <w:sz w:val="22"/>
          <w14:textFill>
            <w14:solidFill>
              <w14:schemeClr w14:val="tx1"/>
            </w14:solidFill>
          </w14:textFill>
        </w:rPr>
        <w:t>、</w:t>
      </w:r>
      <w:r>
        <w:rPr>
          <w:rFonts w:ascii="Arial" w:hAnsi="Arial" w:cs="Arial"/>
          <w:color w:val="000000" w:themeColor="text1"/>
          <w:sz w:val="22"/>
          <w14:textFill>
            <w14:solidFill>
              <w14:schemeClr w14:val="tx1"/>
            </w14:solidFill>
          </w14:textFill>
        </w:rPr>
        <w:t>永顺</w:t>
      </w:r>
      <w:r>
        <w:rPr>
          <w:rFonts w:ascii="Arial" w:hAnsi="Arial" w:cs="Arial"/>
          <w:sz w:val="22"/>
          <w:szCs w:val="22"/>
        </w:rPr>
        <w:t>、</w:t>
      </w:r>
      <w:r>
        <w:rPr>
          <w:rFonts w:ascii="Arial" w:hAnsi="Arial" w:cs="Arial"/>
          <w:color w:val="000000" w:themeColor="text1"/>
          <w:sz w:val="22"/>
          <w14:textFill>
            <w14:solidFill>
              <w14:schemeClr w14:val="tx1"/>
            </w14:solidFill>
          </w14:textFill>
        </w:rPr>
        <w:t>慈利。</w:t>
      </w:r>
    </w:p>
    <w:p w14:paraId="70362275">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sz w:val="22"/>
        </w:rPr>
        <w:t>发展目标与结果领域</w:t>
      </w:r>
      <w:r>
        <w:rPr>
          <w:rFonts w:ascii="Arial" w:hAnsi="Arial" w:cs="Arial"/>
          <w:bCs/>
          <w:sz w:val="22"/>
        </w:rPr>
        <w:t>：</w:t>
      </w:r>
      <w:r>
        <w:rPr>
          <w:rFonts w:ascii="Arial" w:hAnsi="Arial" w:cs="Arial"/>
          <w:bCs/>
          <w:color w:val="000000" w:themeColor="text1"/>
          <w:sz w:val="22"/>
          <w14:textFill>
            <w14:solidFill>
              <w14:schemeClr w14:val="tx1"/>
            </w14:solidFill>
          </w14:textFill>
        </w:rPr>
        <w:t>本项目总体发展目标是</w:t>
      </w:r>
      <w:r>
        <w:rPr>
          <w:rFonts w:hint="eastAsia" w:ascii="Arial" w:hAnsi="Arial" w:cs="Arial"/>
          <w:bCs/>
          <w:color w:val="000000" w:themeColor="text1"/>
          <w:sz w:val="22"/>
          <w14:textFill>
            <w14:solidFill>
              <w14:schemeClr w14:val="tx1"/>
            </w14:solidFill>
          </w14:textFill>
        </w:rPr>
        <w:t>在湖北和湖南的选定地区加强采用环境可持续的农业和农村基础设施发展实践</w:t>
      </w:r>
      <w:r>
        <w:rPr>
          <w:rFonts w:ascii="Arial" w:hAnsi="Arial" w:cs="Arial"/>
          <w:bCs/>
          <w:sz w:val="22"/>
        </w:rPr>
        <w:t>，</w:t>
      </w:r>
      <w:r>
        <w:rPr>
          <w:rFonts w:ascii="Arial" w:hAnsi="Arial" w:cs="Arial"/>
          <w:bCs/>
          <w:color w:val="000000" w:themeColor="text1"/>
          <w:sz w:val="22"/>
          <w14:textFill>
            <w14:solidFill>
              <w14:schemeClr w14:val="tx1"/>
            </w14:solidFill>
          </w14:textFill>
        </w:rPr>
        <w:t>将通过支持在以下四个结果领域</w:t>
      </w:r>
      <w:r>
        <w:rPr>
          <w:rFonts w:ascii="Arial" w:hAnsi="Arial" w:cs="Arial"/>
          <w:bCs/>
          <w:sz w:val="22"/>
        </w:rPr>
        <w:t>（RA</w:t>
      </w:r>
      <w:r>
        <w:rPr>
          <w:rFonts w:ascii="Arial" w:hAnsi="Arial" w:cs="Arial"/>
          <w:bCs/>
          <w:sz w:val="22"/>
          <w:lang w:val="en-GB"/>
        </w:rPr>
        <w:t>s</w:t>
      </w:r>
      <w:r>
        <w:rPr>
          <w:rFonts w:ascii="Arial" w:hAnsi="Arial" w:cs="Arial"/>
          <w:bCs/>
          <w:sz w:val="22"/>
        </w:rPr>
        <w:t xml:space="preserve">）的活动来实现：RA1 </w:t>
      </w:r>
      <w:r>
        <w:rPr>
          <w:rFonts w:hint="eastAsia" w:ascii="Arial" w:hAnsi="Arial" w:cs="Arial"/>
          <w:bCs/>
          <w:sz w:val="22"/>
          <w:lang w:eastAsia="zh-CN"/>
        </w:rPr>
        <w:t>—</w:t>
      </w:r>
      <w:r>
        <w:rPr>
          <w:rFonts w:ascii="Arial" w:hAnsi="Arial" w:cs="Arial"/>
          <w:bCs/>
          <w:sz w:val="22"/>
        </w:rPr>
        <w:t xml:space="preserve"> </w:t>
      </w:r>
      <w:r>
        <w:rPr>
          <w:rFonts w:ascii="Arial" w:hAnsi="Arial" w:cs="Arial"/>
          <w:color w:val="000000" w:themeColor="text1"/>
          <w:sz w:val="22"/>
          <w14:textFill>
            <w14:solidFill>
              <w14:schemeClr w14:val="tx1"/>
            </w14:solidFill>
          </w14:textFill>
        </w:rPr>
        <w:t>加强机构管理能力</w:t>
      </w:r>
      <w:r>
        <w:rPr>
          <w:rFonts w:ascii="Arial" w:hAnsi="Arial" w:cs="Arial"/>
          <w:sz w:val="22"/>
        </w:rPr>
        <w:t xml:space="preserve">；RA2 </w:t>
      </w:r>
      <w:r>
        <w:rPr>
          <w:rFonts w:hint="eastAsia" w:ascii="Arial" w:hAnsi="Arial" w:cs="Arial"/>
          <w:sz w:val="22"/>
          <w:lang w:eastAsia="zh-CN"/>
        </w:rPr>
        <w:t>—</w:t>
      </w:r>
      <w:r>
        <w:rPr>
          <w:rFonts w:ascii="Arial" w:hAnsi="Arial" w:cs="Arial"/>
          <w:sz w:val="22"/>
        </w:rPr>
        <w:t xml:space="preserve"> </w:t>
      </w:r>
      <w:r>
        <w:rPr>
          <w:rFonts w:ascii="Arial" w:hAnsi="Arial" w:cs="Arial"/>
          <w:color w:val="000000" w:themeColor="text1"/>
          <w14:textFill>
            <w14:solidFill>
              <w14:schemeClr w14:val="tx1"/>
            </w14:solidFill>
          </w14:textFill>
        </w:rPr>
        <w:t>农业产业链绿色发展</w:t>
      </w:r>
      <w:r>
        <w:rPr>
          <w:rFonts w:ascii="Arial" w:hAnsi="Arial" w:cs="Arial"/>
        </w:rPr>
        <w:t>；</w:t>
      </w:r>
      <w:r>
        <w:rPr>
          <w:rFonts w:ascii="Arial" w:hAnsi="Arial" w:cs="Arial"/>
          <w:sz w:val="22"/>
        </w:rPr>
        <w:t xml:space="preserve">RA3 </w:t>
      </w:r>
      <w:r>
        <w:rPr>
          <w:rFonts w:hint="eastAsia" w:ascii="Arial" w:hAnsi="Arial" w:cs="Arial"/>
          <w:sz w:val="22"/>
          <w:lang w:eastAsia="zh-CN"/>
        </w:rPr>
        <w:t>—</w:t>
      </w:r>
      <w:r>
        <w:rPr>
          <w:rFonts w:ascii="Arial" w:hAnsi="Arial" w:cs="Arial"/>
          <w:sz w:val="22"/>
        </w:rPr>
        <w:t xml:space="preserve"> </w:t>
      </w:r>
      <w:r>
        <w:rPr>
          <w:rFonts w:ascii="Arial" w:hAnsi="Arial" w:cs="Arial"/>
          <w:color w:val="000000" w:themeColor="text1"/>
          <w:sz w:val="22"/>
          <w14:textFill>
            <w14:solidFill>
              <w14:schemeClr w14:val="tx1"/>
            </w14:solidFill>
          </w14:textFill>
        </w:rPr>
        <w:t>改善农村生活垃圾和生活污水服务</w:t>
      </w:r>
      <w:r>
        <w:rPr>
          <w:rFonts w:ascii="Arial" w:hAnsi="Arial" w:cs="Arial"/>
          <w:sz w:val="22"/>
        </w:rPr>
        <w:t xml:space="preserve">；RA4 </w:t>
      </w:r>
      <w:r>
        <w:rPr>
          <w:rFonts w:hint="eastAsia" w:ascii="Arial" w:hAnsi="Arial" w:cs="Arial"/>
          <w:sz w:val="22"/>
          <w:lang w:eastAsia="zh-CN"/>
        </w:rPr>
        <w:t>—</w:t>
      </w:r>
      <w:r>
        <w:rPr>
          <w:rFonts w:ascii="Arial" w:hAnsi="Arial" w:cs="Arial"/>
          <w:sz w:val="22"/>
        </w:rPr>
        <w:t xml:space="preserve"> 恢复和保护农业生态系统。</w:t>
      </w:r>
    </w:p>
    <w:p w14:paraId="67D4C9AE">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sz w:val="22"/>
        </w:rPr>
        <w:t>典型活动与产出指标</w:t>
      </w:r>
      <w:r>
        <w:rPr>
          <w:rFonts w:ascii="Arial" w:hAnsi="Arial" w:cs="Arial"/>
          <w:bCs/>
          <w:sz w:val="22"/>
        </w:rPr>
        <w:t>：本项目各结果</w:t>
      </w:r>
      <w:r>
        <w:rPr>
          <w:rFonts w:hint="eastAsia" w:ascii="Arial" w:hAnsi="Arial" w:cs="Arial"/>
          <w:bCs/>
          <w:sz w:val="22"/>
          <w:lang w:eastAsia="zh-CN"/>
        </w:rPr>
        <w:t>领域</w:t>
      </w:r>
      <w:r>
        <w:rPr>
          <w:rFonts w:ascii="Arial" w:hAnsi="Arial" w:cs="Arial"/>
          <w:bCs/>
          <w:sz w:val="22"/>
        </w:rPr>
        <w:t xml:space="preserve">将开展一系列投资活动，并采用多项指标来反映相应的产出，其中包括若干支付关联指标 </w:t>
      </w:r>
      <w:r>
        <w:rPr>
          <w:rFonts w:hint="eastAsia" w:ascii="Arial" w:hAnsi="Arial" w:cs="Arial"/>
          <w:bCs/>
          <w:sz w:val="22"/>
          <w:lang w:eastAsia="zh-CN"/>
        </w:rPr>
        <w:t>（</w:t>
      </w:r>
      <w:r>
        <w:rPr>
          <w:rFonts w:ascii="Arial" w:hAnsi="Arial" w:cs="Arial"/>
          <w:bCs/>
          <w:sz w:val="22"/>
        </w:rPr>
        <w:t>DLIs</w:t>
      </w:r>
      <w:r>
        <w:rPr>
          <w:rFonts w:hint="eastAsia" w:ascii="Arial" w:hAnsi="Arial" w:cs="Arial"/>
          <w:bCs/>
          <w:sz w:val="22"/>
          <w:lang w:eastAsia="zh-CN"/>
        </w:rPr>
        <w:t>）</w:t>
      </w:r>
      <w:r>
        <w:rPr>
          <w:rFonts w:ascii="Arial" w:hAnsi="Arial" w:cs="Arial"/>
          <w:bCs/>
          <w:sz w:val="22"/>
        </w:rPr>
        <w:t>，</w:t>
      </w:r>
      <w:r>
        <w:rPr>
          <w:rFonts w:ascii="Arial" w:hAnsi="Arial" w:cs="Arial"/>
          <w:sz w:val="22"/>
        </w:rPr>
        <w:t>如</w:t>
      </w:r>
      <w:r>
        <w:rPr>
          <w:rFonts w:ascii="Arial" w:hAnsi="Arial" w:cs="Arial"/>
          <w:b/>
          <w:bCs/>
          <w:sz w:val="22"/>
        </w:rPr>
        <w:t>表2</w:t>
      </w:r>
      <w:r>
        <w:rPr>
          <w:rFonts w:hint="eastAsia" w:ascii="Arial" w:hAnsi="Arial" w:cs="Arial"/>
          <w:b/>
          <w:bCs/>
          <w:sz w:val="22"/>
          <w:lang w:eastAsia="zh-CN"/>
        </w:rPr>
        <w:t>—</w:t>
      </w:r>
      <w:r>
        <w:rPr>
          <w:rFonts w:ascii="Arial" w:hAnsi="Arial" w:cs="Arial"/>
          <w:b/>
          <w:bCs/>
          <w:sz w:val="22"/>
        </w:rPr>
        <w:t>2</w:t>
      </w:r>
      <w:r>
        <w:rPr>
          <w:rFonts w:ascii="Arial" w:hAnsi="Arial" w:cs="Arial"/>
          <w:sz w:val="22"/>
        </w:rPr>
        <w:t>所示：</w:t>
      </w:r>
    </w:p>
    <w:p w14:paraId="6949F6B1">
      <w:pPr>
        <w:pStyle w:val="11"/>
        <w:adjustRightInd w:val="0"/>
        <w:snapToGrid w:val="0"/>
        <w:spacing w:before="120" w:after="120"/>
        <w:ind w:left="720"/>
        <w:jc w:val="center"/>
        <w:rPr>
          <w:rFonts w:ascii="Arial" w:hAnsi="Arial" w:eastAsia="宋体" w:cs="Arial"/>
          <w:b/>
          <w:color w:val="1F4E79" w:themeColor="accent5" w:themeShade="80"/>
          <w:sz w:val="22"/>
          <w:szCs w:val="22"/>
        </w:rPr>
      </w:pPr>
      <w:r>
        <w:rPr>
          <w:rFonts w:ascii="Arial" w:hAnsi="Arial" w:eastAsia="宋体" w:cs="Arial"/>
          <w:b/>
          <w:bCs/>
          <w:color w:val="1F4E79" w:themeColor="accent5" w:themeShade="80"/>
          <w:sz w:val="22"/>
          <w:szCs w:val="22"/>
        </w:rPr>
        <w:t>表2</w:t>
      </w:r>
      <w:r>
        <w:rPr>
          <w:rFonts w:hint="eastAsia" w:ascii="Arial" w:hAnsi="Arial" w:eastAsia="宋体" w:cs="Arial"/>
          <w:b/>
          <w:bCs/>
          <w:color w:val="1F4E79" w:themeColor="accent5" w:themeShade="80"/>
          <w:sz w:val="22"/>
          <w:szCs w:val="22"/>
          <w:lang w:eastAsia="zh-CN"/>
        </w:rPr>
        <w:t>—</w:t>
      </w:r>
      <w:r>
        <w:rPr>
          <w:rFonts w:ascii="Arial" w:hAnsi="Arial" w:eastAsia="宋体" w:cs="Arial"/>
          <w:b/>
          <w:bCs/>
          <w:color w:val="1F4E79" w:themeColor="accent5" w:themeShade="80"/>
          <w:sz w:val="22"/>
          <w:szCs w:val="22"/>
        </w:rPr>
        <w:t>2</w:t>
      </w:r>
      <w:r>
        <w:rPr>
          <w:rFonts w:ascii="Arial" w:hAnsi="Arial" w:eastAsia="宋体" w:cs="Arial"/>
          <w:color w:val="1F4E79" w:themeColor="accent5" w:themeShade="80"/>
          <w:sz w:val="22"/>
          <w:szCs w:val="22"/>
        </w:rPr>
        <w:t>：</w:t>
      </w:r>
      <w:r>
        <w:rPr>
          <w:rFonts w:ascii="Arial" w:hAnsi="Arial" w:eastAsia="宋体" w:cs="Arial"/>
          <w:b/>
          <w:color w:val="1F4E79" w:themeColor="accent5" w:themeShade="80"/>
          <w:sz w:val="22"/>
          <w:szCs w:val="22"/>
        </w:rPr>
        <w:t>PforR边界内典型活动、预期产出和结果指标</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3569"/>
        <w:gridCol w:w="3002"/>
        <w:gridCol w:w="3132"/>
      </w:tblGrid>
      <w:tr w14:paraId="712A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blHeader/>
          <w:jc w:val="center"/>
        </w:trPr>
        <w:tc>
          <w:tcPr>
            <w:tcW w:w="1839" w:type="pct"/>
            <w:shd w:val="clear" w:color="auto" w:fill="auto"/>
            <w:tcMar>
              <w:top w:w="57" w:type="dxa"/>
              <w:left w:w="57" w:type="dxa"/>
              <w:bottom w:w="28" w:type="dxa"/>
              <w:right w:w="57" w:type="dxa"/>
            </w:tcMar>
          </w:tcPr>
          <w:p w14:paraId="5589E660">
            <w:pPr>
              <w:adjustRightInd w:val="0"/>
              <w:snapToGrid w:val="0"/>
              <w:jc w:val="center"/>
              <w:textAlignment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典型活动</w:t>
            </w:r>
          </w:p>
        </w:tc>
        <w:tc>
          <w:tcPr>
            <w:tcW w:w="1547" w:type="pct"/>
            <w:shd w:val="clear" w:color="auto" w:fill="auto"/>
          </w:tcPr>
          <w:p w14:paraId="2657D74E">
            <w:pPr>
              <w:adjustRightInd w:val="0"/>
              <w:snapToGrid w:val="0"/>
              <w:jc w:val="center"/>
              <w:textAlignment w:val="center"/>
              <w:rPr>
                <w:rFonts w:ascii="Arial" w:hAnsi="Arial" w:cs="Arial"/>
                <w:b/>
                <w:bCs/>
                <w:color w:val="000000" w:themeColor="text1"/>
                <w:sz w:val="20"/>
                <w:szCs w:val="20"/>
                <w:lang w:val="en-GB"/>
                <w14:textFill>
                  <w14:solidFill>
                    <w14:schemeClr w14:val="tx1"/>
                  </w14:solidFill>
                </w14:textFill>
              </w:rPr>
            </w:pPr>
            <w:r>
              <w:rPr>
                <w:rFonts w:ascii="Arial" w:hAnsi="Arial" w:cs="Arial"/>
                <w:b/>
                <w:color w:val="000000" w:themeColor="text1"/>
                <w:sz w:val="20"/>
                <w:szCs w:val="20"/>
                <w14:textFill>
                  <w14:solidFill>
                    <w14:schemeClr w14:val="tx1"/>
                  </w14:solidFill>
                </w14:textFill>
              </w:rPr>
              <w:t>预期产出</w:t>
            </w:r>
          </w:p>
        </w:tc>
        <w:tc>
          <w:tcPr>
            <w:tcW w:w="1614" w:type="pct"/>
            <w:shd w:val="clear" w:color="auto" w:fill="auto"/>
          </w:tcPr>
          <w:p w14:paraId="12EB8A6E">
            <w:pPr>
              <w:adjustRightInd w:val="0"/>
              <w:snapToGrid w:val="0"/>
              <w:jc w:val="center"/>
              <w:textAlignment w:val="center"/>
              <w:rPr>
                <w:rFonts w:ascii="Arial" w:hAnsi="Arial" w:cs="Arial"/>
                <w:b/>
                <w:color w:val="000000" w:themeColor="text1"/>
                <w:sz w:val="20"/>
                <w:szCs w:val="20"/>
                <w:lang w:val="en-GB"/>
                <w14:textFill>
                  <w14:solidFill>
                    <w14:schemeClr w14:val="tx1"/>
                  </w14:solidFill>
                </w14:textFill>
              </w:rPr>
            </w:pPr>
            <w:r>
              <w:rPr>
                <w:rFonts w:ascii="Arial" w:hAnsi="Arial" w:cs="Arial"/>
                <w:b/>
                <w:color w:val="000000" w:themeColor="text1"/>
                <w:sz w:val="20"/>
                <w:szCs w:val="20"/>
                <w14:textFill>
                  <w14:solidFill>
                    <w14:schemeClr w14:val="tx1"/>
                  </w14:solidFill>
                </w14:textFill>
              </w:rPr>
              <w:t>支付关联指标DLIs</w:t>
            </w:r>
          </w:p>
        </w:tc>
      </w:tr>
      <w:tr w14:paraId="747DC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5000" w:type="pct"/>
            <w:gridSpan w:val="3"/>
            <w:shd w:val="clear" w:color="auto" w:fill="auto"/>
            <w:tcMar>
              <w:top w:w="57" w:type="dxa"/>
              <w:left w:w="57" w:type="dxa"/>
              <w:bottom w:w="28" w:type="dxa"/>
              <w:right w:w="57" w:type="dxa"/>
            </w:tcMar>
          </w:tcPr>
          <w:p w14:paraId="7F2CCB3C">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RA1</w:t>
            </w:r>
            <w:r>
              <w:rPr>
                <w:rFonts w:ascii="Arial" w:hAnsi="Arial" w:cs="Arial"/>
                <w:b/>
                <w:bCs/>
                <w:color w:val="000000" w:themeColor="text1"/>
                <w:sz w:val="20"/>
                <w:szCs w:val="20"/>
                <w:lang w:val="en-GB"/>
                <w14:textFill>
                  <w14:solidFill>
                    <w14:schemeClr w14:val="tx1"/>
                  </w14:solidFill>
                </w14:textFill>
              </w:rPr>
              <w:t xml:space="preserve">.1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加强机构管理能力</w:t>
            </w:r>
          </w:p>
        </w:tc>
      </w:tr>
      <w:tr w14:paraId="2275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39" w:type="pct"/>
            <w:shd w:val="clear" w:color="auto" w:fill="auto"/>
            <w:tcMar>
              <w:top w:w="57" w:type="dxa"/>
              <w:left w:w="57" w:type="dxa"/>
              <w:bottom w:w="28" w:type="dxa"/>
              <w:right w:w="57" w:type="dxa"/>
            </w:tcMar>
          </w:tcPr>
          <w:p w14:paraId="17FEECC8">
            <w:pPr>
              <w:pStyle w:val="48"/>
              <w:numPr>
                <w:ilvl w:val="0"/>
                <w:numId w:val="10"/>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开发信息化平台，绘制农村基础设施和公共服务地图</w:t>
            </w:r>
          </w:p>
          <w:p w14:paraId="29CE7E03">
            <w:pPr>
              <w:pStyle w:val="48"/>
              <w:numPr>
                <w:ilvl w:val="0"/>
                <w:numId w:val="10"/>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制定农业农村温室气体减排监测、报告与核验方法</w:t>
            </w:r>
          </w:p>
        </w:tc>
        <w:tc>
          <w:tcPr>
            <w:tcW w:w="1547" w:type="pct"/>
            <w:shd w:val="clear" w:color="auto" w:fill="auto"/>
          </w:tcPr>
          <w:p w14:paraId="71C50C42">
            <w:pPr>
              <w:pStyle w:val="48"/>
              <w:numPr>
                <w:ilvl w:val="0"/>
                <w:numId w:val="11"/>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制定完成农村基础设施和公共服务IT平台基线</w:t>
            </w:r>
          </w:p>
          <w:p w14:paraId="2F7431A5">
            <w:pPr>
              <w:pStyle w:val="48"/>
              <w:numPr>
                <w:ilvl w:val="0"/>
                <w:numId w:val="11"/>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制定完成农业温室气体减排</w:t>
            </w:r>
            <w:r>
              <w:rPr>
                <w:rFonts w:ascii="Arial" w:hAnsi="Arial" w:cs="Arial"/>
                <w:color w:val="000000" w:themeColor="text1"/>
                <w:sz w:val="20"/>
                <w:szCs w:val="20"/>
                <w:lang w:val="en-GB"/>
                <w14:textFill>
                  <w14:solidFill>
                    <w14:schemeClr w14:val="tx1"/>
                  </w14:solidFill>
                </w14:textFill>
              </w:rPr>
              <w:t>监测、报告与核验方法供湖南和湖北两省使用</w:t>
            </w:r>
          </w:p>
        </w:tc>
        <w:tc>
          <w:tcPr>
            <w:tcW w:w="1614" w:type="pct"/>
            <w:shd w:val="clear" w:color="auto" w:fill="auto"/>
          </w:tcPr>
          <w:p w14:paraId="17A14F8D">
            <w:pPr>
              <w:adjustRightInd w:val="0"/>
              <w:snapToGrid w:val="0"/>
              <w:rPr>
                <w:rFonts w:ascii="Arial" w:hAnsi="Arial" w:cs="Arial"/>
                <w:bCs/>
                <w:color w:val="000000" w:themeColor="text1"/>
                <w:sz w:val="20"/>
                <w:szCs w:val="20"/>
                <w:lang w:val="en-GB"/>
                <w14:textFill>
                  <w14:solidFill>
                    <w14:schemeClr w14:val="tx1"/>
                  </w14:solidFill>
                </w14:textFill>
              </w:rPr>
            </w:pPr>
            <w:r>
              <w:rPr>
                <w:rFonts w:ascii="Arial" w:hAnsi="Arial" w:cs="Arial"/>
                <w:b/>
                <w:bCs/>
                <w:color w:val="000000" w:themeColor="text1"/>
                <w:kern w:val="24"/>
                <w:sz w:val="20"/>
                <w:szCs w:val="20"/>
                <w14:textFill>
                  <w14:solidFill>
                    <w14:schemeClr w14:val="tx1"/>
                  </w14:solidFill>
                </w14:textFill>
              </w:rPr>
              <w:t>DLI1.1</w:t>
            </w:r>
            <w:r>
              <w:rPr>
                <w:rFonts w:ascii="Arial" w:hAnsi="Arial" w:cs="Arial"/>
                <w:color w:val="000000" w:themeColor="text1"/>
                <w:kern w:val="24"/>
                <w:sz w:val="20"/>
                <w:szCs w:val="20"/>
                <w14:textFill>
                  <w14:solidFill>
                    <w14:schemeClr w14:val="tx1"/>
                  </w14:solidFill>
                </w14:textFill>
              </w:rPr>
              <w:t>：开发和使用信息化平台，用于农村基础设施、公共服务和村庄规划的绘图、监测与评价</w:t>
            </w:r>
          </w:p>
        </w:tc>
      </w:tr>
      <w:tr w14:paraId="0E38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5000" w:type="pct"/>
            <w:gridSpan w:val="3"/>
            <w:shd w:val="clear" w:color="auto" w:fill="auto"/>
            <w:tcMar>
              <w:top w:w="57" w:type="dxa"/>
              <w:left w:w="57" w:type="dxa"/>
              <w:bottom w:w="28" w:type="dxa"/>
              <w:right w:w="57" w:type="dxa"/>
            </w:tcMar>
          </w:tcPr>
          <w:p w14:paraId="11F20F0E">
            <w:pPr>
              <w:adjustRightInd w:val="0"/>
              <w:snapToGrid w:val="0"/>
              <w:rPr>
                <w:rFonts w:ascii="Arial" w:hAnsi="Arial" w:cs="Arial"/>
                <w:b/>
                <w:bCs/>
                <w:color w:val="000000" w:themeColor="text1"/>
                <w:sz w:val="20"/>
                <w:szCs w:val="20"/>
                <w:lang w:val="en-GB"/>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RA1</w:t>
            </w:r>
            <w:r>
              <w:rPr>
                <w:rFonts w:ascii="Arial" w:hAnsi="Arial" w:cs="Arial"/>
                <w:b/>
                <w:bCs/>
                <w:color w:val="000000" w:themeColor="text1"/>
                <w:sz w:val="20"/>
                <w:szCs w:val="20"/>
                <w:lang w:val="en-GB"/>
                <w14:textFill>
                  <w14:solidFill>
                    <w14:schemeClr w14:val="tx1"/>
                  </w14:solidFill>
                </w14:textFill>
              </w:rPr>
              <w:t>.2</w:t>
            </w:r>
            <w:r>
              <w:rPr>
                <w:rFonts w:ascii="Arial" w:hAnsi="Arial" w:cs="Arial"/>
                <w:b/>
                <w:bCs/>
                <w:color w:val="000000" w:themeColor="text1"/>
                <w:sz w:val="20"/>
                <w:szCs w:val="20"/>
                <w14:textFill>
                  <w14:solidFill>
                    <w14:schemeClr w14:val="tx1"/>
                  </w14:solidFill>
                </w14:textFill>
              </w:rPr>
              <w:t xml:space="preserve">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加强机构管理能力</w:t>
            </w:r>
          </w:p>
        </w:tc>
      </w:tr>
      <w:tr w14:paraId="066D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39" w:type="pct"/>
            <w:shd w:val="clear" w:color="auto" w:fill="auto"/>
            <w:tcMar>
              <w:top w:w="57" w:type="dxa"/>
              <w:left w:w="57" w:type="dxa"/>
              <w:bottom w:w="28" w:type="dxa"/>
              <w:right w:w="57" w:type="dxa"/>
            </w:tcMar>
          </w:tcPr>
          <w:p w14:paraId="21834B1D">
            <w:pPr>
              <w:pStyle w:val="48"/>
              <w:numPr>
                <w:ilvl w:val="0"/>
                <w:numId w:val="12"/>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制定绿色农业实践</w:t>
            </w:r>
            <w:r>
              <w:rPr>
                <w:rFonts w:ascii="Arial" w:hAnsi="Arial" w:cs="Arial"/>
                <w:color w:val="000000" w:themeColor="text1"/>
                <w:sz w:val="20"/>
                <w:szCs w:val="20"/>
                <w14:textFill>
                  <w14:solidFill>
                    <w14:schemeClr w14:val="tx1"/>
                  </w14:solidFill>
                </w14:textFill>
              </w:rPr>
              <w:t>及</w:t>
            </w:r>
            <w:r>
              <w:rPr>
                <w:rFonts w:ascii="Arial" w:hAnsi="Arial" w:cs="Arial"/>
                <w:color w:val="000000" w:themeColor="text1"/>
                <w:sz w:val="20"/>
                <w:szCs w:val="20"/>
                <w:lang w:val="en-GB"/>
                <w14:textFill>
                  <w14:solidFill>
                    <w14:schemeClr w14:val="tx1"/>
                  </w14:solidFill>
                </w14:textFill>
              </w:rPr>
              <w:t>气候适应型</w:t>
            </w:r>
            <w:r>
              <w:rPr>
                <w:rFonts w:ascii="Arial" w:hAnsi="Arial" w:cs="Arial"/>
                <w:color w:val="000000" w:themeColor="text1"/>
                <w:sz w:val="20"/>
                <w:szCs w:val="20"/>
                <w14:textFill>
                  <w14:solidFill>
                    <w14:schemeClr w14:val="tx1"/>
                  </w14:solidFill>
                </w14:textFill>
              </w:rPr>
              <w:t>农村基础设施与公共服务相关的规定、标准、指南等</w:t>
            </w:r>
          </w:p>
          <w:p w14:paraId="44E551AE">
            <w:pPr>
              <w:pStyle w:val="48"/>
              <w:numPr>
                <w:ilvl w:val="0"/>
                <w:numId w:val="12"/>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建立项目预算</w:t>
            </w:r>
            <w:r>
              <w:rPr>
                <w:rFonts w:ascii="Arial" w:hAnsi="Arial" w:cs="Arial"/>
                <w:color w:val="000000" w:themeColor="text1"/>
                <w:sz w:val="20"/>
                <w:szCs w:val="20"/>
                <w14:textFill>
                  <w14:solidFill>
                    <w14:schemeClr w14:val="tx1"/>
                  </w14:solidFill>
                </w14:textFill>
              </w:rPr>
              <w:t>、支出和报告绿色标签机制</w:t>
            </w:r>
          </w:p>
          <w:p w14:paraId="2C7B5841">
            <w:pPr>
              <w:pStyle w:val="48"/>
              <w:numPr>
                <w:ilvl w:val="0"/>
                <w:numId w:val="12"/>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使用农村基础设施与公共服务信息平台，用于制图、监测</w:t>
            </w:r>
            <w:r>
              <w:rPr>
                <w:rFonts w:ascii="Arial" w:hAnsi="Arial" w:cs="Arial"/>
                <w:color w:val="000000" w:themeColor="text1"/>
                <w:sz w:val="20"/>
                <w:szCs w:val="20"/>
                <w14:textFill>
                  <w14:solidFill>
                    <w14:schemeClr w14:val="tx1"/>
                  </w14:solidFill>
                </w14:textFill>
              </w:rPr>
              <w:t>与评价</w:t>
            </w:r>
          </w:p>
          <w:p w14:paraId="734FDD74">
            <w:pPr>
              <w:pStyle w:val="48"/>
              <w:numPr>
                <w:ilvl w:val="0"/>
                <w:numId w:val="12"/>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制定绿色发展技能与人才培养框架</w:t>
            </w:r>
          </w:p>
        </w:tc>
        <w:tc>
          <w:tcPr>
            <w:tcW w:w="1547" w:type="pct"/>
            <w:shd w:val="clear" w:color="auto" w:fill="auto"/>
          </w:tcPr>
          <w:p w14:paraId="59EF9949">
            <w:pPr>
              <w:pStyle w:val="48"/>
              <w:numPr>
                <w:ilvl w:val="0"/>
                <w:numId w:val="13"/>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批准实施的</w:t>
            </w:r>
            <w:r>
              <w:rPr>
                <w:rFonts w:ascii="Arial" w:hAnsi="Arial" w:cs="Arial"/>
                <w:color w:val="000000" w:themeColor="text1"/>
                <w:sz w:val="20"/>
                <w:szCs w:val="20"/>
                <w:lang w:val="en-GB"/>
                <w14:textFill>
                  <w14:solidFill>
                    <w14:schemeClr w14:val="tx1"/>
                  </w14:solidFill>
                </w14:textFill>
              </w:rPr>
              <w:t>绿色农业</w:t>
            </w:r>
            <w:r>
              <w:rPr>
                <w:rFonts w:ascii="Arial" w:hAnsi="Arial" w:cs="Arial"/>
                <w:color w:val="000000" w:themeColor="text1"/>
                <w:sz w:val="20"/>
                <w:szCs w:val="20"/>
                <w14:textFill>
                  <w14:solidFill>
                    <w14:schemeClr w14:val="tx1"/>
                  </w14:solidFill>
                </w14:textFill>
              </w:rPr>
              <w:t>和农村基础设施的法规、标准和指南</w:t>
            </w:r>
          </w:p>
          <w:p w14:paraId="57D85FF5">
            <w:pPr>
              <w:pStyle w:val="48"/>
              <w:numPr>
                <w:ilvl w:val="0"/>
                <w:numId w:val="13"/>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完成的项目预算、支出和报告绿色标签机制</w:t>
            </w:r>
          </w:p>
          <w:p w14:paraId="22E61D10">
            <w:pPr>
              <w:pStyle w:val="48"/>
              <w:numPr>
                <w:ilvl w:val="0"/>
                <w:numId w:val="13"/>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被项目县采纳和使用的用于</w:t>
            </w:r>
            <w:r>
              <w:rPr>
                <w:rFonts w:ascii="Arial" w:hAnsi="Arial" w:cs="Arial"/>
                <w:color w:val="000000" w:themeColor="text1"/>
                <w:sz w:val="20"/>
                <w:szCs w:val="20"/>
                <w:lang w:val="en-GB"/>
                <w14:textFill>
                  <w14:solidFill>
                    <w14:schemeClr w14:val="tx1"/>
                  </w14:solidFill>
                </w14:textFill>
              </w:rPr>
              <w:t>制图、监测</w:t>
            </w:r>
            <w:r>
              <w:rPr>
                <w:rFonts w:ascii="Arial" w:hAnsi="Arial" w:cs="Arial"/>
                <w:color w:val="000000" w:themeColor="text1"/>
                <w:sz w:val="20"/>
                <w:szCs w:val="20"/>
                <w14:textFill>
                  <w14:solidFill>
                    <w14:schemeClr w14:val="tx1"/>
                  </w14:solidFill>
                </w14:textFill>
              </w:rPr>
              <w:t>与评价的</w:t>
            </w:r>
            <w:r>
              <w:rPr>
                <w:rFonts w:ascii="Arial" w:hAnsi="Arial" w:cs="Arial"/>
                <w:color w:val="000000" w:themeColor="text1"/>
                <w:sz w:val="20"/>
                <w:szCs w:val="20"/>
                <w:lang w:val="en-GB"/>
                <w14:textFill>
                  <w14:solidFill>
                    <w14:schemeClr w14:val="tx1"/>
                  </w14:solidFill>
                </w14:textFill>
              </w:rPr>
              <w:t>农村基础设施与公共服务信息平台</w:t>
            </w:r>
          </w:p>
          <w:p w14:paraId="70F5A73B">
            <w:pPr>
              <w:pStyle w:val="48"/>
              <w:numPr>
                <w:ilvl w:val="0"/>
                <w:numId w:val="13"/>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项目县采用的</w:t>
            </w:r>
            <w:r>
              <w:rPr>
                <w:rFonts w:ascii="Arial" w:hAnsi="Arial" w:cs="Arial"/>
                <w:color w:val="000000" w:themeColor="text1"/>
                <w:sz w:val="20"/>
                <w:szCs w:val="20"/>
                <w:lang w:val="en-GB"/>
                <w14:textFill>
                  <w14:solidFill>
                    <w14:schemeClr w14:val="tx1"/>
                  </w14:solidFill>
                </w14:textFill>
              </w:rPr>
              <w:t>绿色农业</w:t>
            </w:r>
            <w:r>
              <w:rPr>
                <w:rFonts w:ascii="Arial" w:hAnsi="Arial" w:cs="Arial"/>
                <w:color w:val="000000" w:themeColor="text1"/>
                <w:sz w:val="20"/>
                <w:szCs w:val="20"/>
                <w14:textFill>
                  <w14:solidFill>
                    <w14:schemeClr w14:val="tx1"/>
                  </w14:solidFill>
                </w14:textFill>
              </w:rPr>
              <w:t>培训和能力建设框架</w:t>
            </w:r>
          </w:p>
        </w:tc>
        <w:tc>
          <w:tcPr>
            <w:tcW w:w="1614" w:type="pct"/>
            <w:shd w:val="clear" w:color="auto" w:fill="auto"/>
          </w:tcPr>
          <w:p w14:paraId="54DEE7C2">
            <w:pPr>
              <w:adjustRightInd w:val="0"/>
              <w:snapToGrid w:val="0"/>
              <w:rPr>
                <w:rFonts w:ascii="Arial" w:hAnsi="Arial" w:cs="Arial"/>
                <w:b/>
                <w:color w:val="000000" w:themeColor="text1"/>
                <w:sz w:val="20"/>
                <w:szCs w:val="20"/>
                <w:highlight w:val="cyan"/>
                <w14:textFill>
                  <w14:solidFill>
                    <w14:schemeClr w14:val="tx1"/>
                  </w14:solidFill>
                </w14:textFill>
              </w:rPr>
            </w:pPr>
            <w:r>
              <w:rPr>
                <w:rFonts w:ascii="Arial" w:hAnsi="Arial" w:cs="Arial"/>
                <w:b/>
                <w:color w:val="000000" w:themeColor="text1"/>
                <w:sz w:val="20"/>
                <w:szCs w:val="20"/>
                <w14:textFill>
                  <w14:solidFill>
                    <w14:schemeClr w14:val="tx1"/>
                  </w14:solidFill>
                </w14:textFill>
              </w:rPr>
              <w:t>DLI1</w:t>
            </w:r>
            <w:r>
              <w:rPr>
                <w:rFonts w:ascii="Arial" w:hAnsi="Arial" w:cs="Arial"/>
                <w:b/>
                <w:color w:val="000000" w:themeColor="text1"/>
                <w:sz w:val="20"/>
                <w:szCs w:val="20"/>
                <w:lang w:val="en-GB"/>
                <w14:textFill>
                  <w14:solidFill>
                    <w14:schemeClr w14:val="tx1"/>
                  </w14:solidFill>
                </w14:textFill>
              </w:rPr>
              <w:t>.</w:t>
            </w:r>
            <w:r>
              <w:rPr>
                <w:rFonts w:ascii="Arial" w:hAnsi="Arial" w:cs="Arial"/>
                <w:b/>
                <w:color w:val="000000" w:themeColor="text1"/>
                <w:sz w:val="20"/>
                <w:szCs w:val="20"/>
                <w14:textFill>
                  <w14:solidFill>
                    <w14:schemeClr w14:val="tx1"/>
                  </w14:solidFill>
                </w14:textFill>
              </w:rPr>
              <w:t>2：</w:t>
            </w:r>
            <w:r>
              <w:rPr>
                <w:rFonts w:ascii="Arial" w:hAnsi="Arial" w:cs="Arial"/>
                <w:bCs/>
                <w:color w:val="000000" w:themeColor="text1"/>
                <w:sz w:val="20"/>
                <w:szCs w:val="20"/>
                <w14:textFill>
                  <w14:solidFill>
                    <w14:schemeClr w14:val="tx1"/>
                  </w14:solidFill>
                </w14:textFill>
              </w:rPr>
              <w:t>落实地方</w:t>
            </w:r>
            <w:r>
              <w:rPr>
                <w:rFonts w:ascii="Arial" w:hAnsi="Arial" w:cs="Arial"/>
                <w:color w:val="000000" w:themeColor="text1"/>
                <w:sz w:val="20"/>
                <w:szCs w:val="20"/>
                <w14:textFill>
                  <w14:solidFill>
                    <w14:schemeClr w14:val="tx1"/>
                  </w14:solidFill>
                </w14:textFill>
              </w:rPr>
              <w:t>绿色农业发展规定、标准和导则，以及</w:t>
            </w:r>
            <w:r>
              <w:rPr>
                <w:rFonts w:ascii="Arial" w:hAnsi="Arial" w:cs="Arial"/>
                <w:color w:val="000000" w:themeColor="text1"/>
                <w:kern w:val="24"/>
                <w:sz w:val="20"/>
                <w:szCs w:val="20"/>
                <w14:textFill>
                  <w14:solidFill>
                    <w14:schemeClr w14:val="tx1"/>
                  </w14:solidFill>
                </w14:textFill>
              </w:rPr>
              <w:t>项目县</w:t>
            </w:r>
            <w:r>
              <w:rPr>
                <w:rFonts w:ascii="Arial" w:hAnsi="Arial" w:cs="Arial"/>
                <w:color w:val="000000" w:themeColor="text1"/>
                <w:sz w:val="20"/>
                <w:szCs w:val="20"/>
                <w14:textFill>
                  <w14:solidFill>
                    <w14:schemeClr w14:val="tx1"/>
                  </w14:solidFill>
                </w14:textFill>
              </w:rPr>
              <w:t>按这些要求</w:t>
            </w:r>
            <w:r>
              <w:rPr>
                <w:rFonts w:ascii="Arial" w:hAnsi="Arial" w:cs="Arial"/>
                <w:color w:val="000000" w:themeColor="text1"/>
                <w:kern w:val="24"/>
                <w:sz w:val="20"/>
                <w:szCs w:val="20"/>
                <w14:textFill>
                  <w14:solidFill>
                    <w14:schemeClr w14:val="tx1"/>
                  </w14:solidFill>
                </w14:textFill>
              </w:rPr>
              <w:t>获得绿色、有机和地理标志的产品数量</w:t>
            </w:r>
          </w:p>
        </w:tc>
      </w:tr>
      <w:tr w14:paraId="169A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5000" w:type="pct"/>
            <w:gridSpan w:val="3"/>
            <w:shd w:val="clear" w:color="auto" w:fill="auto"/>
            <w:tcMar>
              <w:top w:w="57" w:type="dxa"/>
              <w:left w:w="57" w:type="dxa"/>
              <w:bottom w:w="28" w:type="dxa"/>
              <w:right w:w="57" w:type="dxa"/>
            </w:tcMar>
          </w:tcPr>
          <w:p w14:paraId="40E11977">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RA2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 xml:space="preserve"> 农业产业链绿色发展</w:t>
            </w:r>
          </w:p>
        </w:tc>
      </w:tr>
      <w:tr w14:paraId="6D74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39" w:type="pct"/>
            <w:shd w:val="clear" w:color="auto" w:fill="auto"/>
            <w:tcMar>
              <w:top w:w="57" w:type="dxa"/>
              <w:left w:w="57" w:type="dxa"/>
              <w:bottom w:w="28" w:type="dxa"/>
              <w:right w:w="57" w:type="dxa"/>
            </w:tcMar>
          </w:tcPr>
          <w:p w14:paraId="4B778BAA">
            <w:pPr>
              <w:pStyle w:val="48"/>
              <w:numPr>
                <w:ilvl w:val="0"/>
                <w:numId w:val="14"/>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化肥减量</w:t>
            </w:r>
            <w:r>
              <w:rPr>
                <w:rFonts w:ascii="Arial" w:hAnsi="Arial" w:cs="Arial"/>
                <w:color w:val="000000" w:themeColor="text1"/>
                <w:sz w:val="20"/>
                <w:szCs w:val="20"/>
                <w14:textFill>
                  <w14:solidFill>
                    <w14:schemeClr w14:val="tx1"/>
                  </w14:solidFill>
                </w14:textFill>
              </w:rPr>
              <w:t>、有毒农药减量、畜禽粪污的收集、处理与资源化利用</w:t>
            </w:r>
          </w:p>
          <w:p w14:paraId="4435E867">
            <w:pPr>
              <w:pStyle w:val="48"/>
              <w:numPr>
                <w:ilvl w:val="0"/>
                <w:numId w:val="14"/>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采用气候智慧型农业实践（如提高灌溉效率、改善水稻用水机制）</w:t>
            </w:r>
          </w:p>
          <w:p w14:paraId="6321839E">
            <w:pPr>
              <w:pStyle w:val="48"/>
              <w:numPr>
                <w:ilvl w:val="0"/>
                <w:numId w:val="14"/>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针对农民合作社</w:t>
            </w:r>
            <w:r>
              <w:rPr>
                <w:rFonts w:ascii="Arial" w:hAnsi="Arial" w:cs="Arial"/>
                <w:color w:val="000000" w:themeColor="text1"/>
                <w:sz w:val="20"/>
                <w:szCs w:val="20"/>
                <w14:textFill>
                  <w14:solidFill>
                    <w14:schemeClr w14:val="tx1"/>
                  </w14:solidFill>
                </w14:textFill>
              </w:rPr>
              <w:t>、农民用水协会、农资经销商、农业职业经理人等开展培训</w:t>
            </w:r>
          </w:p>
          <w:p w14:paraId="17C33A30">
            <w:pPr>
              <w:pStyle w:val="48"/>
              <w:numPr>
                <w:ilvl w:val="0"/>
                <w:numId w:val="14"/>
              </w:numPr>
              <w:adjustRightInd w:val="0"/>
              <w:snapToGrid w:val="0"/>
              <w:ind w:left="224" w:hanging="22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农业领域实施温室气体减排监测、报告和核验机制</w:t>
            </w:r>
          </w:p>
        </w:tc>
        <w:tc>
          <w:tcPr>
            <w:tcW w:w="1547" w:type="pct"/>
            <w:shd w:val="clear" w:color="auto" w:fill="auto"/>
          </w:tcPr>
          <w:p w14:paraId="379C0B98">
            <w:pPr>
              <w:pStyle w:val="48"/>
              <w:numPr>
                <w:ilvl w:val="0"/>
                <w:numId w:val="15"/>
              </w:numPr>
              <w:adjustRightInd w:val="0"/>
              <w:snapToGrid w:val="0"/>
              <w:ind w:left="284" w:hanging="28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减少的化肥施用量以及增加的畜禽粪污处理量</w:t>
            </w:r>
          </w:p>
          <w:p w14:paraId="78759CFC">
            <w:pPr>
              <w:pStyle w:val="48"/>
              <w:numPr>
                <w:ilvl w:val="0"/>
                <w:numId w:val="15"/>
              </w:numPr>
              <w:adjustRightInd w:val="0"/>
              <w:snapToGrid w:val="0"/>
              <w:ind w:left="284" w:hanging="28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14:textFill>
                  <w14:solidFill>
                    <w14:schemeClr w14:val="tx1"/>
                  </w14:solidFill>
                </w14:textFill>
              </w:rPr>
              <w:t>选定的农业产业链提高的生产量和气候适应性</w:t>
            </w:r>
          </w:p>
          <w:p w14:paraId="5314566C">
            <w:pPr>
              <w:pStyle w:val="48"/>
              <w:numPr>
                <w:ilvl w:val="0"/>
                <w:numId w:val="15"/>
              </w:numPr>
              <w:adjustRightInd w:val="0"/>
              <w:snapToGrid w:val="0"/>
              <w:ind w:left="284" w:hanging="28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完成认证的绿色、</w:t>
            </w:r>
            <w:r>
              <w:rPr>
                <w:rFonts w:ascii="Arial" w:hAnsi="Arial" w:cs="Arial"/>
                <w:color w:val="000000" w:themeColor="text1"/>
                <w:sz w:val="20"/>
                <w:szCs w:val="20"/>
                <w14:textFill>
                  <w14:solidFill>
                    <w14:schemeClr w14:val="tx1"/>
                  </w14:solidFill>
                </w14:textFill>
              </w:rPr>
              <w:t>有机和地理标志</w:t>
            </w:r>
            <w:r>
              <w:rPr>
                <w:rFonts w:ascii="Arial" w:hAnsi="Arial" w:cs="Arial"/>
                <w:color w:val="000000" w:themeColor="text1"/>
                <w:sz w:val="20"/>
                <w:szCs w:val="20"/>
                <w:lang w:val="en-GB"/>
                <w14:textFill>
                  <w14:solidFill>
                    <w14:schemeClr w14:val="tx1"/>
                  </w14:solidFill>
                </w14:textFill>
              </w:rPr>
              <w:t>农产品</w:t>
            </w:r>
          </w:p>
          <w:p w14:paraId="2EAC1B74">
            <w:pPr>
              <w:pStyle w:val="48"/>
              <w:numPr>
                <w:ilvl w:val="0"/>
                <w:numId w:val="15"/>
              </w:numPr>
              <w:adjustRightInd w:val="0"/>
              <w:snapToGrid w:val="0"/>
              <w:ind w:left="284" w:hanging="28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14:textFill>
                  <w14:solidFill>
                    <w14:schemeClr w14:val="tx1"/>
                  </w14:solidFill>
                </w14:textFill>
              </w:rPr>
              <w:t>接受绿色技术、实践和农业商业技能等培训的农村受益人数量</w:t>
            </w:r>
          </w:p>
        </w:tc>
        <w:tc>
          <w:tcPr>
            <w:tcW w:w="1614" w:type="pct"/>
            <w:shd w:val="clear" w:color="auto" w:fill="auto"/>
          </w:tcPr>
          <w:p w14:paraId="14ACFCDD">
            <w:pPr>
              <w:adjustRightInd w:val="0"/>
              <w:snapToGrid w:val="0"/>
              <w:rPr>
                <w:rFonts w:ascii="Arial" w:hAnsi="Arial" w:cs="Arial"/>
                <w:color w:val="000000" w:themeColor="text1"/>
                <w:kern w:val="24"/>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DLI</w:t>
            </w:r>
            <w:r>
              <w:rPr>
                <w:rFonts w:ascii="Arial" w:hAnsi="Arial" w:cs="Arial"/>
                <w:b/>
                <w:color w:val="000000" w:themeColor="text1"/>
                <w:sz w:val="20"/>
                <w:szCs w:val="20"/>
                <w:lang w:val="en-GB"/>
                <w14:textFill>
                  <w14:solidFill>
                    <w14:schemeClr w14:val="tx1"/>
                  </w14:solidFill>
                </w14:textFill>
              </w:rPr>
              <w:t>2.1</w:t>
            </w:r>
            <w:r>
              <w:rPr>
                <w:rFonts w:ascii="Arial" w:hAnsi="Arial" w:cs="Arial"/>
                <w:b/>
                <w:color w:val="000000" w:themeColor="text1"/>
                <w:sz w:val="20"/>
                <w:szCs w:val="20"/>
                <w14:textFill>
                  <w14:solidFill>
                    <w14:schemeClr w14:val="tx1"/>
                  </w14:solidFill>
                </w14:textFill>
              </w:rPr>
              <w:t>：</w:t>
            </w:r>
            <w:r>
              <w:rPr>
                <w:rFonts w:ascii="Arial" w:hAnsi="Arial" w:cs="Arial"/>
                <w:bCs/>
                <w:color w:val="000000" w:themeColor="text1"/>
                <w:sz w:val="20"/>
                <w:szCs w:val="20"/>
                <w14:textFill>
                  <w14:solidFill>
                    <w14:schemeClr w14:val="tx1"/>
                  </w14:solidFill>
                </w14:textFill>
              </w:rPr>
              <w:t>项目县通过绿色技术和生产实践而实现</w:t>
            </w:r>
            <w:r>
              <w:rPr>
                <w:rFonts w:ascii="Arial" w:hAnsi="Arial" w:cs="Arial"/>
                <w:color w:val="000000" w:themeColor="text1"/>
                <w:sz w:val="20"/>
                <w:szCs w:val="20"/>
                <w:lang w:val="en-GB"/>
                <w14:textFill>
                  <w14:solidFill>
                    <w14:schemeClr w14:val="tx1"/>
                  </w14:solidFill>
                </w14:textFill>
              </w:rPr>
              <w:t>选定种植品种</w:t>
            </w:r>
            <w:r>
              <w:rPr>
                <w:rFonts w:ascii="Arial" w:hAnsi="Arial" w:cs="Arial"/>
                <w:color w:val="000000" w:themeColor="text1"/>
                <w:sz w:val="20"/>
                <w:szCs w:val="20"/>
                <w14:textFill>
                  <w14:solidFill>
                    <w14:schemeClr w14:val="tx1"/>
                  </w14:solidFill>
                </w14:textFill>
              </w:rPr>
              <w:t>的化肥减施吨数</w:t>
            </w:r>
            <w:r>
              <w:rPr>
                <w:rFonts w:ascii="Arial" w:hAnsi="Arial" w:cs="Arial"/>
                <w:color w:val="000000" w:themeColor="text1"/>
                <w:kern w:val="24"/>
                <w:sz w:val="20"/>
                <w:szCs w:val="20"/>
                <w14:textFill>
                  <w14:solidFill>
                    <w14:schemeClr w14:val="tx1"/>
                  </w14:solidFill>
                </w14:textFill>
              </w:rPr>
              <w:t>（省级层面）</w:t>
            </w:r>
          </w:p>
          <w:p w14:paraId="47E9BFEE">
            <w:pPr>
              <w:adjustRightInd w:val="0"/>
              <w:snapToGrid w:val="0"/>
              <w:spacing w:before="120" w:beforeLines="50"/>
              <w:rPr>
                <w:rFonts w:ascii="Arial" w:hAnsi="Arial" w:cs="Arial"/>
                <w:b/>
                <w:color w:val="000000" w:themeColor="text1"/>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DLI</w:t>
            </w:r>
            <w:r>
              <w:rPr>
                <w:rFonts w:ascii="Arial" w:hAnsi="Arial" w:cs="Arial"/>
                <w:b/>
                <w:color w:val="000000" w:themeColor="text1"/>
                <w:sz w:val="20"/>
                <w:szCs w:val="20"/>
                <w:lang w:val="en-GB"/>
                <w14:textFill>
                  <w14:solidFill>
                    <w14:schemeClr w14:val="tx1"/>
                  </w14:solidFill>
                </w14:textFill>
              </w:rPr>
              <w:t>2.2</w:t>
            </w:r>
            <w:r>
              <w:rPr>
                <w:rFonts w:ascii="Arial" w:hAnsi="Arial" w:cs="Arial"/>
                <w:b/>
                <w:color w:val="000000" w:themeColor="text1"/>
                <w:sz w:val="20"/>
                <w:szCs w:val="20"/>
                <w14:textFill>
                  <w14:solidFill>
                    <w14:schemeClr w14:val="tx1"/>
                  </w14:solidFill>
                </w14:textFill>
              </w:rPr>
              <w:t>：</w:t>
            </w:r>
            <w:r>
              <w:rPr>
                <w:rFonts w:ascii="Arial" w:hAnsi="Arial" w:cs="Arial"/>
                <w:bCs/>
                <w:color w:val="000000" w:themeColor="text1"/>
                <w:sz w:val="20"/>
                <w:szCs w:val="20"/>
                <w14:textFill>
                  <w14:solidFill>
                    <w14:schemeClr w14:val="tx1"/>
                  </w14:solidFill>
                </w14:textFill>
              </w:rPr>
              <w:t>项目县畜禽养殖场经处理后利用的</w:t>
            </w:r>
            <w:r>
              <w:rPr>
                <w:rFonts w:ascii="Arial" w:hAnsi="Arial" w:cs="Arial"/>
                <w:color w:val="000000" w:themeColor="text1"/>
                <w:sz w:val="20"/>
                <w:szCs w:val="20"/>
                <w14:textFill>
                  <w14:solidFill>
                    <w14:schemeClr w14:val="tx1"/>
                  </w14:solidFill>
                </w14:textFill>
              </w:rPr>
              <w:t>粪污百分比</w:t>
            </w:r>
            <w:r>
              <w:rPr>
                <w:rFonts w:ascii="Arial" w:hAnsi="Arial" w:cs="Arial"/>
                <w:color w:val="000000" w:themeColor="text1"/>
                <w:kern w:val="24"/>
                <w:sz w:val="20"/>
                <w:szCs w:val="20"/>
                <w14:textFill>
                  <w14:solidFill>
                    <w14:schemeClr w14:val="tx1"/>
                  </w14:solidFill>
                </w14:textFill>
              </w:rPr>
              <w:t>（省级层面）</w:t>
            </w:r>
          </w:p>
        </w:tc>
      </w:tr>
      <w:tr w14:paraId="797C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5000" w:type="pct"/>
            <w:gridSpan w:val="3"/>
            <w:shd w:val="clear" w:color="auto" w:fill="auto"/>
            <w:tcMar>
              <w:top w:w="57" w:type="dxa"/>
              <w:left w:w="57" w:type="dxa"/>
              <w:bottom w:w="28" w:type="dxa"/>
              <w:right w:w="57" w:type="dxa"/>
            </w:tcMar>
          </w:tcPr>
          <w:p w14:paraId="395E80B2">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RA3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 xml:space="preserve"> 改善农村生活垃圾和生活污水服务</w:t>
            </w:r>
          </w:p>
        </w:tc>
      </w:tr>
      <w:tr w14:paraId="5AA6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39" w:type="pct"/>
            <w:shd w:val="clear" w:color="auto" w:fill="auto"/>
            <w:tcMar>
              <w:top w:w="57" w:type="dxa"/>
              <w:left w:w="57" w:type="dxa"/>
              <w:bottom w:w="28" w:type="dxa"/>
              <w:right w:w="57" w:type="dxa"/>
            </w:tcMar>
          </w:tcPr>
          <w:p w14:paraId="2657516F">
            <w:pPr>
              <w:pStyle w:val="48"/>
              <w:numPr>
                <w:ilvl w:val="0"/>
                <w:numId w:val="16"/>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制定多规合一村庄规划</w:t>
            </w:r>
          </w:p>
          <w:p w14:paraId="7EDBD2AE">
            <w:pPr>
              <w:pStyle w:val="48"/>
              <w:numPr>
                <w:ilvl w:val="0"/>
                <w:numId w:val="16"/>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建设气候适应型农村生活污水管理系统（如建设农村分散式处理设施、污水纳入乡镇污水处理系统）</w:t>
            </w:r>
          </w:p>
          <w:p w14:paraId="522E68BA">
            <w:pPr>
              <w:pStyle w:val="48"/>
              <w:numPr>
                <w:ilvl w:val="0"/>
                <w:numId w:val="16"/>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建设气候适应型农村生活垃圾管理系统（如村收集、镇转运和回用等）</w:t>
            </w:r>
          </w:p>
          <w:p w14:paraId="597489CD">
            <w:pPr>
              <w:pStyle w:val="48"/>
              <w:numPr>
                <w:ilvl w:val="0"/>
                <w:numId w:val="16"/>
              </w:numPr>
              <w:adjustRightInd w:val="0"/>
              <w:snapToGrid w:val="0"/>
              <w:ind w:left="224" w:hanging="224" w:firstLineChars="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开展生活污水与生活垃圾管理系统运行维护培训</w:t>
            </w:r>
          </w:p>
          <w:p w14:paraId="66D75C54">
            <w:pPr>
              <w:adjustRightInd w:val="0"/>
              <w:snapToGrid w:val="0"/>
              <w:rPr>
                <w:rFonts w:ascii="Arial" w:hAnsi="Arial" w:cs="Arial"/>
                <w:color w:val="000000" w:themeColor="text1"/>
                <w:sz w:val="20"/>
                <w:szCs w:val="20"/>
                <w14:textFill>
                  <w14:solidFill>
                    <w14:schemeClr w14:val="tx1"/>
                  </w14:solidFill>
                </w14:textFill>
              </w:rPr>
            </w:pPr>
          </w:p>
        </w:tc>
        <w:tc>
          <w:tcPr>
            <w:tcW w:w="1547" w:type="pct"/>
            <w:shd w:val="clear" w:color="auto" w:fill="auto"/>
          </w:tcPr>
          <w:p w14:paraId="6EFE0111">
            <w:pPr>
              <w:pStyle w:val="48"/>
              <w:numPr>
                <w:ilvl w:val="0"/>
                <w:numId w:val="17"/>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项目县/市批准并经省级政府登记的多规合一村庄规划</w:t>
            </w:r>
          </w:p>
          <w:p w14:paraId="217BE15D">
            <w:pPr>
              <w:pStyle w:val="48"/>
              <w:numPr>
                <w:ilvl w:val="0"/>
                <w:numId w:val="17"/>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建成的农村生活污水处理及回用设施，以及处理或回用的生活污水量</w:t>
            </w:r>
          </w:p>
          <w:p w14:paraId="28816DC0">
            <w:pPr>
              <w:pStyle w:val="48"/>
              <w:numPr>
                <w:ilvl w:val="0"/>
                <w:numId w:val="17"/>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建成的农村生活垃圾收集、分选、转运设施，以及处理和回用的生活垃圾量</w:t>
            </w:r>
          </w:p>
          <w:p w14:paraId="085C24BD">
            <w:pPr>
              <w:pStyle w:val="48"/>
              <w:numPr>
                <w:ilvl w:val="0"/>
                <w:numId w:val="17"/>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接受了生活污水和生活垃圾管理系统运维培训的农村人员数量</w:t>
            </w:r>
          </w:p>
        </w:tc>
        <w:tc>
          <w:tcPr>
            <w:tcW w:w="1614" w:type="pct"/>
            <w:shd w:val="clear" w:color="auto" w:fill="auto"/>
          </w:tcPr>
          <w:p w14:paraId="75879FA8">
            <w:pPr>
              <w:adjustRightInd w:val="0"/>
              <w:snapToGrid w:val="0"/>
              <w:rPr>
                <w:rFonts w:ascii="Arial" w:hAnsi="Arial" w:cs="Arial"/>
                <w:color w:val="000000" w:themeColor="text1"/>
                <w:kern w:val="24"/>
                <w:sz w:val="20"/>
                <w:szCs w:val="20"/>
                <w14:textFill>
                  <w14:solidFill>
                    <w14:schemeClr w14:val="tx1"/>
                  </w14:solidFill>
                </w14:textFill>
              </w:rPr>
            </w:pPr>
            <w:r>
              <w:rPr>
                <w:rFonts w:ascii="Arial" w:hAnsi="Arial" w:cs="Arial"/>
                <w:b/>
                <w:color w:val="000000" w:themeColor="text1"/>
                <w:sz w:val="20"/>
                <w:szCs w:val="20"/>
                <w14:textFill>
                  <w14:solidFill>
                    <w14:schemeClr w14:val="tx1"/>
                  </w14:solidFill>
                </w14:textFill>
              </w:rPr>
              <w:t>DLI3</w:t>
            </w:r>
            <w:r>
              <w:rPr>
                <w:rFonts w:ascii="Arial" w:hAnsi="Arial" w:cs="Arial"/>
                <w:b/>
                <w:color w:val="000000" w:themeColor="text1"/>
                <w:sz w:val="20"/>
                <w:szCs w:val="20"/>
                <w:lang w:val="en-GB"/>
                <w14:textFill>
                  <w14:solidFill>
                    <w14:schemeClr w14:val="tx1"/>
                  </w14:solidFill>
                </w14:textFill>
              </w:rPr>
              <w:t>.1</w:t>
            </w:r>
            <w:r>
              <w:rPr>
                <w:rFonts w:ascii="Arial" w:hAnsi="Arial" w:cs="Arial"/>
                <w:bCs/>
                <w:color w:val="000000" w:themeColor="text1"/>
                <w:sz w:val="20"/>
                <w:szCs w:val="20"/>
                <w14:textFill>
                  <w14:solidFill>
                    <w14:schemeClr w14:val="tx1"/>
                  </w14:solidFill>
                </w14:textFill>
              </w:rPr>
              <w:t>：项目县已制定完成</w:t>
            </w:r>
            <w:r>
              <w:rPr>
                <w:rFonts w:ascii="Arial" w:hAnsi="Arial" w:cs="Arial"/>
                <w:color w:val="000000" w:themeColor="text1"/>
                <w:sz w:val="20"/>
                <w:szCs w:val="20"/>
                <w14:textFill>
                  <w14:solidFill>
                    <w14:schemeClr w14:val="tx1"/>
                  </w14:solidFill>
                </w14:textFill>
              </w:rPr>
              <w:t>的</w:t>
            </w:r>
            <w:r>
              <w:rPr>
                <w:rFonts w:ascii="Arial" w:hAnsi="Arial" w:cs="Arial"/>
                <w:bCs/>
                <w:color w:val="000000" w:themeColor="text1"/>
                <w:sz w:val="20"/>
                <w:szCs w:val="20"/>
                <w14:textFill>
                  <w14:solidFill>
                    <w14:schemeClr w14:val="tx1"/>
                  </w14:solidFill>
                </w14:textFill>
              </w:rPr>
              <w:t>多规合一</w:t>
            </w:r>
            <w:r>
              <w:rPr>
                <w:rFonts w:ascii="Arial" w:hAnsi="Arial" w:cs="Arial"/>
                <w:color w:val="000000" w:themeColor="text1"/>
                <w:sz w:val="20"/>
                <w:szCs w:val="20"/>
                <w14:textFill>
                  <w14:solidFill>
                    <w14:schemeClr w14:val="tx1"/>
                  </w14:solidFill>
                </w14:textFill>
              </w:rPr>
              <w:t>村庄规划的数量</w:t>
            </w:r>
            <w:r>
              <w:rPr>
                <w:rFonts w:ascii="Arial" w:hAnsi="Arial" w:cs="Arial"/>
                <w:color w:val="000000" w:themeColor="text1"/>
                <w:kern w:val="24"/>
                <w:sz w:val="20"/>
                <w:szCs w:val="20"/>
                <w14:textFill>
                  <w14:solidFill>
                    <w14:schemeClr w14:val="tx1"/>
                  </w14:solidFill>
                </w14:textFill>
              </w:rPr>
              <w:t>（省级层面）</w:t>
            </w:r>
          </w:p>
          <w:p w14:paraId="00C9D969">
            <w:pPr>
              <w:adjustRightInd w:val="0"/>
              <w:snapToGrid w:val="0"/>
              <w:spacing w:before="120" w:beforeLines="50"/>
              <w:rPr>
                <w:rFonts w:ascii="Arial" w:hAnsi="Arial" w:cs="Arial"/>
                <w:b/>
                <w:color w:val="000000" w:themeColor="text1"/>
                <w:sz w:val="20"/>
                <w:szCs w:val="20"/>
                <w:highlight w:val="cyan"/>
                <w14:textFill>
                  <w14:solidFill>
                    <w14:schemeClr w14:val="tx1"/>
                  </w14:solidFill>
                </w14:textFill>
              </w:rPr>
            </w:pPr>
            <w:r>
              <w:rPr>
                <w:rFonts w:ascii="Arial" w:hAnsi="Arial" w:cs="Arial"/>
                <w:b/>
                <w:bCs/>
                <w:color w:val="000000" w:themeColor="text1"/>
                <w:kern w:val="24"/>
                <w:sz w:val="20"/>
                <w:szCs w:val="20"/>
                <w14:textFill>
                  <w14:solidFill>
                    <w14:schemeClr w14:val="tx1"/>
                  </w14:solidFill>
                </w14:textFill>
              </w:rPr>
              <w:t>DLI3.2</w:t>
            </w:r>
            <w:r>
              <w:rPr>
                <w:rFonts w:ascii="Arial" w:hAnsi="Arial" w:cs="Arial"/>
                <w:bCs/>
                <w:color w:val="000000" w:themeColor="text1"/>
                <w:sz w:val="20"/>
                <w:szCs w:val="20"/>
                <w14:textFill>
                  <w14:solidFill>
                    <w14:schemeClr w14:val="tx1"/>
                  </w14:solidFill>
                </w14:textFill>
              </w:rPr>
              <w:t>：</w:t>
            </w:r>
            <w:r>
              <w:rPr>
                <w:rFonts w:ascii="Arial" w:hAnsi="Arial" w:cs="Arial"/>
                <w:color w:val="000000" w:themeColor="text1"/>
                <w:kern w:val="24"/>
                <w:sz w:val="20"/>
                <w:szCs w:val="20"/>
                <w14:textFill>
                  <w14:solidFill>
                    <w14:schemeClr w14:val="tx1"/>
                  </w14:solidFill>
                </w14:textFill>
              </w:rPr>
              <w:t>新建或改建气候适应型生活污水处理设施并建立生活垃圾收集、分类和转运系统的示范村数量（省级层面）</w:t>
            </w:r>
          </w:p>
        </w:tc>
      </w:tr>
      <w:tr w14:paraId="3012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5000" w:type="pct"/>
            <w:gridSpan w:val="3"/>
            <w:shd w:val="clear" w:color="auto" w:fill="auto"/>
            <w:tcMar>
              <w:top w:w="57" w:type="dxa"/>
              <w:left w:w="57" w:type="dxa"/>
              <w:bottom w:w="28" w:type="dxa"/>
              <w:right w:w="57" w:type="dxa"/>
            </w:tcMar>
          </w:tcPr>
          <w:p w14:paraId="38445231">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RA4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 xml:space="preserve"> 恢复和保护农业生态系统</w:t>
            </w:r>
          </w:p>
        </w:tc>
      </w:tr>
      <w:tr w14:paraId="00AE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1839" w:type="pct"/>
            <w:shd w:val="clear" w:color="auto" w:fill="auto"/>
            <w:tcMar>
              <w:top w:w="57" w:type="dxa"/>
              <w:left w:w="57" w:type="dxa"/>
              <w:bottom w:w="28" w:type="dxa"/>
              <w:right w:w="57" w:type="dxa"/>
            </w:tcMar>
          </w:tcPr>
          <w:p w14:paraId="3E7F2246">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1. 编制农业生态系统可持续管理计划；</w:t>
            </w:r>
          </w:p>
          <w:p w14:paraId="2E52B371">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2. 秸秆还田以增加土壤有机质；</w:t>
            </w:r>
          </w:p>
          <w:p w14:paraId="35BAD1FD">
            <w:pPr>
              <w:adjustRightInd w:val="0"/>
              <w:snapToGrid w:val="0"/>
              <w:ind w:left="220" w:hanging="220" w:hangingChars="11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3. 重金属污染土地管理，提高土壤健康水平和食品安全水平；</w:t>
            </w:r>
          </w:p>
          <w:p w14:paraId="0FCCAFD5">
            <w:pPr>
              <w:adjustRightInd w:val="0"/>
              <w:snapToGrid w:val="0"/>
              <w:ind w:left="220" w:hanging="220" w:hangingChars="11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4. 水产养殖尾水治理以减少温室气体排放量和入河污染物排放量</w:t>
            </w:r>
          </w:p>
        </w:tc>
        <w:tc>
          <w:tcPr>
            <w:tcW w:w="1547" w:type="pct"/>
            <w:shd w:val="clear" w:color="auto" w:fill="auto"/>
          </w:tcPr>
          <w:p w14:paraId="3A8230BB">
            <w:pPr>
              <w:pStyle w:val="48"/>
              <w:numPr>
                <w:ilvl w:val="0"/>
                <w:numId w:val="18"/>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项目县/市政府批准的</w:t>
            </w:r>
            <w:r>
              <w:rPr>
                <w:rFonts w:ascii="Arial" w:hAnsi="Arial" w:cs="Arial"/>
                <w:color w:val="000000" w:themeColor="text1"/>
                <w:sz w:val="20"/>
                <w:szCs w:val="20"/>
                <w:lang w:val="en-GB"/>
                <w14:textFill>
                  <w14:solidFill>
                    <w14:schemeClr w14:val="tx1"/>
                  </w14:solidFill>
                </w14:textFill>
              </w:rPr>
              <w:t>农业生态系统可持续管理计划</w:t>
            </w:r>
          </w:p>
          <w:p w14:paraId="2F94522C">
            <w:pPr>
              <w:pStyle w:val="48"/>
              <w:numPr>
                <w:ilvl w:val="0"/>
                <w:numId w:val="18"/>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秸秆还田的比例</w:t>
            </w:r>
          </w:p>
          <w:p w14:paraId="68212C76">
            <w:pPr>
              <w:pStyle w:val="48"/>
              <w:numPr>
                <w:ilvl w:val="0"/>
                <w:numId w:val="18"/>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重金属污染土地</w:t>
            </w:r>
            <w:r>
              <w:rPr>
                <w:rFonts w:ascii="Arial" w:hAnsi="Arial" w:cs="Arial"/>
                <w:color w:val="000000" w:themeColor="text1"/>
                <w:sz w:val="20"/>
                <w:szCs w:val="20"/>
                <w14:textFill>
                  <w14:solidFill>
                    <w14:schemeClr w14:val="tx1"/>
                  </w14:solidFill>
                </w14:textFill>
              </w:rPr>
              <w:t>恢复面积</w:t>
            </w:r>
          </w:p>
          <w:p w14:paraId="645D0527">
            <w:pPr>
              <w:pStyle w:val="48"/>
              <w:numPr>
                <w:ilvl w:val="0"/>
                <w:numId w:val="18"/>
              </w:numPr>
              <w:adjustRightInd w:val="0"/>
              <w:snapToGrid w:val="0"/>
              <w:ind w:left="284" w:hanging="284" w:firstLineChars="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水产养殖尾水达标排放比例</w:t>
            </w:r>
          </w:p>
        </w:tc>
        <w:tc>
          <w:tcPr>
            <w:tcW w:w="1614" w:type="pct"/>
            <w:shd w:val="clear" w:color="auto" w:fill="auto"/>
          </w:tcPr>
          <w:p w14:paraId="02AD8820">
            <w:pPr>
              <w:keepNext w:val="0"/>
              <w:keepLines w:val="0"/>
              <w:pageBreakBefore w:val="0"/>
              <w:widowControl/>
              <w:kinsoku/>
              <w:wordWrap/>
              <w:overflowPunct/>
              <w:topLinePunct w:val="0"/>
              <w:autoSpaceDE/>
              <w:autoSpaceDN/>
              <w:bidi w:val="0"/>
              <w:adjustRightInd w:val="0"/>
              <w:snapToGrid w:val="0"/>
              <w:textAlignment w:val="auto"/>
              <w:rPr>
                <w:rFonts w:ascii="Arial" w:hAnsi="Arial" w:cs="Arial"/>
                <w:color w:val="000000" w:themeColor="text1"/>
                <w:kern w:val="24"/>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DLI4.1</w:t>
            </w:r>
            <w:r>
              <w:rPr>
                <w:rFonts w:ascii="Arial" w:hAnsi="Arial" w:cs="Arial"/>
                <w:bCs/>
                <w:color w:val="000000" w:themeColor="text1"/>
                <w:sz w:val="20"/>
                <w:szCs w:val="20"/>
                <w14:textFill>
                  <w14:solidFill>
                    <w14:schemeClr w14:val="tx1"/>
                  </w14:solidFill>
                </w14:textFill>
              </w:rPr>
              <w:t>：秸秆（水稻、小麦和油菜）还田吨数以及秸秆综合利用率的提升比例</w:t>
            </w:r>
            <w:r>
              <w:rPr>
                <w:rFonts w:ascii="Arial" w:hAnsi="Arial" w:cs="Arial"/>
                <w:color w:val="000000" w:themeColor="text1"/>
                <w:kern w:val="24"/>
                <w:sz w:val="20"/>
                <w:szCs w:val="20"/>
                <w14:textFill>
                  <w14:solidFill>
                    <w14:schemeClr w14:val="tx1"/>
                  </w14:solidFill>
                </w14:textFill>
              </w:rPr>
              <w:t>（省级层面）</w:t>
            </w:r>
          </w:p>
          <w:p w14:paraId="6084219A">
            <w:pPr>
              <w:keepNext w:val="0"/>
              <w:keepLines w:val="0"/>
              <w:pageBreakBefore w:val="0"/>
              <w:widowControl/>
              <w:kinsoku/>
              <w:wordWrap/>
              <w:overflowPunct/>
              <w:topLinePunct w:val="0"/>
              <w:autoSpaceDE/>
              <w:autoSpaceDN/>
              <w:bidi w:val="0"/>
              <w:adjustRightInd w:val="0"/>
              <w:snapToGrid w:val="0"/>
              <w:textAlignment w:val="auto"/>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DLI4.2</w:t>
            </w:r>
            <w:r>
              <w:rPr>
                <w:rFonts w:ascii="Arial" w:hAnsi="Arial" w:cs="Arial"/>
                <w:bCs/>
                <w:color w:val="000000" w:themeColor="text1"/>
                <w:sz w:val="20"/>
                <w:szCs w:val="20"/>
                <w14:textFill>
                  <w14:solidFill>
                    <w14:schemeClr w14:val="tx1"/>
                  </w14:solidFill>
                </w14:textFill>
              </w:rPr>
              <w:t>：</w:t>
            </w:r>
            <w:r>
              <w:rPr>
                <w:rFonts w:ascii="Arial" w:hAnsi="Arial" w:cs="Arial"/>
                <w:color w:val="000000" w:themeColor="text1"/>
                <w:kern w:val="24"/>
                <w:sz w:val="20"/>
                <w:szCs w:val="20"/>
                <w14:textFill>
                  <w14:solidFill>
                    <w14:schemeClr w14:val="tx1"/>
                  </w14:solidFill>
                </w14:textFill>
              </w:rPr>
              <w:t>项目县水产养殖场尾水达标排放提升比例</w:t>
            </w:r>
            <w:r>
              <w:rPr>
                <w:rFonts w:ascii="Arial" w:hAnsi="Arial" w:cs="Arial"/>
                <w:bCs/>
                <w:color w:val="000000" w:themeColor="text1"/>
                <w:sz w:val="20"/>
                <w:szCs w:val="20"/>
                <w14:textFill>
                  <w14:solidFill>
                    <w14:schemeClr w14:val="tx1"/>
                  </w14:solidFill>
                </w14:textFill>
              </w:rPr>
              <w:t>（湖北省）</w:t>
            </w:r>
          </w:p>
          <w:p w14:paraId="6E95B786">
            <w:pPr>
              <w:keepNext w:val="0"/>
              <w:keepLines w:val="0"/>
              <w:pageBreakBefore w:val="0"/>
              <w:widowControl/>
              <w:kinsoku/>
              <w:wordWrap/>
              <w:overflowPunct/>
              <w:topLinePunct w:val="0"/>
              <w:autoSpaceDE/>
              <w:autoSpaceDN/>
              <w:bidi w:val="0"/>
              <w:adjustRightInd w:val="0"/>
              <w:snapToGrid w:val="0"/>
              <w:textAlignment w:val="auto"/>
              <w:rPr>
                <w:rFonts w:ascii="Arial" w:hAnsi="Arial" w:cs="Arial"/>
                <w:b/>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DLI4</w:t>
            </w:r>
            <w:r>
              <w:rPr>
                <w:rFonts w:ascii="Arial" w:hAnsi="Arial" w:cs="Arial"/>
                <w:b/>
                <w:bCs/>
                <w:color w:val="000000" w:themeColor="text1"/>
                <w:sz w:val="20"/>
                <w:szCs w:val="20"/>
                <w:lang w:val="en-GB"/>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3</w:t>
            </w:r>
            <w:r>
              <w:rPr>
                <w:rFonts w:ascii="Arial" w:hAnsi="Arial" w:cs="Arial"/>
                <w:bCs/>
                <w:color w:val="000000" w:themeColor="text1"/>
                <w:sz w:val="20"/>
                <w:szCs w:val="20"/>
                <w14:textFill>
                  <w14:solidFill>
                    <w14:schemeClr w14:val="tx1"/>
                  </w14:solidFill>
                </w14:textFill>
              </w:rPr>
              <w:t>：</w:t>
            </w:r>
            <w:r>
              <w:rPr>
                <w:rFonts w:ascii="Arial" w:hAnsi="Arial" w:cs="Arial"/>
                <w:color w:val="000000" w:themeColor="text1"/>
                <w:kern w:val="24"/>
                <w:sz w:val="20"/>
                <w:szCs w:val="20"/>
                <w14:textFill>
                  <w14:solidFill>
                    <w14:schemeClr w14:val="tx1"/>
                  </w14:solidFill>
                </w14:textFill>
              </w:rPr>
              <w:t>项目县已治理土地的安全利用率（湖南省）</w:t>
            </w:r>
          </w:p>
        </w:tc>
      </w:tr>
    </w:tbl>
    <w:p w14:paraId="762C20B4">
      <w:pPr>
        <w:pStyle w:val="3"/>
        <w:rPr>
          <w:color w:val="1F4E79" w:themeColor="accent5" w:themeShade="80"/>
          <w:sz w:val="24"/>
        </w:rPr>
      </w:pPr>
      <w:bookmarkStart w:id="137" w:name="_Toc119937274"/>
      <w:bookmarkStart w:id="138" w:name="_Toc107747418"/>
      <w:r>
        <w:rPr>
          <w:color w:val="1F4E79" w:themeColor="accent5" w:themeShade="80"/>
          <w:sz w:val="24"/>
        </w:rPr>
        <w:t>2.3</w:t>
      </w:r>
      <w:r>
        <w:rPr>
          <w:color w:val="1F4E79" w:themeColor="accent5" w:themeShade="80"/>
          <w:sz w:val="24"/>
        </w:rPr>
        <w:tab/>
      </w:r>
      <w:r>
        <w:rPr>
          <w:color w:val="1F4E79" w:themeColor="accent5" w:themeShade="80"/>
          <w:sz w:val="24"/>
        </w:rPr>
        <w:tab/>
      </w:r>
      <w:r>
        <w:rPr>
          <w:color w:val="1F4E79" w:themeColor="accent5" w:themeShade="80"/>
          <w:sz w:val="24"/>
        </w:rPr>
        <w:t>实施机构</w:t>
      </w:r>
      <w:bookmarkEnd w:id="137"/>
      <w:bookmarkEnd w:id="138"/>
    </w:p>
    <w:p w14:paraId="15EFA35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本项目的有效实施将依赖于跨行业、多级别的政府协调。湖南和湖北两省均成立了省级项目管理办公室（以下简称省项目办），分别设在湖南省</w:t>
      </w:r>
      <w:r>
        <w:rPr>
          <w:rFonts w:hint="eastAsia" w:ascii="Arial" w:hAnsi="Arial" w:cs="Arial"/>
          <w:sz w:val="22"/>
        </w:rPr>
        <w:t>农业对外经济合作中心</w:t>
      </w:r>
      <w:r>
        <w:rPr>
          <w:rFonts w:ascii="Arial" w:hAnsi="Arial" w:cs="Arial"/>
          <w:sz w:val="22"/>
        </w:rPr>
        <w:t>和湖北省</w:t>
      </w:r>
      <w:r>
        <w:rPr>
          <w:rFonts w:hint="eastAsia" w:ascii="Arial" w:hAnsi="Arial" w:cs="Arial"/>
          <w:sz w:val="22"/>
        </w:rPr>
        <w:t>乡村振兴发展中心</w:t>
      </w:r>
      <w:r>
        <w:rPr>
          <w:rFonts w:ascii="Arial" w:hAnsi="Arial" w:cs="Arial"/>
          <w:sz w:val="22"/>
        </w:rPr>
        <w:t>，负责本项目日常管理工作。项目活动实施单位</w:t>
      </w:r>
      <w:r>
        <w:rPr>
          <w:rFonts w:ascii="Arial" w:hAnsi="Arial" w:cs="Arial"/>
          <w:bCs/>
          <w:sz w:val="22"/>
        </w:rPr>
        <w:t>包括不同级别</w:t>
      </w:r>
      <w:r>
        <w:rPr>
          <w:rFonts w:ascii="Arial" w:hAnsi="Arial" w:cs="Arial"/>
          <w:sz w:val="22"/>
        </w:rPr>
        <w:t>、不同</w:t>
      </w:r>
      <w:r>
        <w:rPr>
          <w:rFonts w:ascii="Arial" w:hAnsi="Arial" w:cs="Arial"/>
          <w:bCs/>
          <w:sz w:val="22"/>
        </w:rPr>
        <w:t>行业的政府部门，其中</w:t>
      </w:r>
      <w:r>
        <w:rPr>
          <w:rFonts w:ascii="Arial" w:hAnsi="Arial" w:cs="Arial"/>
          <w:sz w:val="22"/>
        </w:rPr>
        <w:t>县级各政府部门主要负责具体活动的实施、管理和监测。</w:t>
      </w:r>
    </w:p>
    <w:p w14:paraId="038602E1">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湖南省农业对外经济合作中心（以下简称</w:t>
      </w:r>
      <w:r>
        <w:rPr>
          <w:rFonts w:ascii="Arial" w:hAnsi="Arial" w:cs="Arial"/>
          <w:b/>
          <w:bCs/>
          <w:sz w:val="22"/>
        </w:rPr>
        <w:t>湖南省项目办</w:t>
      </w:r>
      <w:r>
        <w:rPr>
          <w:rFonts w:ascii="Arial" w:hAnsi="Arial" w:cs="Arial"/>
          <w:sz w:val="22"/>
        </w:rPr>
        <w:t>）成立于1973年，是省农业农村厅直属一类正处级事业单位，现有在岗人员22人，聘用人员5人，下设综合科、财务科、外资利用科、海外项目科、贸易促进科、交流服务科，其中，外资利用科负责项目环境与社会管理工作。湖南省项目办拥有一支长期从事外资外贷项目前期调研、规划设计、财务管理、计划及监评、采购管理等方面工作的、稳定的专业人才队伍。自1978年接受首个外国政府赠款项目以来，全省农业利用国外贷款已竣工12个项目，总投资34.6亿元人民币，利用贷款1.916亿美元；完成赠款项目24个，总投资8.4亿元人民币，利用赠款0.735亿美元。目前有两个在建项目即“世行贷款湖南省农产品产地安全质量提升工程项目”和“国际农发基金贷款湖南省乡村振兴示范项目”，总投资17.8亿元人民币，利用外资1.602亿美元。</w:t>
      </w:r>
    </w:p>
    <w:p w14:paraId="47291FD2">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湖北省乡村振兴发展中心（以下简称</w:t>
      </w:r>
      <w:r>
        <w:rPr>
          <w:rFonts w:ascii="Arial" w:hAnsi="Arial" w:cs="Arial"/>
          <w:b/>
          <w:bCs/>
          <w:sz w:val="22"/>
        </w:rPr>
        <w:t>湖北省项目办</w:t>
      </w:r>
      <w:r>
        <w:rPr>
          <w:rFonts w:ascii="Arial" w:hAnsi="Arial" w:cs="Arial"/>
          <w:sz w:val="22"/>
        </w:rPr>
        <w:t>）是1992年成立的正处级事业单位，现有编制14人，下设4个科室（综合科、监测科、外资科、儿童科），其中外资科负责包括本项目在内的外资项目及相应的环境与社会管理工作。自1981年与国际金融组织开展合作以来，湖北省共实施国外贷、赠款项目110余个，贷款总额超过65亿美元；“十三五”期间全省共实施外资项目26个，其中生态保护、污染防治、低碳循环发展领域项目12个，贷款规模约15.4亿美元。其中，湖北省安全可持续智慧型农业项目荣获了“全球世行项目行长奖”（SD</w:t>
      </w:r>
      <w:r>
        <w:rPr>
          <w:rFonts w:hint="eastAsia" w:ascii="Arial" w:hAnsi="Arial" w:cs="Arial"/>
          <w:sz w:val="22"/>
          <w:lang w:eastAsia="zh-CN"/>
        </w:rPr>
        <w:t>—</w:t>
      </w:r>
      <w:r>
        <w:rPr>
          <w:rFonts w:ascii="Arial" w:hAnsi="Arial" w:cs="Arial"/>
          <w:sz w:val="22"/>
        </w:rPr>
        <w:t>VPU奖），包含了与本项目相似类型的活动。目前湖北省也在</w:t>
      </w:r>
      <w:r>
        <w:rPr>
          <w:rFonts w:hint="eastAsia" w:ascii="Arial" w:hAnsi="Arial" w:cs="Arial"/>
          <w:sz w:val="22"/>
        </w:rPr>
        <w:t>实施</w:t>
      </w:r>
      <w:r>
        <w:rPr>
          <w:rFonts w:ascii="Arial" w:hAnsi="Arial" w:cs="Arial"/>
          <w:sz w:val="22"/>
        </w:rPr>
        <w:t>“世界银行结果导向型贷款长江保护与生态恢复项目</w:t>
      </w:r>
      <w:r>
        <w:rPr>
          <w:rFonts w:hint="eastAsia" w:ascii="Arial" w:hAnsi="Arial" w:cs="Arial"/>
          <w:sz w:val="22"/>
        </w:rPr>
        <w:t>（湖北）</w:t>
      </w:r>
      <w:r>
        <w:rPr>
          <w:rFonts w:ascii="Arial" w:hAnsi="Arial" w:cs="Arial"/>
          <w:sz w:val="22"/>
        </w:rPr>
        <w:t>”</w:t>
      </w:r>
      <w:r>
        <w:rPr>
          <w:rFonts w:hint="eastAsia" w:ascii="Arial" w:hAnsi="Arial" w:cs="Arial"/>
          <w:sz w:val="22"/>
          <w:lang w:eastAsia="zh-CN"/>
        </w:rPr>
        <w:t>（</w:t>
      </w:r>
      <w:r>
        <w:rPr>
          <w:rFonts w:ascii="Arial" w:hAnsi="Arial" w:cs="Arial"/>
          <w:sz w:val="22"/>
        </w:rPr>
        <w:t>P178338</w:t>
      </w:r>
      <w:r>
        <w:rPr>
          <w:rFonts w:hint="eastAsia" w:ascii="Arial" w:hAnsi="Arial" w:cs="Arial"/>
          <w:sz w:val="22"/>
          <w:lang w:eastAsia="zh-CN"/>
        </w:rPr>
        <w:t>）</w:t>
      </w:r>
      <w:r>
        <w:rPr>
          <w:rFonts w:ascii="Arial" w:hAnsi="Arial" w:cs="Arial"/>
          <w:sz w:val="22"/>
        </w:rPr>
        <w:t>。</w:t>
      </w:r>
    </w:p>
    <w:p w14:paraId="0FB689F8">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Cs/>
          <w:sz w:val="22"/>
        </w:rPr>
        <w:t>根据对过往项目实地考察</w:t>
      </w:r>
      <w:r>
        <w:rPr>
          <w:rFonts w:ascii="Arial" w:hAnsi="Arial" w:cs="Arial"/>
          <w:sz w:val="22"/>
        </w:rPr>
        <w:t>，两省在依照世行标准进行环境与社会管理和监测方面，拥有丰富的经验和良好的过往业绩</w:t>
      </w:r>
      <w:r>
        <w:rPr>
          <w:rFonts w:ascii="Arial" w:hAnsi="Arial" w:cs="Arial"/>
          <w:sz w:val="22"/>
          <w:lang w:val="en-GB"/>
        </w:rPr>
        <w:t>，</w:t>
      </w:r>
      <w:r>
        <w:rPr>
          <w:rFonts w:ascii="Arial" w:hAnsi="Arial" w:cs="Arial"/>
          <w:sz w:val="22"/>
        </w:rPr>
        <w:t>相应的环境与社会管理绩效迄今为止较为满意。除了两个省级项目办，在其他相关省级和市县级行业部门也设置了专门人员，对本项目环境与社会问题进行协调和管理。在两省以及各样本县的调查期间，省项目办和各县确认，项目实施期间省和县级项目办将安排专职人员负责环境社会监测和管理，各级项目办与实施机构在机构、人员与职责等方面的分工详见本报告第八章。本项目活动下游活动和设施诱发的环境社会风险，由相关政府部门根据相应环境社会法规负责管理。比如，制定政策和标准，出台导则和指南，进行监管。本报告第四章和第五章第三节对不同层级机构有详细介绍。另一方面，项目实施机构和企业对项目活动相关的环境社会敏感点制定了专门环境社会管理措施。同时，一旦有需要，政府部门和实施机构还可以通过外部获得培训、技术和人员等方面的支持，以加强其能力。</w:t>
      </w:r>
    </w:p>
    <w:p w14:paraId="68D797ED">
      <w:pPr>
        <w:tabs>
          <w:tab w:val="left" w:pos="851"/>
        </w:tabs>
        <w:adjustRightInd w:val="0"/>
        <w:snapToGrid w:val="0"/>
        <w:spacing w:before="120" w:after="120"/>
        <w:jc w:val="both"/>
        <w:rPr>
          <w:rFonts w:ascii="Arial" w:hAnsi="Arial" w:cs="Arial"/>
          <w:sz w:val="22"/>
        </w:rPr>
      </w:pPr>
    </w:p>
    <w:p w14:paraId="31EC5F14">
      <w:pPr>
        <w:tabs>
          <w:tab w:val="left" w:pos="1470"/>
        </w:tabs>
        <w:rPr>
          <w:rFonts w:ascii="Arial" w:hAnsi="Arial" w:cs="Arial"/>
          <w:b/>
          <w:bCs/>
          <w:kern w:val="44"/>
          <w:sz w:val="22"/>
        </w:rPr>
      </w:pPr>
      <w:r>
        <w:rPr>
          <w:rFonts w:ascii="Arial" w:hAnsi="Arial" w:cs="Arial"/>
          <w:sz w:val="22"/>
        </w:rPr>
        <w:br w:type="page"/>
      </w:r>
    </w:p>
    <w:p w14:paraId="54083F08">
      <w:pPr>
        <w:pStyle w:val="2"/>
        <w:numPr>
          <w:ilvl w:val="0"/>
          <w:numId w:val="4"/>
        </w:numPr>
        <w:tabs>
          <w:tab w:val="left" w:pos="851"/>
        </w:tabs>
        <w:adjustRightInd w:val="0"/>
        <w:snapToGrid w:val="0"/>
        <w:spacing w:before="120" w:after="120" w:line="240" w:lineRule="auto"/>
        <w:rPr>
          <w:rFonts w:ascii="Arial" w:hAnsi="Arial" w:cs="Arial"/>
          <w:color w:val="1F4E79" w:themeColor="accent5" w:themeShade="80"/>
          <w:sz w:val="28"/>
          <w:szCs w:val="28"/>
        </w:rPr>
      </w:pPr>
      <w:bookmarkStart w:id="139" w:name="_Toc79939245"/>
      <w:r>
        <w:rPr>
          <w:rFonts w:ascii="Arial" w:hAnsi="Arial" w:cs="Arial"/>
          <w:color w:val="1F4E79" w:themeColor="accent5" w:themeShade="80"/>
          <w:sz w:val="28"/>
          <w:szCs w:val="28"/>
        </w:rPr>
        <w:tab/>
      </w:r>
      <w:bookmarkStart w:id="140" w:name="_Toc119937275"/>
      <w:r>
        <w:rPr>
          <w:rFonts w:ascii="Arial" w:hAnsi="Arial" w:cs="Arial"/>
          <w:color w:val="1F4E79" w:themeColor="accent5" w:themeShade="80"/>
          <w:sz w:val="28"/>
          <w:szCs w:val="28"/>
        </w:rPr>
        <w:t>环境与社会影响</w:t>
      </w:r>
      <w:bookmarkEnd w:id="139"/>
      <w:r>
        <w:rPr>
          <w:rFonts w:ascii="Arial" w:hAnsi="Arial" w:cs="Arial"/>
          <w:color w:val="1F4E79" w:themeColor="accent5" w:themeShade="80"/>
          <w:sz w:val="28"/>
          <w:szCs w:val="28"/>
        </w:rPr>
        <w:t>分析</w:t>
      </w:r>
      <w:bookmarkEnd w:id="140"/>
    </w:p>
    <w:p w14:paraId="5B66FBA8">
      <w:pPr>
        <w:pStyle w:val="3"/>
        <w:rPr>
          <w:color w:val="1F4E79" w:themeColor="accent5" w:themeShade="80"/>
          <w:sz w:val="24"/>
        </w:rPr>
      </w:pPr>
      <w:bookmarkStart w:id="141" w:name="_Toc90332038"/>
      <w:bookmarkEnd w:id="141"/>
      <w:bookmarkStart w:id="142" w:name="_Toc90180656"/>
      <w:bookmarkEnd w:id="142"/>
      <w:bookmarkStart w:id="143" w:name="_Toc90551046"/>
      <w:bookmarkEnd w:id="143"/>
      <w:bookmarkStart w:id="144" w:name="_Toc91572728"/>
      <w:bookmarkEnd w:id="144"/>
      <w:bookmarkStart w:id="145" w:name="_Toc90331882"/>
      <w:bookmarkEnd w:id="145"/>
      <w:bookmarkStart w:id="146" w:name="_Toc92726967"/>
      <w:bookmarkEnd w:id="146"/>
      <w:bookmarkStart w:id="147" w:name="_Toc93944798"/>
      <w:bookmarkEnd w:id="147"/>
      <w:bookmarkStart w:id="148" w:name="_Toc91572875"/>
      <w:bookmarkEnd w:id="148"/>
      <w:bookmarkStart w:id="149" w:name="_Toc89703106"/>
      <w:bookmarkEnd w:id="149"/>
      <w:bookmarkStart w:id="150" w:name="_Toc91572809"/>
      <w:bookmarkEnd w:id="150"/>
      <w:bookmarkStart w:id="151" w:name="_Toc92267118"/>
      <w:bookmarkEnd w:id="151"/>
      <w:bookmarkStart w:id="152" w:name="_Toc91573139"/>
      <w:bookmarkEnd w:id="152"/>
      <w:bookmarkStart w:id="153" w:name="_Toc90855746"/>
      <w:bookmarkEnd w:id="153"/>
      <w:bookmarkStart w:id="154" w:name="_Toc92803950"/>
      <w:bookmarkEnd w:id="154"/>
      <w:bookmarkStart w:id="155" w:name="_Toc90169402"/>
      <w:bookmarkEnd w:id="155"/>
      <w:bookmarkStart w:id="156" w:name="_Toc91572941"/>
      <w:bookmarkEnd w:id="156"/>
      <w:bookmarkStart w:id="157" w:name="_Toc91573007"/>
      <w:bookmarkEnd w:id="157"/>
      <w:bookmarkStart w:id="158" w:name="_Toc90840413"/>
      <w:bookmarkEnd w:id="158"/>
      <w:bookmarkStart w:id="159" w:name="_Toc90310579"/>
      <w:bookmarkEnd w:id="159"/>
      <w:bookmarkStart w:id="160" w:name="_Toc91572660"/>
      <w:bookmarkEnd w:id="160"/>
      <w:bookmarkStart w:id="161" w:name="_Toc90711507"/>
      <w:bookmarkEnd w:id="161"/>
      <w:bookmarkStart w:id="162" w:name="_Toc88857475"/>
      <w:bookmarkEnd w:id="162"/>
      <w:bookmarkStart w:id="163" w:name="_Toc79736558"/>
      <w:bookmarkEnd w:id="163"/>
      <w:bookmarkStart w:id="164" w:name="_Toc88858563"/>
      <w:bookmarkEnd w:id="164"/>
      <w:bookmarkStart w:id="165" w:name="_Toc89016098"/>
      <w:bookmarkEnd w:id="165"/>
      <w:bookmarkStart w:id="166" w:name="_Toc88862090"/>
      <w:bookmarkEnd w:id="166"/>
      <w:bookmarkStart w:id="167" w:name="_Toc88859488"/>
      <w:bookmarkEnd w:id="167"/>
      <w:bookmarkStart w:id="168" w:name="_Toc90174083"/>
      <w:bookmarkEnd w:id="168"/>
      <w:bookmarkStart w:id="169" w:name="_Toc89241933"/>
      <w:bookmarkEnd w:id="169"/>
      <w:bookmarkStart w:id="170" w:name="_Toc88858329"/>
      <w:bookmarkEnd w:id="170"/>
      <w:bookmarkStart w:id="171" w:name="_Toc88860745"/>
      <w:bookmarkEnd w:id="171"/>
      <w:bookmarkStart w:id="172" w:name="_Toc77947990"/>
      <w:bookmarkEnd w:id="172"/>
      <w:bookmarkStart w:id="173" w:name="_Toc77947796"/>
      <w:bookmarkEnd w:id="173"/>
      <w:bookmarkStart w:id="174" w:name="_Toc89155494"/>
      <w:bookmarkEnd w:id="174"/>
      <w:bookmarkStart w:id="175" w:name="_Toc89425487"/>
      <w:bookmarkEnd w:id="175"/>
      <w:bookmarkStart w:id="176" w:name="_Toc77947533"/>
      <w:bookmarkEnd w:id="176"/>
      <w:bookmarkStart w:id="177" w:name="_Toc88858761"/>
      <w:bookmarkEnd w:id="177"/>
      <w:bookmarkStart w:id="178" w:name="_Toc89155569"/>
      <w:bookmarkEnd w:id="178"/>
      <w:bookmarkStart w:id="179" w:name="_Toc79402173"/>
      <w:bookmarkEnd w:id="179"/>
      <w:bookmarkStart w:id="180" w:name="_Toc77947589"/>
      <w:bookmarkEnd w:id="180"/>
      <w:bookmarkStart w:id="181" w:name="_Toc88858419"/>
      <w:bookmarkEnd w:id="181"/>
      <w:bookmarkStart w:id="182" w:name="_Toc79736423"/>
      <w:bookmarkEnd w:id="182"/>
      <w:bookmarkStart w:id="183" w:name="_Toc88858814"/>
      <w:bookmarkEnd w:id="183"/>
      <w:bookmarkStart w:id="184" w:name="_Toc89421576"/>
      <w:bookmarkEnd w:id="184"/>
      <w:bookmarkStart w:id="185" w:name="_Toc88857555"/>
      <w:bookmarkEnd w:id="185"/>
      <w:bookmarkStart w:id="186" w:name="_Toc90551166"/>
      <w:bookmarkEnd w:id="186"/>
      <w:bookmarkStart w:id="187" w:name="_Toc90334668"/>
      <w:bookmarkEnd w:id="187"/>
      <w:bookmarkStart w:id="188" w:name="_Toc90169498"/>
      <w:bookmarkEnd w:id="188"/>
      <w:bookmarkStart w:id="189" w:name="_Toc91190246"/>
      <w:bookmarkEnd w:id="189"/>
      <w:bookmarkStart w:id="190" w:name="_Toc90905766"/>
      <w:bookmarkEnd w:id="190"/>
      <w:bookmarkStart w:id="191" w:name="_Toc90904780"/>
      <w:bookmarkEnd w:id="191"/>
      <w:bookmarkStart w:id="192" w:name="_Toc88861968"/>
      <w:bookmarkEnd w:id="192"/>
      <w:bookmarkStart w:id="193" w:name="_Toc90855527"/>
      <w:bookmarkEnd w:id="193"/>
      <w:bookmarkStart w:id="194" w:name="_Toc90173629"/>
      <w:bookmarkEnd w:id="194"/>
      <w:bookmarkStart w:id="195" w:name="_Toc79141944"/>
      <w:bookmarkEnd w:id="195"/>
      <w:bookmarkStart w:id="196" w:name="_Toc77948527"/>
      <w:bookmarkEnd w:id="196"/>
      <w:bookmarkStart w:id="197" w:name="_Toc77947846"/>
      <w:bookmarkEnd w:id="197"/>
      <w:bookmarkStart w:id="198" w:name="_Toc78301171"/>
      <w:bookmarkEnd w:id="198"/>
      <w:bookmarkStart w:id="199" w:name="_Toc88858650"/>
      <w:bookmarkEnd w:id="199"/>
      <w:bookmarkStart w:id="200" w:name="_Toc88842025"/>
      <w:bookmarkEnd w:id="200"/>
      <w:bookmarkStart w:id="201" w:name="_Toc79402220"/>
      <w:bookmarkEnd w:id="201"/>
      <w:bookmarkStart w:id="202" w:name="_Toc77948052"/>
      <w:bookmarkEnd w:id="202"/>
      <w:bookmarkStart w:id="203" w:name="_Toc90855461"/>
      <w:bookmarkEnd w:id="203"/>
      <w:bookmarkStart w:id="204" w:name="_Toc90176450"/>
      <w:bookmarkEnd w:id="204"/>
      <w:bookmarkStart w:id="205" w:name="_Toc90856363"/>
      <w:bookmarkEnd w:id="205"/>
      <w:bookmarkStart w:id="206" w:name="_Toc90216890"/>
      <w:bookmarkEnd w:id="206"/>
      <w:bookmarkStart w:id="207" w:name="_Toc90332294"/>
      <w:bookmarkEnd w:id="207"/>
      <w:bookmarkStart w:id="208" w:name="_Toc89703036"/>
      <w:bookmarkEnd w:id="208"/>
      <w:bookmarkStart w:id="209" w:name="_Toc90590518"/>
      <w:bookmarkEnd w:id="209"/>
      <w:bookmarkStart w:id="210" w:name="_Toc90174135"/>
      <w:bookmarkEnd w:id="210"/>
      <w:bookmarkStart w:id="211" w:name="_Toc90590563"/>
      <w:bookmarkEnd w:id="211"/>
      <w:bookmarkStart w:id="212" w:name="_Toc79939246"/>
      <w:bookmarkEnd w:id="212"/>
      <w:bookmarkStart w:id="213" w:name="_Toc90181093"/>
      <w:bookmarkEnd w:id="213"/>
      <w:bookmarkStart w:id="214" w:name="_Toc90414816"/>
      <w:bookmarkEnd w:id="214"/>
      <w:bookmarkStart w:id="215" w:name="_Toc88861915"/>
      <w:bookmarkEnd w:id="215"/>
      <w:bookmarkStart w:id="216" w:name="_Toc90173906"/>
      <w:bookmarkEnd w:id="216"/>
      <w:bookmarkStart w:id="217" w:name="_Toc90550975"/>
      <w:bookmarkEnd w:id="217"/>
      <w:bookmarkStart w:id="218" w:name="_Toc79939247"/>
      <w:bookmarkStart w:id="219" w:name="_Toc119937276"/>
      <w:r>
        <w:rPr>
          <w:color w:val="1F4E79" w:themeColor="accent5" w:themeShade="80"/>
          <w:sz w:val="24"/>
        </w:rPr>
        <w:t>3.1</w:t>
      </w:r>
      <w:r>
        <w:rPr>
          <w:color w:val="1F4E79" w:themeColor="accent5" w:themeShade="80"/>
          <w:sz w:val="24"/>
        </w:rPr>
        <w:tab/>
      </w:r>
      <w:r>
        <w:rPr>
          <w:color w:val="1F4E79" w:themeColor="accent5" w:themeShade="80"/>
          <w:sz w:val="24"/>
        </w:rPr>
        <w:tab/>
      </w:r>
      <w:r>
        <w:rPr>
          <w:color w:val="1F4E79" w:themeColor="accent5" w:themeShade="80"/>
          <w:sz w:val="24"/>
        </w:rPr>
        <w:t>排除清单</w:t>
      </w:r>
      <w:bookmarkEnd w:id="218"/>
      <w:bookmarkEnd w:id="219"/>
    </w:p>
    <w:p w14:paraId="18D14F80">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目的</w:t>
      </w:r>
      <w:r>
        <w:rPr>
          <w:rFonts w:ascii="Arial" w:hAnsi="Arial" w:cs="Arial"/>
          <w:sz w:val="22"/>
        </w:rPr>
        <w:t>：本项目在环境与社会管理体系评价过程中，</w:t>
      </w:r>
      <w:r>
        <w:rPr>
          <w:rFonts w:ascii="Arial" w:hAnsi="Arial" w:cs="Arial"/>
          <w:bCs/>
          <w:sz w:val="22"/>
        </w:rPr>
        <w:t>充分考虑了世行政策对环境与社会影响筛查的原则要求</w:t>
      </w:r>
      <w:r>
        <w:rPr>
          <w:rFonts w:ascii="Arial" w:hAnsi="Arial" w:cs="Arial"/>
          <w:sz w:val="22"/>
        </w:rPr>
        <w:t>，对湖南和湖北两省政府规划中纳入本项目的活动进行了筛选，旨在</w:t>
      </w:r>
      <w:r>
        <w:rPr>
          <w:rFonts w:ascii="Arial" w:hAnsi="Arial" w:cs="Arial"/>
          <w:sz w:val="22"/>
          <w:lang w:val="en-GB"/>
        </w:rPr>
        <w:t>：</w:t>
      </w:r>
      <w:r>
        <w:rPr>
          <w:rFonts w:ascii="Arial" w:hAnsi="Arial" w:cs="Arial"/>
          <w:sz w:val="22"/>
        </w:rPr>
        <w:t>1</w:t>
      </w:r>
      <w:r>
        <w:rPr>
          <w:rFonts w:hint="eastAsia" w:ascii="Arial" w:hAnsi="Arial" w:cs="Arial"/>
          <w:sz w:val="22"/>
          <w:lang w:eastAsia="zh-CN"/>
        </w:rPr>
        <w:t>）</w:t>
      </w:r>
      <w:r>
        <w:rPr>
          <w:rFonts w:ascii="Arial" w:hAnsi="Arial" w:cs="Arial"/>
          <w:sz w:val="22"/>
        </w:rPr>
        <w:t xml:space="preserve"> 识别那些可能存在潜在的严重的环境与社会影响而不适于纳入本项目的内容；2</w:t>
      </w:r>
      <w:r>
        <w:rPr>
          <w:rFonts w:hint="eastAsia" w:ascii="Arial" w:hAnsi="Arial" w:cs="Arial"/>
          <w:sz w:val="22"/>
          <w:lang w:eastAsia="zh-CN"/>
        </w:rPr>
        <w:t>）</w:t>
      </w:r>
      <w:r>
        <w:rPr>
          <w:rFonts w:ascii="Arial" w:hAnsi="Arial" w:cs="Arial"/>
          <w:sz w:val="22"/>
        </w:rPr>
        <w:t xml:space="preserve"> 确定需要进一步开展环境与社会系统评价的领域。</w:t>
      </w:r>
    </w:p>
    <w:p w14:paraId="30E39175">
      <w:pPr>
        <w:pStyle w:val="48"/>
        <w:widowControl w:val="0"/>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排除原则</w:t>
      </w:r>
      <w:r>
        <w:rPr>
          <w:rFonts w:ascii="Arial" w:hAnsi="Arial" w:cs="Arial"/>
          <w:sz w:val="22"/>
        </w:rPr>
        <w:t>：根据世行《结果导向型规划贷款政策》，“可能对环境或受影响人群产生敏感、多样或前所未有的重大不利影响的活动都没有资格获得贷款，须排除在规划贷款项目之外”。具体来说，结果导向型规划贷款不会支持世行认为涉及以下内容的项目或活动：</w:t>
      </w:r>
    </w:p>
    <w:p w14:paraId="254FF293">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将导致重要的自然栖息地或重要的文化遗产地发生重大转化或退化；</w:t>
      </w:r>
    </w:p>
    <w:p w14:paraId="0719A64E">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污染空气、水或土壤，而对个人和社区健康与安全或生态系统造成重大不利影响；</w:t>
      </w:r>
    </w:p>
    <w:p w14:paraId="7E0DBAF3">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使工人面临健康和人身安全重大风险的工作环境；</w:t>
      </w:r>
    </w:p>
    <w:p w14:paraId="6FC9FA74">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对受影响的人产生重大不利影响的征地拆迁，或强制拆迁、强制流转土地；</w:t>
      </w:r>
    </w:p>
    <w:p w14:paraId="329A2FD9">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导致大规模土地利用转变或对土地/自然资源获取方式产生重大变化；</w:t>
      </w:r>
    </w:p>
    <w:p w14:paraId="602A6D79">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在较大的地理区域内产生重大的环境与社会不利影响，如跨境影响或温室气体全球影响；</w:t>
      </w:r>
    </w:p>
    <w:p w14:paraId="56B6AC66">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导致重大的累积、诱发或间接环境与社会影响；</w:t>
      </w:r>
    </w:p>
    <w:p w14:paraId="39009F0B">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涉及强迫劳动或童工的活动；</w:t>
      </w:r>
    </w:p>
    <w:p w14:paraId="67E2489A">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导致社会（包括少数民族）群体内部或之间的边缘化、歧视或冲突；</w:t>
      </w:r>
    </w:p>
    <w:p w14:paraId="6F083374">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对受传统所有权或习惯使用或占用的土地和自然资源产生不利影响；导致原住民从传统拥有权或习惯使用或占领下的土地和自然资源中迁出；对少数民族的文化遗产具有重大影响。</w:t>
      </w:r>
    </w:p>
    <w:p w14:paraId="28AADE7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排除的活动</w:t>
      </w:r>
      <w:r>
        <w:rPr>
          <w:rFonts w:ascii="Arial" w:hAnsi="Arial" w:cs="Arial"/>
          <w:sz w:val="22"/>
        </w:rPr>
        <w:t>：根据以上排除原则，以下活动将被排除在本项目PforR范围之外：</w:t>
      </w:r>
    </w:p>
    <w:p w14:paraId="3E25D98B">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根据《建设项目环境影响评价分类管理名录》需要编制环境影响报告书的项目</w:t>
      </w:r>
    </w:p>
    <w:p w14:paraId="4D178090">
      <w:pPr>
        <w:pStyle w:val="48"/>
        <w:widowControl w:val="0"/>
        <w:numPr>
          <w:ilvl w:val="0"/>
          <w:numId w:val="7"/>
        </w:numPr>
        <w:snapToGrid w:val="0"/>
        <w:ind w:left="851" w:hanging="851" w:firstLineChars="0"/>
        <w:jc w:val="both"/>
        <w:rPr>
          <w:rFonts w:ascii="Arial" w:hAnsi="Arial" w:cs="Arial"/>
          <w:bCs/>
          <w:sz w:val="22"/>
        </w:rPr>
      </w:pPr>
      <w:r>
        <w:rPr>
          <w:rFonts w:ascii="Arial" w:hAnsi="Arial" w:cs="Arial"/>
          <w:bCs/>
          <w:sz w:val="22"/>
        </w:rPr>
        <w:t>环境敏感区（根据《建设项目环境影响评价分类管理名录》</w:t>
      </w:r>
      <w:r>
        <w:rPr>
          <w:rFonts w:ascii="Arial" w:hAnsi="Arial" w:cs="Arial"/>
          <w:bCs/>
          <w:sz w:val="22"/>
          <w:lang w:val="en-GB"/>
        </w:rPr>
        <w:t>的定义、依法设立的各级各类保护区域和对建设项目产生的环境影响特别敏感的区域</w:t>
      </w:r>
      <w:r>
        <w:rPr>
          <w:rFonts w:ascii="Arial" w:hAnsi="Arial" w:cs="Arial"/>
          <w:bCs/>
          <w:sz w:val="22"/>
        </w:rPr>
        <w:t>）内的实体活动</w:t>
      </w:r>
    </w:p>
    <w:p w14:paraId="19ABF0B4">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所在区域存在严重遗留环境问题的活动</w:t>
      </w:r>
      <w:r>
        <w:rPr>
          <w:rStyle w:val="46"/>
          <w:rFonts w:ascii="Arial" w:hAnsi="Arial"/>
          <w:sz w:val="22"/>
        </w:rPr>
        <w:footnoteReference w:id="0"/>
      </w:r>
    </w:p>
    <w:p w14:paraId="743DDB71">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畜禽养殖设施新建、扩建、搬迁或关停</w:t>
      </w:r>
    </w:p>
    <w:p w14:paraId="041864C8">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新建、扩建、提升改造生活垃圾处理（如焚烧或填埋设施）</w:t>
      </w:r>
    </w:p>
    <w:p w14:paraId="36DF0155">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涉及大规模征地拆迁的农村基础设施建设项目，如农村道路</w:t>
      </w:r>
    </w:p>
    <w:p w14:paraId="2442E7F5">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涉及征用和占用基本农田的活动</w:t>
      </w:r>
    </w:p>
    <w:p w14:paraId="35C95FD2">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退耕还林</w:t>
      </w:r>
    </w:p>
    <w:p w14:paraId="096DCF83">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退垸环湖</w:t>
      </w:r>
    </w:p>
    <w:p w14:paraId="54BE8E5C">
      <w:pPr>
        <w:pStyle w:val="48"/>
        <w:widowControl w:val="0"/>
        <w:numPr>
          <w:ilvl w:val="0"/>
          <w:numId w:val="7"/>
        </w:numPr>
        <w:snapToGrid w:val="0"/>
        <w:ind w:left="851" w:hanging="851" w:firstLineChars="0"/>
        <w:jc w:val="both"/>
        <w:rPr>
          <w:rFonts w:ascii="Arial" w:hAnsi="Arial" w:cs="Arial"/>
          <w:bCs/>
          <w:sz w:val="22"/>
        </w:rPr>
      </w:pPr>
      <w:r>
        <w:rPr>
          <w:rFonts w:ascii="Arial" w:hAnsi="Arial" w:cs="Arial"/>
          <w:sz w:val="22"/>
        </w:rPr>
        <w:t>退渔还湖</w:t>
      </w:r>
    </w:p>
    <w:p w14:paraId="2D683AFC">
      <w:pPr>
        <w:pStyle w:val="3"/>
        <w:rPr>
          <w:color w:val="1F4E79" w:themeColor="accent5" w:themeShade="80"/>
          <w:sz w:val="24"/>
          <w:lang w:val="en-GB"/>
        </w:rPr>
      </w:pPr>
      <w:bookmarkStart w:id="220" w:name="_Toc119937277"/>
      <w:bookmarkStart w:id="221" w:name="_Toc107747421"/>
      <w:bookmarkStart w:id="222" w:name="_Toc79939248"/>
      <w:r>
        <w:rPr>
          <w:color w:val="1F4E79" w:themeColor="accent5" w:themeShade="80"/>
          <w:sz w:val="24"/>
        </w:rPr>
        <w:t>3.2</w:t>
      </w:r>
      <w:r>
        <w:rPr>
          <w:color w:val="1F4E79" w:themeColor="accent5" w:themeShade="80"/>
          <w:sz w:val="24"/>
        </w:rPr>
        <w:tab/>
      </w:r>
      <w:r>
        <w:rPr>
          <w:color w:val="1F4E79" w:themeColor="accent5" w:themeShade="80"/>
          <w:sz w:val="24"/>
        </w:rPr>
        <w:tab/>
      </w:r>
      <w:r>
        <w:rPr>
          <w:color w:val="1F4E79" w:themeColor="accent5" w:themeShade="80"/>
          <w:sz w:val="24"/>
        </w:rPr>
        <w:t>评价范围</w:t>
      </w:r>
      <w:bookmarkEnd w:id="220"/>
      <w:bookmarkEnd w:id="221"/>
    </w:p>
    <w:bookmarkEnd w:id="222"/>
    <w:p w14:paraId="12ABAE0A">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本项目实体类活动</w:t>
      </w:r>
      <w:r>
        <w:rPr>
          <w:rFonts w:ascii="Arial" w:hAnsi="Arial" w:cs="Arial"/>
          <w:sz w:val="22"/>
        </w:rPr>
        <w:t>：</w:t>
      </w:r>
      <w:r>
        <w:rPr>
          <w:rFonts w:ascii="Arial" w:hAnsi="Arial" w:cs="Arial"/>
          <w:color w:val="000000" w:themeColor="text1"/>
          <w:sz w:val="22"/>
          <w14:textFill>
            <w14:solidFill>
              <w14:schemeClr w14:val="tx1"/>
            </w14:solidFill>
          </w14:textFill>
        </w:rPr>
        <w:t>排除以上环境与社会高风险活动后，本项目将支持以下实体类活动：</w:t>
      </w:r>
      <w:r>
        <w:rPr>
          <w:rFonts w:ascii="Arial" w:hAnsi="Arial" w:cs="Arial"/>
          <w:color w:val="000000" w:themeColor="text1"/>
          <w:sz w:val="22"/>
          <w:lang w:val="en-GB"/>
          <w14:textFill>
            <w14:solidFill>
              <w14:schemeClr w14:val="tx1"/>
            </w14:solidFill>
          </w14:textFill>
        </w:rPr>
        <w:t>1</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农药减量；2</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化肥减量；3</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w:t>
      </w:r>
      <w:r>
        <w:rPr>
          <w:rFonts w:ascii="Arial" w:hAnsi="Arial" w:cs="Arial"/>
          <w:color w:val="000000" w:themeColor="text1"/>
          <w:sz w:val="22"/>
          <w14:textFill>
            <w14:solidFill>
              <w14:schemeClr w14:val="tx1"/>
            </w14:solidFill>
          </w14:textFill>
        </w:rPr>
        <w:t>畜禽粪污处理和资源化利用</w:t>
      </w:r>
      <w:r>
        <w:rPr>
          <w:rFonts w:ascii="Arial" w:hAnsi="Arial" w:cs="Arial"/>
          <w:color w:val="000000" w:themeColor="text1"/>
          <w:sz w:val="22"/>
          <w:lang w:val="en-GB"/>
          <w14:textFill>
            <w14:solidFill>
              <w14:schemeClr w14:val="tx1"/>
            </w14:solidFill>
          </w14:textFill>
        </w:rPr>
        <w:t>；4</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水产养殖尾水治理</w:t>
      </w:r>
      <w:r>
        <w:rPr>
          <w:rFonts w:ascii="Arial" w:hAnsi="Arial" w:cs="Arial"/>
          <w:color w:val="000000" w:themeColor="text1"/>
          <w:sz w:val="22"/>
          <w:szCs w:val="22"/>
          <w:lang w:val="en-GB"/>
          <w14:textFill>
            <w14:solidFill>
              <w14:schemeClr w14:val="tx1"/>
            </w14:solidFill>
          </w14:textFill>
        </w:rPr>
        <w:t>；</w:t>
      </w:r>
      <w:r>
        <w:rPr>
          <w:rFonts w:ascii="Arial" w:hAnsi="Arial" w:cs="Arial"/>
          <w:color w:val="000000" w:themeColor="text1"/>
          <w:sz w:val="22"/>
          <w:lang w:val="en-GB"/>
          <w14:textFill>
            <w14:solidFill>
              <w14:schemeClr w14:val="tx1"/>
            </w14:solidFill>
          </w14:textFill>
        </w:rPr>
        <w:t>5</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14:textFill>
            <w14:solidFill>
              <w14:schemeClr w14:val="tx1"/>
            </w14:solidFill>
          </w14:textFill>
        </w:rPr>
        <w:t xml:space="preserve"> 农村生活污水收集与处理</w:t>
      </w:r>
      <w:r>
        <w:rPr>
          <w:rFonts w:ascii="Arial" w:hAnsi="Arial" w:cs="Arial"/>
          <w:color w:val="000000" w:themeColor="text1"/>
          <w:sz w:val="22"/>
          <w:lang w:val="en-GB"/>
          <w14:textFill>
            <w14:solidFill>
              <w14:schemeClr w14:val="tx1"/>
            </w14:solidFill>
          </w14:textFill>
        </w:rPr>
        <w:t>；6</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农村生活垃圾收集与转运；7</w:t>
      </w:r>
      <w:r>
        <w:rPr>
          <w:rFonts w:hint="eastAsia" w:ascii="Arial" w:hAnsi="Arial" w:cs="Arial"/>
          <w:color w:val="000000" w:themeColor="text1"/>
          <w:sz w:val="22"/>
          <w:lang w:val="en-GB" w:eastAsia="zh-CN"/>
          <w14:textFill>
            <w14:solidFill>
              <w14:schemeClr w14:val="tx1"/>
            </w14:solidFill>
          </w14:textFill>
        </w:rPr>
        <w:t>）</w:t>
      </w:r>
      <w:r>
        <w:rPr>
          <w:rFonts w:ascii="Arial" w:hAnsi="Arial" w:cs="Arial"/>
          <w:color w:val="000000" w:themeColor="text1"/>
          <w:sz w:val="22"/>
          <w:lang w:val="en-GB"/>
          <w14:textFill>
            <w14:solidFill>
              <w14:schemeClr w14:val="tx1"/>
            </w14:solidFill>
          </w14:textFill>
        </w:rPr>
        <w:t xml:space="preserve"> 酸化或重金属污染土地修复、土壤改良、</w:t>
      </w:r>
      <w:r>
        <w:rPr>
          <w:rFonts w:ascii="Arial" w:hAnsi="Arial" w:cs="Arial"/>
          <w:color w:val="000000" w:themeColor="text1"/>
          <w:sz w:val="22"/>
          <w14:textFill>
            <w14:solidFill>
              <w14:schemeClr w14:val="tx1"/>
            </w14:solidFill>
          </w14:textFill>
        </w:rPr>
        <w:t>秸秆还田</w:t>
      </w:r>
      <w:r>
        <w:rPr>
          <w:rFonts w:ascii="Arial" w:hAnsi="Arial" w:cs="Arial"/>
          <w:color w:val="000000" w:themeColor="text1"/>
          <w:sz w:val="22"/>
          <w:szCs w:val="22"/>
          <w:lang w:val="en-GB"/>
          <w14:textFill>
            <w14:solidFill>
              <w14:schemeClr w14:val="tx1"/>
            </w14:solidFill>
          </w14:textFill>
        </w:rPr>
        <w:t>等</w:t>
      </w:r>
      <w:r>
        <w:rPr>
          <w:rFonts w:ascii="Arial" w:hAnsi="Arial" w:cs="Arial"/>
          <w:color w:val="000000" w:themeColor="text1"/>
          <w:sz w:val="22"/>
          <w14:textFill>
            <w14:solidFill>
              <w14:schemeClr w14:val="tx1"/>
            </w14:solidFill>
          </w14:textFill>
        </w:rPr>
        <w:t>。</w:t>
      </w:r>
      <w:r>
        <w:rPr>
          <w:rFonts w:ascii="Arial" w:hAnsi="Arial" w:cs="Arial"/>
          <w:sz w:val="22"/>
        </w:rPr>
        <w:t>这些活动的施工和运行会产生不同程度的直接或间接环境与社会影响。</w:t>
      </w:r>
    </w:p>
    <w:p w14:paraId="5F407CF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223" w:name="_Toc107747422"/>
      <w:r>
        <w:rPr>
          <w:rFonts w:ascii="Arial" w:hAnsi="Arial" w:cs="Arial"/>
          <w:b/>
          <w:bCs/>
          <w:sz w:val="22"/>
        </w:rPr>
        <w:t>本项目</w:t>
      </w:r>
      <w:r>
        <w:rPr>
          <w:rFonts w:ascii="Arial" w:hAnsi="Arial" w:cs="Arial"/>
          <w:b/>
          <w:bCs/>
          <w:sz w:val="22"/>
          <w:lang w:val="en-GB"/>
        </w:rPr>
        <w:t>技援类</w:t>
      </w:r>
      <w:r>
        <w:rPr>
          <w:rFonts w:ascii="Arial" w:hAnsi="Arial" w:cs="Arial"/>
          <w:b/>
          <w:bCs/>
          <w:sz w:val="22"/>
        </w:rPr>
        <w:t>活动</w:t>
      </w:r>
      <w:r>
        <w:rPr>
          <w:rFonts w:ascii="Arial" w:hAnsi="Arial" w:cs="Arial"/>
          <w:sz w:val="22"/>
        </w:rPr>
        <w:t>：本项目还包括政策研究、教育培训等软性活动，包括：1</w:t>
      </w:r>
      <w:r>
        <w:rPr>
          <w:rFonts w:hint="eastAsia" w:ascii="Arial" w:hAnsi="Arial" w:cs="Arial"/>
          <w:sz w:val="22"/>
          <w:lang w:eastAsia="zh-CN"/>
        </w:rPr>
        <w:t>）</w:t>
      </w:r>
      <w:r>
        <w:rPr>
          <w:rFonts w:ascii="Arial" w:hAnsi="Arial" w:cs="Arial"/>
          <w:sz w:val="22"/>
        </w:rPr>
        <w:t xml:space="preserve"> 开发信息化平台，绘制农村基础设施和公共服务地图；2</w:t>
      </w:r>
      <w:r>
        <w:rPr>
          <w:rFonts w:hint="eastAsia" w:ascii="Arial" w:hAnsi="Arial" w:cs="Arial"/>
          <w:sz w:val="22"/>
          <w:lang w:eastAsia="zh-CN"/>
        </w:rPr>
        <w:t>）</w:t>
      </w:r>
      <w:r>
        <w:rPr>
          <w:rFonts w:ascii="Arial" w:hAnsi="Arial" w:cs="Arial"/>
          <w:sz w:val="22"/>
        </w:rPr>
        <w:t xml:space="preserve"> 制定农业温室气体减排监测、报告与核验方法</w:t>
      </w:r>
      <w:r>
        <w:rPr>
          <w:rFonts w:hint="eastAsia" w:ascii="Arial" w:hAnsi="Arial" w:cs="Arial"/>
          <w:sz w:val="22"/>
        </w:rPr>
        <w:t>；</w:t>
      </w:r>
      <w:r>
        <w:rPr>
          <w:rFonts w:hint="eastAsia"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制定关于良好农业实践、基础设施和公共服务的规章、标准和指南；</w:t>
      </w:r>
      <w:r>
        <w:rPr>
          <w:rFonts w:hint="eastAsia" w:ascii="Arial" w:hAnsi="Arial" w:cs="Arial"/>
          <w:sz w:val="22"/>
          <w:lang w:val="en-GB"/>
        </w:rPr>
        <w:t>4</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建立预算、支出和报告绿色标签机制；</w:t>
      </w:r>
      <w:r>
        <w:rPr>
          <w:rFonts w:hint="eastAsia" w:ascii="Arial" w:hAnsi="Arial" w:cs="Arial"/>
          <w:sz w:val="22"/>
          <w:lang w:val="en-GB"/>
        </w:rPr>
        <w:t>5</w:t>
      </w:r>
      <w:r>
        <w:rPr>
          <w:rFonts w:hint="eastAsia" w:ascii="Arial" w:hAnsi="Arial" w:cs="Arial"/>
          <w:sz w:val="22"/>
          <w:lang w:val="en-GB" w:eastAsia="zh-CN"/>
        </w:rPr>
        <w:t>）</w:t>
      </w:r>
      <w:r>
        <w:rPr>
          <w:rFonts w:ascii="Arial" w:hAnsi="Arial" w:cs="Arial"/>
          <w:sz w:val="22"/>
          <w:lang w:val="en-GB"/>
        </w:rPr>
        <w:t xml:space="preserve"> 实施</w:t>
      </w:r>
      <w:r>
        <w:rPr>
          <w:rFonts w:ascii="Arial" w:hAnsi="Arial" w:cs="Arial"/>
          <w:sz w:val="22"/>
        </w:rPr>
        <w:t>国家信息化平台，绘制农村基础设施和公共服务地图；</w:t>
      </w:r>
      <w:r>
        <w:rPr>
          <w:rFonts w:hint="eastAsia" w:ascii="Arial" w:hAnsi="Arial" w:cs="Arial"/>
          <w:sz w:val="22"/>
          <w:lang w:val="en-GB"/>
        </w:rPr>
        <w:t>6</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建立培养绿色发展技能和人才的框架；</w:t>
      </w:r>
      <w:r>
        <w:rPr>
          <w:rFonts w:hint="eastAsia" w:ascii="Arial" w:hAnsi="Arial" w:cs="Arial"/>
          <w:sz w:val="22"/>
          <w:lang w:val="en-GB"/>
        </w:rPr>
        <w:t>7</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为农民合作社、农民协会、用水户协会、农资供应商、农业企业和农技推广人员提供培训</w:t>
      </w:r>
      <w:r>
        <w:rPr>
          <w:rFonts w:ascii="Arial" w:hAnsi="Arial" w:cs="Arial"/>
          <w:sz w:val="22"/>
          <w:lang w:val="en-GB"/>
        </w:rPr>
        <w:t>；</w:t>
      </w:r>
      <w:r>
        <w:rPr>
          <w:rFonts w:hint="eastAsia" w:ascii="Arial" w:hAnsi="Arial" w:cs="Arial"/>
          <w:sz w:val="22"/>
          <w:lang w:val="en-GB"/>
        </w:rPr>
        <w:t>8</w:t>
      </w:r>
      <w:r>
        <w:rPr>
          <w:rFonts w:hint="eastAsia" w:ascii="Arial" w:hAnsi="Arial" w:cs="Arial"/>
          <w:sz w:val="22"/>
          <w:lang w:val="en-GB" w:eastAsia="zh-CN"/>
        </w:rPr>
        <w:t>）</w:t>
      </w:r>
      <w:r>
        <w:rPr>
          <w:rFonts w:ascii="Arial" w:hAnsi="Arial" w:cs="Arial"/>
          <w:sz w:val="22"/>
          <w:lang w:val="en-GB"/>
        </w:rPr>
        <w:t xml:space="preserve"> 实施</w:t>
      </w:r>
      <w:r>
        <w:rPr>
          <w:rFonts w:ascii="Arial" w:hAnsi="Arial" w:cs="Arial"/>
          <w:sz w:val="22"/>
        </w:rPr>
        <w:t>农业农村温室气体减排监测、报告与核验机制</w:t>
      </w:r>
      <w:r>
        <w:rPr>
          <w:rFonts w:ascii="Arial" w:hAnsi="Arial" w:cs="Arial"/>
          <w:sz w:val="22"/>
          <w:lang w:val="en-GB"/>
        </w:rPr>
        <w:t>；</w:t>
      </w:r>
      <w:r>
        <w:rPr>
          <w:rFonts w:hint="eastAsia" w:ascii="Arial" w:hAnsi="Arial" w:cs="Arial"/>
          <w:sz w:val="22"/>
          <w:lang w:val="en-GB"/>
        </w:rPr>
        <w:t>9</w:t>
      </w:r>
      <w:r>
        <w:rPr>
          <w:rFonts w:hint="eastAsia" w:ascii="Arial" w:hAnsi="Arial" w:cs="Arial"/>
          <w:sz w:val="22"/>
          <w:lang w:val="en-GB" w:eastAsia="zh-CN"/>
        </w:rPr>
        <w:t>）</w:t>
      </w:r>
      <w:r>
        <w:rPr>
          <w:rFonts w:ascii="Arial" w:hAnsi="Arial" w:cs="Arial"/>
          <w:sz w:val="22"/>
          <w:lang w:val="en-GB"/>
        </w:rPr>
        <w:t xml:space="preserve"> 制定综合乡村发展空间规划；</w:t>
      </w:r>
      <w:r>
        <w:rPr>
          <w:rFonts w:hint="eastAsia" w:ascii="Arial" w:hAnsi="Arial" w:cs="Arial"/>
          <w:sz w:val="22"/>
          <w:lang w:val="en-GB"/>
        </w:rPr>
        <w:t>10</w:t>
      </w:r>
      <w:r>
        <w:rPr>
          <w:rFonts w:hint="eastAsia" w:ascii="Arial" w:hAnsi="Arial" w:cs="Arial"/>
          <w:sz w:val="22"/>
          <w:lang w:val="en-GB" w:eastAsia="zh-CN"/>
        </w:rPr>
        <w:t>）</w:t>
      </w:r>
      <w:r>
        <w:rPr>
          <w:rFonts w:ascii="Arial" w:hAnsi="Arial" w:cs="Arial"/>
          <w:sz w:val="22"/>
          <w:lang w:val="en-GB"/>
        </w:rPr>
        <w:t xml:space="preserve"> 提供有关污水和固体垃圾管理系统的运维培训；</w:t>
      </w:r>
      <w:r>
        <w:rPr>
          <w:rFonts w:hint="eastAsia" w:ascii="Arial" w:hAnsi="Arial" w:cs="Arial"/>
          <w:sz w:val="22"/>
          <w:lang w:val="en-GB"/>
        </w:rPr>
        <w:t>11</w:t>
      </w:r>
      <w:r>
        <w:rPr>
          <w:rFonts w:hint="eastAsia" w:ascii="Arial" w:hAnsi="Arial" w:cs="Arial"/>
          <w:sz w:val="22"/>
          <w:lang w:val="en-GB" w:eastAsia="zh-CN"/>
        </w:rPr>
        <w:t>）</w:t>
      </w:r>
      <w:r>
        <w:rPr>
          <w:rFonts w:ascii="Arial" w:hAnsi="Arial" w:cs="Arial"/>
          <w:sz w:val="22"/>
          <w:lang w:val="en-GB"/>
        </w:rPr>
        <w:t xml:space="preserve"> 编制农业生态系统可持续管理计划</w:t>
      </w:r>
      <w:r>
        <w:rPr>
          <w:rFonts w:ascii="Arial" w:hAnsi="Arial" w:cs="Arial"/>
          <w:sz w:val="22"/>
        </w:rPr>
        <w:t>等。开展这些活动本身的直接环境与社会影响很小，但其成果付诸实施后，可能产生不同程度的间接的下游环境与社会效应。</w:t>
      </w:r>
    </w:p>
    <w:p w14:paraId="4806E692">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关联/相关设施/活动</w:t>
      </w:r>
      <w:r>
        <w:rPr>
          <w:rFonts w:ascii="Arial" w:hAnsi="Arial" w:cs="Arial"/>
          <w:sz w:val="22"/>
        </w:rPr>
        <w:t>：本项目不存在世行《环境与社会框架》</w:t>
      </w:r>
      <w:r>
        <w:rPr>
          <w:rFonts w:hint="eastAsia" w:ascii="Arial" w:hAnsi="Arial" w:cs="Arial"/>
          <w:sz w:val="22"/>
          <w:lang w:val="en-GB" w:eastAsia="zh-CN"/>
        </w:rPr>
        <w:t>（</w:t>
      </w:r>
      <w:r>
        <w:rPr>
          <w:rFonts w:ascii="Arial" w:hAnsi="Arial" w:cs="Arial"/>
          <w:sz w:val="22"/>
        </w:rPr>
        <w:t>ESF</w:t>
      </w:r>
      <w:r>
        <w:rPr>
          <w:rFonts w:hint="eastAsia" w:ascii="Arial" w:hAnsi="Arial" w:cs="Arial"/>
          <w:sz w:val="22"/>
          <w:lang w:eastAsia="zh-CN"/>
        </w:rPr>
        <w:t>）</w:t>
      </w:r>
      <w:r>
        <w:rPr>
          <w:rFonts w:ascii="Arial" w:hAnsi="Arial" w:cs="Arial"/>
          <w:sz w:val="22"/>
        </w:rPr>
        <w:t xml:space="preserve"> 政策所定义的关联设施或活动；另外，根据世行《结果导向型贷款环境与社会管理系统评估指南》的定义，P</w:t>
      </w:r>
      <w:r>
        <w:rPr>
          <w:rFonts w:ascii="Arial" w:hAnsi="Arial" w:cs="Arial"/>
          <w:sz w:val="22"/>
          <w:lang w:val="en-GB"/>
        </w:rPr>
        <w:t>forR</w:t>
      </w:r>
      <w:r>
        <w:rPr>
          <w:rFonts w:ascii="Arial" w:hAnsi="Arial" w:cs="Arial"/>
          <w:sz w:val="22"/>
        </w:rPr>
        <w:t>项目的关联设施或活动是指实现项目目标所必需的但并未明确定义为本项目的活动或未纳入支付框架的活动，因此本项目也不存在P</w:t>
      </w:r>
      <w:r>
        <w:rPr>
          <w:rFonts w:ascii="Arial" w:hAnsi="Arial" w:cs="Arial"/>
          <w:sz w:val="22"/>
          <w:lang w:val="en-GB"/>
        </w:rPr>
        <w:t>forR</w:t>
      </w:r>
      <w:r>
        <w:rPr>
          <w:rFonts w:ascii="Arial" w:hAnsi="Arial" w:cs="Arial"/>
          <w:sz w:val="22"/>
        </w:rPr>
        <w:t>项目的关联设施或活动。根据环境与社会尽职调查，本项目涉及一些下游既有设施</w:t>
      </w:r>
      <w:r>
        <w:rPr>
          <w:rFonts w:ascii="Arial" w:hAnsi="Arial" w:cs="Arial"/>
          <w:sz w:val="22"/>
          <w:lang w:val="en-GB"/>
        </w:rPr>
        <w:t>/</w:t>
      </w:r>
      <w:r>
        <w:rPr>
          <w:rFonts w:ascii="Arial" w:hAnsi="Arial" w:cs="Arial"/>
          <w:sz w:val="22"/>
        </w:rPr>
        <w:t>活动包括：</w:t>
      </w:r>
      <w:r>
        <w:rPr>
          <w:rFonts w:hint="eastAsia" w:ascii="Arial" w:hAnsi="Arial" w:cs="Arial"/>
          <w:sz w:val="22"/>
          <w:lang w:val="en-GB" w:eastAsia="zh-CN"/>
        </w:rPr>
        <w:t>（</w:t>
      </w:r>
      <w:r>
        <w:rPr>
          <w:rFonts w:ascii="Arial" w:hAnsi="Arial" w:cs="Arial"/>
          <w:sz w:val="22"/>
        </w:rPr>
        <w:t>1</w:t>
      </w:r>
      <w:r>
        <w:rPr>
          <w:rFonts w:hint="eastAsia" w:ascii="Arial" w:hAnsi="Arial" w:cs="Arial"/>
          <w:sz w:val="22"/>
          <w:lang w:eastAsia="zh-CN"/>
        </w:rPr>
        <w:t>）</w:t>
      </w:r>
      <w:r>
        <w:rPr>
          <w:rFonts w:ascii="Arial" w:hAnsi="Arial" w:cs="Arial"/>
          <w:sz w:val="22"/>
        </w:rPr>
        <w:t xml:space="preserve"> 农村污水处理设施产生的少量污泥直接还田；</w:t>
      </w:r>
      <w:r>
        <w:rPr>
          <w:rFonts w:hint="eastAsia" w:ascii="Arial" w:hAnsi="Arial" w:cs="Arial"/>
          <w:sz w:val="22"/>
          <w:lang w:val="en-GB" w:eastAsia="zh-CN"/>
        </w:rPr>
        <w:t>（</w:t>
      </w:r>
      <w:r>
        <w:rPr>
          <w:rFonts w:ascii="Arial" w:hAnsi="Arial" w:cs="Arial"/>
          <w:sz w:val="22"/>
        </w:rPr>
        <w:t>2</w:t>
      </w:r>
      <w:r>
        <w:rPr>
          <w:rFonts w:hint="eastAsia" w:ascii="Arial" w:hAnsi="Arial" w:cs="Arial"/>
          <w:sz w:val="22"/>
          <w:lang w:eastAsia="zh-CN"/>
        </w:rPr>
        <w:t>）</w:t>
      </w:r>
      <w:r>
        <w:rPr>
          <w:rFonts w:ascii="Arial" w:hAnsi="Arial" w:cs="Arial"/>
          <w:sz w:val="22"/>
        </w:rPr>
        <w:t xml:space="preserve"> 收集的生活垃圾送至现有卫生填埋场或焚烧发电厂进行最终处置；</w:t>
      </w:r>
      <w:r>
        <w:rPr>
          <w:rFonts w:hint="eastAsia" w:ascii="Arial" w:hAnsi="Arial" w:cs="Arial"/>
          <w:sz w:val="22"/>
          <w:lang w:val="en-GB"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畜禽粪污处理产生的肥料将直接还田或作为原料生产商品有机肥投放市场。这些下游相关设施/活动会涉及间接的环境与社会影响。</w:t>
      </w:r>
    </w:p>
    <w:p w14:paraId="4BC85CE2">
      <w:pPr>
        <w:pStyle w:val="3"/>
        <w:rPr>
          <w:color w:val="1F4E79" w:themeColor="accent5" w:themeShade="80"/>
          <w:sz w:val="24"/>
        </w:rPr>
      </w:pPr>
      <w:bookmarkStart w:id="224" w:name="_Toc119937278"/>
      <w:r>
        <w:rPr>
          <w:color w:val="1F4E79" w:themeColor="accent5" w:themeShade="80"/>
          <w:sz w:val="24"/>
        </w:rPr>
        <w:t>3</w:t>
      </w:r>
      <w:r>
        <w:rPr>
          <w:color w:val="1F4E79" w:themeColor="accent5" w:themeShade="80"/>
          <w:sz w:val="24"/>
          <w:lang w:val="en-GB"/>
        </w:rPr>
        <w:t>.3</w:t>
      </w:r>
      <w:r>
        <w:rPr>
          <w:color w:val="1F4E79" w:themeColor="accent5" w:themeShade="80"/>
          <w:sz w:val="24"/>
          <w:lang w:val="en-GB"/>
        </w:rPr>
        <w:tab/>
      </w:r>
      <w:r>
        <w:rPr>
          <w:color w:val="1F4E79" w:themeColor="accent5" w:themeShade="80"/>
          <w:sz w:val="24"/>
          <w:lang w:val="en-GB"/>
        </w:rPr>
        <w:tab/>
      </w:r>
      <w:r>
        <w:rPr>
          <w:color w:val="1F4E79" w:themeColor="accent5" w:themeShade="80"/>
          <w:sz w:val="24"/>
        </w:rPr>
        <w:t>环境与社会效益</w:t>
      </w:r>
      <w:bookmarkEnd w:id="223"/>
      <w:bookmarkEnd w:id="224"/>
    </w:p>
    <w:p w14:paraId="60A02EE1">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sz w:val="22"/>
        </w:rPr>
        <w:t>本项目通过实施农药与化肥减量、秸秆综合利用、农村生活污水和垃圾处理、畜禽粪污处理与资源化利用、水产养殖尾水治理、酸化和重金属污染农用土地修复等活动，将对湖南和湖北两省的区域环境与社会带来巨大的正面效益，如缓解土壤、地表水和地下水污染，修复和保护生态环境，提升农产品安全和质量，改善农村居住环境改善等。</w:t>
      </w:r>
    </w:p>
    <w:p w14:paraId="7C335356">
      <w:pPr>
        <w:pStyle w:val="3"/>
        <w:rPr>
          <w:color w:val="1F4E79" w:themeColor="accent5" w:themeShade="80"/>
          <w:sz w:val="24"/>
        </w:rPr>
      </w:pPr>
      <w:bookmarkStart w:id="225" w:name="_Toc107747423"/>
      <w:bookmarkStart w:id="226" w:name="_Toc119937279"/>
      <w:r>
        <w:rPr>
          <w:color w:val="1F4E79" w:themeColor="accent5" w:themeShade="80"/>
          <w:sz w:val="24"/>
        </w:rPr>
        <w:t>3.4</w:t>
      </w:r>
      <w:r>
        <w:rPr>
          <w:color w:val="1F4E79" w:themeColor="accent5" w:themeShade="80"/>
          <w:sz w:val="24"/>
        </w:rPr>
        <w:tab/>
      </w:r>
      <w:r>
        <w:rPr>
          <w:color w:val="1F4E79" w:themeColor="accent5" w:themeShade="80"/>
          <w:sz w:val="24"/>
        </w:rPr>
        <w:tab/>
      </w:r>
      <w:r>
        <w:rPr>
          <w:color w:val="1F4E79" w:themeColor="accent5" w:themeShade="80"/>
          <w:sz w:val="24"/>
        </w:rPr>
        <w:t>环境与社会影响</w:t>
      </w:r>
      <w:bookmarkEnd w:id="225"/>
      <w:bookmarkEnd w:id="226"/>
    </w:p>
    <w:p w14:paraId="5811162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227" w:name="_Toc107747424"/>
      <w:r>
        <w:rPr>
          <w:rFonts w:ascii="Arial" w:hAnsi="Arial" w:cs="Arial"/>
          <w:sz w:val="22"/>
        </w:rPr>
        <w:t>本项目实施也会产生一定程度的不利环境或社会影响，将在以下各节进行综合性描述，各类典型活动的相关评价见</w:t>
      </w:r>
      <w:r>
        <w:rPr>
          <w:rFonts w:ascii="Arial" w:hAnsi="Arial" w:cs="Arial"/>
          <w:b/>
          <w:bCs/>
          <w:sz w:val="22"/>
        </w:rPr>
        <w:t>附件2</w:t>
      </w:r>
      <w:r>
        <w:rPr>
          <w:rFonts w:ascii="Arial" w:hAnsi="Arial" w:cs="Arial"/>
          <w:sz w:val="22"/>
          <w:lang w:val="en-GB"/>
        </w:rPr>
        <w:t>。实施过程中各个项目活动具体的环境与社会影响将在相应的环境影响评价（以下简称环评）文件和社会稳定风险评估（以下简称稳评）文件中加以论述。</w:t>
      </w:r>
    </w:p>
    <w:p w14:paraId="228AF4FD">
      <w:pPr>
        <w:pStyle w:val="48"/>
        <w:adjustRightInd w:val="0"/>
        <w:snapToGrid w:val="0"/>
        <w:spacing w:before="120" w:after="120"/>
        <w:ind w:left="420" w:firstLineChars="0"/>
        <w:rPr>
          <w:rFonts w:ascii="Arial" w:hAnsi="Arial" w:cs="Arial"/>
          <w:b/>
          <w:bCs/>
          <w:color w:val="1F4E79" w:themeColor="accent5" w:themeShade="80"/>
          <w:sz w:val="22"/>
        </w:rPr>
      </w:pPr>
      <w:r>
        <w:rPr>
          <w:rFonts w:hint="eastAsia" w:ascii="Arial" w:hAnsi="Arial" w:cs="Arial"/>
          <w:b/>
          <w:bCs/>
          <w:color w:val="1F4E79" w:themeColor="accent5" w:themeShade="80"/>
          <w:sz w:val="22"/>
        </w:rPr>
        <w:t>直接影响</w:t>
      </w:r>
      <w:bookmarkEnd w:id="227"/>
    </w:p>
    <w:p w14:paraId="47E5513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bCs/>
          <w:sz w:val="22"/>
        </w:rPr>
      </w:pPr>
      <w:r>
        <w:rPr>
          <w:rFonts w:ascii="Arial" w:hAnsi="Arial" w:cs="Arial"/>
          <w:sz w:val="22"/>
        </w:rPr>
        <w:t>本项目下各类</w:t>
      </w:r>
      <w:r>
        <w:rPr>
          <w:rFonts w:ascii="Arial" w:hAnsi="Arial" w:cs="Arial"/>
          <w:bCs/>
          <w:sz w:val="22"/>
        </w:rPr>
        <w:t>实体活动</w:t>
      </w:r>
      <w:r>
        <w:rPr>
          <w:rFonts w:ascii="Arial" w:hAnsi="Arial" w:cs="Arial"/>
          <w:sz w:val="22"/>
        </w:rPr>
        <w:t>的施工、运行或实施会产生不同程度的直接环境与社会影响，如下文所示，常规的消减措施见</w:t>
      </w:r>
      <w:r>
        <w:rPr>
          <w:rFonts w:ascii="Arial" w:hAnsi="Arial" w:cs="Arial"/>
          <w:b/>
          <w:bCs/>
          <w:sz w:val="22"/>
        </w:rPr>
        <w:t>附件8</w:t>
      </w:r>
      <w:r>
        <w:rPr>
          <w:rFonts w:ascii="Arial" w:hAnsi="Arial" w:cs="Arial"/>
          <w:sz w:val="22"/>
        </w:rPr>
        <w:t>。</w:t>
      </w:r>
    </w:p>
    <w:p w14:paraId="4368C959">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主要的环境影响</w:t>
      </w:r>
      <w:r>
        <w:rPr>
          <w:rFonts w:ascii="Arial" w:hAnsi="Arial" w:cs="Arial"/>
          <w:sz w:val="22"/>
        </w:rPr>
        <w:t>：</w:t>
      </w:r>
    </w:p>
    <w:p w14:paraId="26014189">
      <w:pPr>
        <w:pStyle w:val="48"/>
        <w:numPr>
          <w:ilvl w:val="0"/>
          <w:numId w:val="7"/>
        </w:numPr>
        <w:snapToGrid w:val="0"/>
        <w:ind w:left="851" w:hanging="851" w:firstLineChars="0"/>
        <w:jc w:val="both"/>
        <w:rPr>
          <w:rFonts w:ascii="Arial" w:hAnsi="Arial" w:cs="Arial"/>
          <w:bCs/>
          <w:sz w:val="22"/>
        </w:rPr>
      </w:pPr>
      <w:r>
        <w:rPr>
          <w:rFonts w:ascii="Arial" w:hAnsi="Arial" w:cs="Arial"/>
          <w:b/>
          <w:sz w:val="22"/>
        </w:rPr>
        <w:t>污染影响：</w:t>
      </w:r>
      <w:r>
        <w:rPr>
          <w:rFonts w:hint="eastAsia" w:ascii="Arial" w:hAnsi="Arial" w:cs="Arial"/>
          <w:bCs/>
          <w:sz w:val="22"/>
          <w:lang w:val="en-GB" w:eastAsia="zh-CN"/>
        </w:rPr>
        <w:t>（</w:t>
      </w:r>
      <w:r>
        <w:rPr>
          <w:rFonts w:ascii="Arial" w:hAnsi="Arial" w:cs="Arial"/>
          <w:bCs/>
          <w:sz w:val="22"/>
          <w:lang w:val="en-GB"/>
        </w:rPr>
        <w:t>1</w:t>
      </w:r>
      <w:r>
        <w:rPr>
          <w:rFonts w:hint="eastAsia" w:ascii="Arial" w:hAnsi="Arial" w:cs="Arial"/>
          <w:bCs/>
          <w:sz w:val="22"/>
          <w:lang w:val="en-GB" w:eastAsia="zh-CN"/>
        </w:rPr>
        <w:t>）</w:t>
      </w:r>
      <w:r>
        <w:rPr>
          <w:rFonts w:ascii="Arial" w:hAnsi="Arial" w:cs="Arial"/>
          <w:bCs/>
          <w:sz w:val="22"/>
          <w:lang w:val="en-GB"/>
        </w:rPr>
        <w:t xml:space="preserve"> </w:t>
      </w:r>
      <w:r>
        <w:rPr>
          <w:rFonts w:ascii="Arial" w:hAnsi="Arial" w:cs="Arial"/>
          <w:b/>
          <w:sz w:val="22"/>
          <w:lang w:val="en-GB"/>
        </w:rPr>
        <w:t>设施</w:t>
      </w:r>
      <w:r>
        <w:rPr>
          <w:rFonts w:ascii="Arial" w:hAnsi="Arial" w:cs="Arial"/>
          <w:b/>
          <w:sz w:val="22"/>
        </w:rPr>
        <w:t>施工期</w:t>
      </w:r>
      <w:r>
        <w:rPr>
          <w:rFonts w:ascii="Arial" w:hAnsi="Arial" w:cs="Arial"/>
          <w:bCs/>
          <w:sz w:val="22"/>
        </w:rPr>
        <w:t>：施工活动会产生扬尘、噪声、废水、建筑垃圾、弃土弃渣等潜在的污染问题，但这些</w:t>
      </w:r>
      <w:r>
        <w:rPr>
          <w:rFonts w:ascii="Arial" w:hAnsi="Arial" w:cs="Arial"/>
          <w:bCs/>
          <w:color w:val="000000" w:themeColor="text1"/>
          <w:sz w:val="22"/>
          <w14:textFill>
            <w14:solidFill>
              <w14:schemeClr w14:val="tx1"/>
            </w14:solidFill>
          </w14:textFill>
        </w:rPr>
        <w:t>影响都是短期、暂时的，且规模不大，仅局限于施工现场附近，通过良好的技术和施工管理措施可以妥善消减，并在施工结束后</w:t>
      </w:r>
      <w:r>
        <w:rPr>
          <w:rFonts w:ascii="Arial" w:hAnsi="Arial" w:cs="Arial"/>
          <w:color w:val="000000" w:themeColor="text1"/>
          <w:sz w:val="22"/>
          <w14:textFill>
            <w14:solidFill>
              <w14:schemeClr w14:val="tx1"/>
            </w14:solidFill>
          </w14:textFill>
        </w:rPr>
        <w:t>随即消失。</w:t>
      </w:r>
      <w:r>
        <w:rPr>
          <w:rFonts w:hint="eastAsia" w:ascii="Arial" w:hAnsi="Arial" w:cs="Arial"/>
          <w:bCs/>
          <w:sz w:val="22"/>
          <w:lang w:eastAsia="zh-CN"/>
        </w:rPr>
        <w:t>（</w:t>
      </w:r>
      <w:r>
        <w:rPr>
          <w:rFonts w:ascii="Arial" w:hAnsi="Arial" w:cs="Arial"/>
          <w:bCs/>
          <w:sz w:val="22"/>
        </w:rPr>
        <w:t>2</w:t>
      </w:r>
      <w:r>
        <w:rPr>
          <w:rFonts w:hint="eastAsia" w:ascii="Arial" w:hAnsi="Arial" w:cs="Arial"/>
          <w:bCs/>
          <w:sz w:val="22"/>
          <w:lang w:eastAsia="zh-CN"/>
        </w:rPr>
        <w:t>）</w:t>
      </w:r>
      <w:r>
        <w:rPr>
          <w:rFonts w:ascii="Arial" w:hAnsi="Arial" w:cs="Arial"/>
          <w:bCs/>
          <w:sz w:val="22"/>
        </w:rPr>
        <w:t xml:space="preserve"> </w:t>
      </w:r>
      <w:r>
        <w:rPr>
          <w:rFonts w:ascii="Arial" w:hAnsi="Arial" w:cs="Arial"/>
          <w:b/>
          <w:sz w:val="22"/>
          <w:lang w:val="en-GB"/>
        </w:rPr>
        <w:t>设施</w:t>
      </w:r>
      <w:r>
        <w:rPr>
          <w:rFonts w:ascii="Arial" w:hAnsi="Arial" w:cs="Arial"/>
          <w:b/>
          <w:sz w:val="22"/>
        </w:rPr>
        <w:t>运行期</w:t>
      </w:r>
      <w:r>
        <w:rPr>
          <w:rFonts w:ascii="Arial" w:hAnsi="Arial" w:cs="Arial"/>
          <w:bCs/>
          <w:sz w:val="22"/>
        </w:rPr>
        <w:t>：农村生活污水处理设施运行会产生臭气、污泥、超标污水；农村生活垃圾收集和转运会产生恶臭、渗滤液；畜禽粪污处理与资源化利用会产生恶臭、废水、沼渣、沼液；水产养殖尾水处理会产生不达标排水等。</w:t>
      </w:r>
      <w:r>
        <w:rPr>
          <w:rFonts w:hint="eastAsia" w:ascii="Arial" w:hAnsi="Arial" w:cs="Arial"/>
          <w:bCs/>
          <w:sz w:val="22"/>
          <w:lang w:eastAsia="zh-CN"/>
        </w:rPr>
        <w:t>（</w:t>
      </w:r>
      <w:r>
        <w:rPr>
          <w:rFonts w:ascii="Arial" w:hAnsi="Arial" w:cs="Arial"/>
          <w:bCs/>
          <w:sz w:val="22"/>
        </w:rPr>
        <w:t>3</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农业生产期</w:t>
      </w:r>
      <w:r>
        <w:rPr>
          <w:rFonts w:ascii="Arial" w:hAnsi="Arial" w:cs="Arial"/>
          <w:bCs/>
          <w:sz w:val="22"/>
        </w:rPr>
        <w:t xml:space="preserve">：种植业生产中化肥流失造成面源污染尤其是水体富营养化，农药施用和管理不当会污染环境、影响食品安全、威胁人类健康等。 </w:t>
      </w:r>
      <w:r>
        <w:rPr>
          <w:rFonts w:hint="eastAsia" w:ascii="Arial" w:hAnsi="Arial" w:cs="Arial"/>
          <w:bCs/>
          <w:sz w:val="22"/>
          <w:lang w:eastAsia="zh-CN"/>
        </w:rPr>
        <w:t>（</w:t>
      </w:r>
      <w:r>
        <w:rPr>
          <w:rFonts w:ascii="Arial" w:hAnsi="Arial" w:cs="Arial"/>
          <w:bCs/>
          <w:sz w:val="22"/>
        </w:rPr>
        <w:t>4</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土壤治理期</w:t>
      </w:r>
      <w:r>
        <w:rPr>
          <w:rFonts w:ascii="Arial" w:hAnsi="Arial" w:cs="Arial"/>
          <w:bCs/>
          <w:sz w:val="22"/>
        </w:rPr>
        <w:t>：</w:t>
      </w:r>
      <w:r>
        <w:rPr>
          <w:rFonts w:ascii="Arial" w:hAnsi="Arial" w:cs="Arial"/>
          <w:color w:val="000000"/>
          <w:sz w:val="22"/>
          <w:szCs w:val="22"/>
        </w:rPr>
        <w:t>治理退化或污染农用土地时施用不合格的钝化剂或有机肥可能给农田土壤带来重金属二次污染、含镉秸秆离田后</w:t>
      </w:r>
      <w:r>
        <w:rPr>
          <w:rFonts w:ascii="Arial" w:hAnsi="Arial" w:cs="Arial"/>
          <w:color w:val="000000" w:themeColor="text1"/>
          <w:sz w:val="22"/>
          <w:szCs w:val="22"/>
          <w14:textFill>
            <w14:solidFill>
              <w14:schemeClr w14:val="tx1"/>
            </w14:solidFill>
          </w14:textFill>
        </w:rPr>
        <w:t>处置不当会污染土壤或</w:t>
      </w:r>
      <w:r>
        <w:rPr>
          <w:rFonts w:ascii="Arial" w:hAnsi="Arial" w:cs="Arial"/>
          <w:color w:val="000000" w:themeColor="text1"/>
          <w:sz w:val="22"/>
          <w14:textFill>
            <w14:solidFill>
              <w14:schemeClr w14:val="tx1"/>
            </w14:solidFill>
          </w14:textFill>
        </w:rPr>
        <w:t>威胁</w:t>
      </w:r>
      <w:r>
        <w:rPr>
          <w:rFonts w:ascii="Arial" w:hAnsi="Arial" w:cs="Arial"/>
          <w:color w:val="000000" w:themeColor="text1"/>
          <w:sz w:val="22"/>
          <w:szCs w:val="22"/>
          <w14:textFill>
            <w14:solidFill>
              <w14:schemeClr w14:val="tx1"/>
            </w14:solidFill>
          </w14:textFill>
        </w:rPr>
        <w:t>食物</w:t>
      </w:r>
      <w:r>
        <w:rPr>
          <w:rFonts w:ascii="Arial" w:hAnsi="Arial" w:cs="Arial"/>
          <w:color w:val="000000" w:themeColor="text1"/>
          <w:sz w:val="22"/>
          <w14:textFill>
            <w14:solidFill>
              <w14:schemeClr w14:val="tx1"/>
            </w14:solidFill>
          </w14:textFill>
        </w:rPr>
        <w:t>安全、镉超标稻米处置不当流入市场会威胁人类健康等。以上</w:t>
      </w:r>
      <w:r>
        <w:rPr>
          <w:rFonts w:ascii="Arial" w:hAnsi="Arial" w:cs="Arial"/>
          <w:bCs/>
          <w:sz w:val="22"/>
        </w:rPr>
        <w:t>这些</w:t>
      </w:r>
      <w:r>
        <w:rPr>
          <w:rFonts w:ascii="Arial" w:hAnsi="Arial" w:cs="Arial"/>
          <w:bCs/>
          <w:color w:val="000000" w:themeColor="text1"/>
          <w:sz w:val="22"/>
          <w14:textFill>
            <w14:solidFill>
              <w14:schemeClr w14:val="tx1"/>
            </w14:solidFill>
          </w14:textFill>
        </w:rPr>
        <w:t>影响均可以预测，并可通过已知的、成熟的技术和管理措施加以减免，不会造成显著的负面环境影响。</w:t>
      </w:r>
    </w:p>
    <w:p w14:paraId="193BF552">
      <w:pPr>
        <w:pStyle w:val="48"/>
        <w:numPr>
          <w:ilvl w:val="0"/>
          <w:numId w:val="7"/>
        </w:numPr>
        <w:snapToGrid w:val="0"/>
        <w:ind w:left="851" w:hanging="851" w:firstLineChars="0"/>
        <w:jc w:val="both"/>
        <w:rPr>
          <w:rFonts w:ascii="Arial" w:hAnsi="Arial" w:cs="Arial"/>
          <w:bCs/>
          <w:sz w:val="22"/>
        </w:rPr>
      </w:pPr>
      <w:r>
        <w:rPr>
          <w:rFonts w:ascii="Arial" w:hAnsi="Arial" w:cs="Arial"/>
          <w:b/>
          <w:sz w:val="22"/>
        </w:rPr>
        <w:t>生态影响</w:t>
      </w:r>
      <w:r>
        <w:rPr>
          <w:rFonts w:ascii="Arial" w:hAnsi="Arial" w:cs="Arial"/>
          <w:bCs/>
          <w:sz w:val="22"/>
        </w:rPr>
        <w:t>：</w:t>
      </w:r>
      <w:r>
        <w:rPr>
          <w:rFonts w:hint="eastAsia" w:ascii="Arial" w:hAnsi="Arial" w:cs="Arial"/>
          <w:bCs/>
          <w:sz w:val="22"/>
          <w:lang w:val="en-GB" w:eastAsia="zh-CN"/>
        </w:rPr>
        <w:t>（</w:t>
      </w:r>
      <w:r>
        <w:rPr>
          <w:rFonts w:ascii="Arial" w:hAnsi="Arial" w:cs="Arial"/>
          <w:bCs/>
          <w:sz w:val="22"/>
          <w:lang w:val="en-GB"/>
        </w:rPr>
        <w:t>1</w:t>
      </w:r>
      <w:r>
        <w:rPr>
          <w:rFonts w:hint="eastAsia" w:ascii="Arial" w:hAnsi="Arial" w:cs="Arial"/>
          <w:bCs/>
          <w:sz w:val="22"/>
          <w:lang w:val="en-GB" w:eastAsia="zh-CN"/>
        </w:rPr>
        <w:t>）</w:t>
      </w:r>
      <w:r>
        <w:rPr>
          <w:rFonts w:ascii="Arial" w:hAnsi="Arial" w:cs="Arial"/>
          <w:bCs/>
          <w:sz w:val="22"/>
          <w:lang w:val="en-GB"/>
        </w:rPr>
        <w:t xml:space="preserve"> </w:t>
      </w:r>
      <w:r>
        <w:rPr>
          <w:rFonts w:ascii="Arial" w:hAnsi="Arial" w:cs="Arial"/>
          <w:b/>
          <w:sz w:val="22"/>
          <w:lang w:val="en-GB"/>
        </w:rPr>
        <w:t>设计</w:t>
      </w:r>
      <w:r>
        <w:rPr>
          <w:rFonts w:ascii="Arial" w:hAnsi="Arial" w:cs="Arial"/>
          <w:b/>
          <w:sz w:val="22"/>
        </w:rPr>
        <w:t>期</w:t>
      </w:r>
      <w:r>
        <w:rPr>
          <w:rFonts w:ascii="Arial" w:hAnsi="Arial" w:cs="Arial"/>
          <w:bCs/>
          <w:sz w:val="22"/>
        </w:rPr>
        <w:t>：本项目实体活动主要位于受人类活动扰动、以人工生态系统为主的农村建成区或农业生产区，且本次评价的排除原则将可能对自然栖息地等环境敏感区产生负面影响的活动排除在项目范围之外，而具体活动环评中也会严格执行生态保护红线制度，工程选址会经过政府部门严格审查，因此不会对重要生态系统形成威胁。</w:t>
      </w:r>
      <w:r>
        <w:rPr>
          <w:rFonts w:hint="eastAsia" w:ascii="Arial" w:hAnsi="Arial" w:cs="Arial"/>
          <w:bCs/>
          <w:sz w:val="22"/>
          <w:lang w:val="en-GB" w:eastAsia="zh-CN"/>
        </w:rPr>
        <w:t>（</w:t>
      </w:r>
      <w:r>
        <w:rPr>
          <w:rFonts w:ascii="Arial" w:hAnsi="Arial" w:cs="Arial"/>
          <w:bCs/>
          <w:sz w:val="22"/>
          <w:lang w:val="en-GB"/>
        </w:rPr>
        <w:t>2</w:t>
      </w:r>
      <w:r>
        <w:rPr>
          <w:rFonts w:hint="eastAsia" w:ascii="Arial" w:hAnsi="Arial" w:cs="Arial"/>
          <w:bCs/>
          <w:sz w:val="22"/>
          <w:lang w:val="en-GB" w:eastAsia="zh-CN"/>
        </w:rPr>
        <w:t>）</w:t>
      </w:r>
      <w:r>
        <w:rPr>
          <w:rFonts w:ascii="Arial" w:hAnsi="Arial" w:cs="Arial"/>
          <w:bCs/>
          <w:sz w:val="22"/>
          <w:lang w:val="en-GB"/>
        </w:rPr>
        <w:t xml:space="preserve"> </w:t>
      </w:r>
      <w:r>
        <w:rPr>
          <w:rFonts w:ascii="Arial" w:hAnsi="Arial" w:cs="Arial"/>
          <w:b/>
          <w:sz w:val="22"/>
        </w:rPr>
        <w:t>施工期</w:t>
      </w:r>
      <w:r>
        <w:rPr>
          <w:rFonts w:ascii="Arial" w:hAnsi="Arial" w:cs="Arial"/>
          <w:bCs/>
          <w:sz w:val="22"/>
        </w:rPr>
        <w:t>：施工活动仅可能扰动施工区少量地表植被或产生局部水土流失，但</w:t>
      </w:r>
      <w:r>
        <w:rPr>
          <w:rFonts w:ascii="Arial" w:hAnsi="Arial" w:cs="Arial"/>
          <w:bCs/>
          <w:color w:val="000000" w:themeColor="text1"/>
          <w:sz w:val="22"/>
          <w14:textFill>
            <w14:solidFill>
              <w14:schemeClr w14:val="tx1"/>
            </w14:solidFill>
          </w14:textFill>
        </w:rPr>
        <w:t>通过实施良好的施工管理措施得到有效消减，</w:t>
      </w:r>
      <w:r>
        <w:rPr>
          <w:rFonts w:ascii="Arial" w:hAnsi="Arial" w:cs="Arial"/>
          <w:bCs/>
          <w:sz w:val="22"/>
        </w:rPr>
        <w:t>且施工结束后即会得到恢复。</w:t>
      </w:r>
      <w:r>
        <w:rPr>
          <w:rFonts w:hint="eastAsia" w:ascii="Arial" w:hAnsi="Arial" w:cs="Arial"/>
          <w:bCs/>
          <w:sz w:val="22"/>
          <w:lang w:eastAsia="zh-CN"/>
        </w:rPr>
        <w:t>（</w:t>
      </w:r>
      <w:r>
        <w:rPr>
          <w:rFonts w:ascii="Arial" w:hAnsi="Arial" w:cs="Arial"/>
          <w:bCs/>
          <w:sz w:val="22"/>
        </w:rPr>
        <w:t>3</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运行期</w:t>
      </w:r>
      <w:r>
        <w:rPr>
          <w:rFonts w:ascii="Arial" w:hAnsi="Arial" w:cs="Arial"/>
          <w:bCs/>
          <w:sz w:val="22"/>
        </w:rPr>
        <w:t>：本项目工程设施运行几乎不会对自然生态系统产生不利影响，反而会提升区域生态系统质量。</w:t>
      </w:r>
    </w:p>
    <w:p w14:paraId="2C3F0862">
      <w:pPr>
        <w:pStyle w:val="48"/>
        <w:numPr>
          <w:ilvl w:val="0"/>
          <w:numId w:val="7"/>
        </w:numPr>
        <w:snapToGrid w:val="0"/>
        <w:ind w:left="851" w:hanging="851" w:firstLineChars="0"/>
        <w:jc w:val="both"/>
        <w:rPr>
          <w:rFonts w:ascii="Arial" w:hAnsi="Arial" w:cs="Arial"/>
          <w:bCs/>
          <w:sz w:val="22"/>
        </w:rPr>
      </w:pPr>
      <w:r>
        <w:rPr>
          <w:rFonts w:ascii="Arial" w:hAnsi="Arial" w:cs="Arial"/>
          <w:b/>
          <w:sz w:val="22"/>
        </w:rPr>
        <w:t>健康与安全风险</w:t>
      </w:r>
      <w:r>
        <w:rPr>
          <w:rFonts w:ascii="Arial" w:hAnsi="Arial" w:cs="Arial"/>
          <w:bCs/>
          <w:sz w:val="22"/>
        </w:rPr>
        <w:t>：</w:t>
      </w:r>
      <w:r>
        <w:rPr>
          <w:rFonts w:hint="eastAsia" w:ascii="Arial" w:hAnsi="Arial" w:cs="Arial"/>
          <w:bCs/>
          <w:sz w:val="22"/>
          <w:lang w:val="en-GB" w:eastAsia="zh-CN"/>
        </w:rPr>
        <w:t>（</w:t>
      </w:r>
      <w:r>
        <w:rPr>
          <w:rFonts w:ascii="Arial" w:hAnsi="Arial" w:cs="Arial"/>
          <w:bCs/>
          <w:sz w:val="22"/>
          <w:lang w:val="en-GB"/>
        </w:rPr>
        <w:t>1</w:t>
      </w:r>
      <w:r>
        <w:rPr>
          <w:rFonts w:hint="eastAsia" w:ascii="Arial" w:hAnsi="Arial" w:cs="Arial"/>
          <w:bCs/>
          <w:sz w:val="22"/>
          <w:lang w:val="en-GB" w:eastAsia="zh-CN"/>
        </w:rPr>
        <w:t>）</w:t>
      </w:r>
      <w:r>
        <w:rPr>
          <w:rFonts w:ascii="Arial" w:hAnsi="Arial" w:cs="Arial"/>
          <w:bCs/>
          <w:sz w:val="22"/>
          <w:lang w:val="en-GB"/>
        </w:rPr>
        <w:t xml:space="preserve"> </w:t>
      </w:r>
      <w:r>
        <w:rPr>
          <w:rFonts w:ascii="Arial" w:hAnsi="Arial" w:cs="Arial"/>
          <w:b/>
          <w:sz w:val="22"/>
        </w:rPr>
        <w:t>施工期</w:t>
      </w:r>
      <w:r>
        <w:rPr>
          <w:rFonts w:ascii="Arial" w:hAnsi="Arial" w:cs="Arial"/>
          <w:bCs/>
          <w:sz w:val="22"/>
        </w:rPr>
        <w:t>：施工开挖、高空作业、机械车辆使用等活动存在潜在的健康与安全风险。</w:t>
      </w:r>
      <w:r>
        <w:rPr>
          <w:rFonts w:hint="eastAsia" w:ascii="Arial" w:hAnsi="Arial" w:cs="Arial"/>
          <w:bCs/>
          <w:sz w:val="22"/>
          <w:lang w:eastAsia="zh-CN"/>
        </w:rPr>
        <w:t>（</w:t>
      </w:r>
      <w:r>
        <w:rPr>
          <w:rFonts w:ascii="Arial" w:hAnsi="Arial" w:cs="Arial"/>
          <w:bCs/>
          <w:sz w:val="22"/>
        </w:rPr>
        <w:t>2</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运行期</w:t>
      </w:r>
      <w:r>
        <w:rPr>
          <w:rFonts w:ascii="Arial" w:hAnsi="Arial" w:cs="Arial"/>
          <w:bCs/>
          <w:sz w:val="22"/>
        </w:rPr>
        <w:t>：</w:t>
      </w:r>
      <w:r>
        <w:rPr>
          <w:rFonts w:ascii="Arial" w:hAnsi="Arial" w:cs="Arial"/>
          <w:sz w:val="22"/>
        </w:rPr>
        <w:t>畜禽粪污处理和生活垃圾收集转运中产生的恶臭、养殖业中的病死动物都属于有害物质，可能对劳动者或附近公众产生健康风险。</w:t>
      </w:r>
      <w:r>
        <w:rPr>
          <w:rFonts w:hint="eastAsia" w:ascii="Arial" w:hAnsi="Arial" w:cs="Arial"/>
          <w:bCs/>
          <w:sz w:val="22"/>
          <w:lang w:eastAsia="zh-CN"/>
        </w:rPr>
        <w:t>（</w:t>
      </w:r>
      <w:r>
        <w:rPr>
          <w:rFonts w:ascii="Arial" w:hAnsi="Arial" w:cs="Arial"/>
          <w:bCs/>
          <w:sz w:val="22"/>
        </w:rPr>
        <w:t>3</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农业生产期</w:t>
      </w:r>
      <w:r>
        <w:rPr>
          <w:rFonts w:ascii="Arial" w:hAnsi="Arial" w:cs="Arial"/>
          <w:bCs/>
          <w:sz w:val="22"/>
        </w:rPr>
        <w:t>：</w:t>
      </w:r>
      <w:r>
        <w:rPr>
          <w:rFonts w:ascii="Arial" w:hAnsi="Arial" w:cs="Arial"/>
          <w:sz w:val="22"/>
        </w:rPr>
        <w:t>种植业使用的农药若管理不当，可能对农户健康或公共安全产生风险</w:t>
      </w:r>
      <w:r>
        <w:rPr>
          <w:rFonts w:ascii="Arial" w:hAnsi="Arial" w:cs="Arial"/>
          <w:bCs/>
          <w:sz w:val="22"/>
        </w:rPr>
        <w:t>。</w:t>
      </w:r>
      <w:r>
        <w:rPr>
          <w:rFonts w:hint="eastAsia" w:ascii="Arial" w:hAnsi="Arial" w:cs="Arial"/>
          <w:bCs/>
          <w:sz w:val="22"/>
          <w:lang w:eastAsia="zh-CN"/>
        </w:rPr>
        <w:t>（</w:t>
      </w:r>
      <w:r>
        <w:rPr>
          <w:rFonts w:ascii="Arial" w:hAnsi="Arial" w:cs="Arial"/>
          <w:bCs/>
          <w:sz w:val="22"/>
        </w:rPr>
        <w:t>4</w:t>
      </w:r>
      <w:r>
        <w:rPr>
          <w:rFonts w:hint="eastAsia" w:ascii="Arial" w:hAnsi="Arial" w:cs="Arial"/>
          <w:bCs/>
          <w:sz w:val="22"/>
          <w:lang w:eastAsia="zh-CN"/>
        </w:rPr>
        <w:t>）</w:t>
      </w:r>
      <w:r>
        <w:rPr>
          <w:rFonts w:ascii="Arial" w:hAnsi="Arial" w:cs="Arial"/>
          <w:bCs/>
          <w:sz w:val="22"/>
        </w:rPr>
        <w:t xml:space="preserve"> </w:t>
      </w:r>
      <w:r>
        <w:rPr>
          <w:rFonts w:ascii="Arial" w:hAnsi="Arial" w:cs="Arial"/>
          <w:b/>
          <w:sz w:val="22"/>
        </w:rPr>
        <w:t>土壤治理期</w:t>
      </w:r>
      <w:r>
        <w:rPr>
          <w:rFonts w:ascii="Arial" w:hAnsi="Arial" w:cs="Arial"/>
          <w:bCs/>
          <w:sz w:val="22"/>
        </w:rPr>
        <w:t>：施用石灰过程中会产生扬尘，可能影响施用人员的健康。</w:t>
      </w:r>
    </w:p>
    <w:p w14:paraId="093156EB">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主要的社会影响</w:t>
      </w:r>
      <w:r>
        <w:rPr>
          <w:rFonts w:ascii="Arial" w:hAnsi="Arial" w:cs="Arial"/>
          <w:sz w:val="22"/>
        </w:rPr>
        <w:t>：通过对湖北和湖南两省政府规划中与PforR优先领域一致并初步认为可能纳入PforR范围的活动进行筛选分析，将其中可能存在潜在社会高风险的活动已建议排除在PforR项目边界外；同时，结合当地以往和正在实施的</w:t>
      </w:r>
      <w:r>
        <w:rPr>
          <w:rFonts w:hint="eastAsia" w:ascii="Arial" w:hAnsi="Arial" w:cs="Arial"/>
          <w:sz w:val="22"/>
          <w:lang w:eastAsia="zh-CN"/>
        </w:rPr>
        <w:t>其他</w:t>
      </w:r>
      <w:r>
        <w:rPr>
          <w:rFonts w:ascii="Arial" w:hAnsi="Arial" w:cs="Arial"/>
          <w:sz w:val="22"/>
        </w:rPr>
        <w:t>项目经验，评估认为对于超出农业生产需要</w:t>
      </w:r>
      <w:r>
        <w:rPr>
          <w:rFonts w:hint="eastAsia" w:ascii="Arial" w:hAnsi="Arial" w:cs="Arial"/>
          <w:sz w:val="22"/>
          <w:lang w:eastAsia="zh-CN"/>
        </w:rPr>
        <w:t>，</w:t>
      </w:r>
      <w:r>
        <w:rPr>
          <w:rFonts w:ascii="Arial" w:hAnsi="Arial" w:cs="Arial"/>
          <w:sz w:val="22"/>
        </w:rPr>
        <w:t>且以交通为目的农村道路设施建设涉及较大规模的征地拆迁，不同地区的项目可能造成的移民影响程度不易掌控，且大规模的用地存在用地审批难的问题，所以风险等级较高，建议排除在PforR范围外，但田间便道用地面积小，易于管理且现有用地管理机制成熟，风险较小，可以包括在PforR范围内；退耕还林、退垸还湖影响的农户数量较大、对有关农户的生计影响深远、需要协调的补偿资金规模大、涉及多部门协调，项目实施存在较大不确定性，也建议排除。</w:t>
      </w:r>
      <w:r>
        <w:rPr>
          <w:rFonts w:hint="eastAsia" w:ascii="Arial" w:hAnsi="Arial" w:cs="Arial"/>
          <w:sz w:val="22"/>
          <w:lang w:eastAsia="zh-CN"/>
        </w:rPr>
        <w:t>其他</w:t>
      </w:r>
      <w:r>
        <w:rPr>
          <w:rFonts w:ascii="Arial" w:hAnsi="Arial" w:cs="Arial"/>
          <w:sz w:val="22"/>
        </w:rPr>
        <w:t>活动社会风险较小，如用地规模一般不大，对农户的生计影响有限</w:t>
      </w:r>
      <w:r>
        <w:rPr>
          <w:rFonts w:hint="eastAsia" w:ascii="Arial" w:hAnsi="Arial" w:cs="Arial"/>
          <w:sz w:val="22"/>
          <w:lang w:eastAsia="zh-CN"/>
        </w:rPr>
        <w:t>，在</w:t>
      </w:r>
      <w:r>
        <w:rPr>
          <w:rFonts w:ascii="Arial" w:hAnsi="Arial" w:cs="Arial"/>
          <w:sz w:val="22"/>
        </w:rPr>
        <w:t>建设或运营阶段存在劳动健康安全管理和社区安全等影响，有些活动如农药化肥减量、秸秆还田、有机肥使用等，需要农户改变一些日常的生产生活行为，但都属于轻微的影响，现有的</w:t>
      </w:r>
      <w:r>
        <w:rPr>
          <w:rFonts w:hint="eastAsia" w:ascii="Arial" w:hAnsi="Arial" w:cs="Arial"/>
          <w:sz w:val="22"/>
          <w:lang w:eastAsia="zh-CN"/>
        </w:rPr>
        <w:t>社会治理体系</w:t>
      </w:r>
      <w:r>
        <w:rPr>
          <w:rFonts w:ascii="Arial" w:hAnsi="Arial" w:cs="Arial"/>
          <w:sz w:val="22"/>
        </w:rPr>
        <w:t>能有效管控相关社会影响和风险。这些类型的社会影响和风险归纳分析如下：</w:t>
      </w:r>
    </w:p>
    <w:p w14:paraId="44E03B81">
      <w:pPr>
        <w:pStyle w:val="48"/>
        <w:numPr>
          <w:ilvl w:val="0"/>
          <w:numId w:val="7"/>
        </w:numPr>
        <w:snapToGrid w:val="0"/>
        <w:ind w:left="851" w:hanging="851" w:firstLineChars="0"/>
        <w:rPr>
          <w:rFonts w:ascii="Arial" w:hAnsi="Arial" w:cs="Arial"/>
          <w:sz w:val="22"/>
        </w:rPr>
      </w:pPr>
      <w:r>
        <w:rPr>
          <w:rFonts w:ascii="Arial" w:hAnsi="Arial" w:cs="Arial"/>
          <w:b/>
          <w:bCs/>
          <w:sz w:val="22"/>
        </w:rPr>
        <w:t>劳工影响：</w:t>
      </w:r>
      <w:r>
        <w:rPr>
          <w:rFonts w:ascii="Arial" w:hAnsi="Arial" w:cs="Arial"/>
          <w:sz w:val="22"/>
        </w:rPr>
        <w:t>相关设施的建设单位和运行管理单位工作场所、营地和工人生活区等设施的环境风险，对周边社区扰民的风险，以及工人职业健康与安全（OHS）风险等。农业生产中农药购买渠道、施用、保存和处置，均存在潜在的人员健康安全风险。此外，农业领域也可能存在使用童工的风险。</w:t>
      </w:r>
    </w:p>
    <w:p w14:paraId="69579E4D">
      <w:pPr>
        <w:pStyle w:val="48"/>
        <w:numPr>
          <w:ilvl w:val="0"/>
          <w:numId w:val="7"/>
        </w:numPr>
        <w:snapToGrid w:val="0"/>
        <w:ind w:left="851" w:hanging="851" w:firstLineChars="0"/>
        <w:rPr>
          <w:rFonts w:ascii="Arial" w:hAnsi="Arial" w:cs="Arial"/>
          <w:sz w:val="22"/>
        </w:rPr>
      </w:pPr>
      <w:r>
        <w:rPr>
          <w:rFonts w:ascii="Arial" w:hAnsi="Arial" w:cs="Arial"/>
          <w:b/>
          <w:bCs/>
          <w:sz w:val="22"/>
        </w:rPr>
        <w:t>社区影响：</w:t>
      </w:r>
      <w:r>
        <w:rPr>
          <w:rFonts w:ascii="Arial" w:hAnsi="Arial" w:cs="Arial"/>
          <w:sz w:val="22"/>
        </w:rPr>
        <w:t>相关设施（如粪污资源化利用设施）的选址可能产生邻避效应</w:t>
      </w:r>
      <w:r>
        <w:rPr>
          <w:rStyle w:val="46"/>
          <w:rFonts w:ascii="Arial" w:hAnsi="Arial" w:cs="Arial"/>
          <w:sz w:val="22"/>
        </w:rPr>
        <w:footnoteReference w:id="1"/>
      </w:r>
      <w:r>
        <w:rPr>
          <w:rFonts w:ascii="Arial" w:hAnsi="Arial" w:cs="Arial"/>
          <w:sz w:val="22"/>
        </w:rPr>
        <w:t>，如影响到社区居民的生活环境、财产价值，外来施工人员进入社区存在疾病控制风险，施工过程和运行过程可能存在影响社区环境、交通和安全问题。</w:t>
      </w:r>
    </w:p>
    <w:p w14:paraId="6160D307">
      <w:pPr>
        <w:pStyle w:val="48"/>
        <w:numPr>
          <w:ilvl w:val="0"/>
          <w:numId w:val="7"/>
        </w:numPr>
        <w:snapToGrid w:val="0"/>
        <w:ind w:left="851" w:hanging="851" w:firstLineChars="0"/>
        <w:rPr>
          <w:rFonts w:ascii="Arial" w:hAnsi="Arial" w:cs="Arial"/>
          <w:sz w:val="22"/>
        </w:rPr>
      </w:pPr>
      <w:r>
        <w:rPr>
          <w:rFonts w:ascii="Arial" w:hAnsi="Arial" w:cs="Arial"/>
          <w:b/>
          <w:bCs/>
          <w:sz w:val="22"/>
        </w:rPr>
        <w:t>土地使用和非志愿移民：</w:t>
      </w:r>
      <w:r>
        <w:rPr>
          <w:rFonts w:ascii="Arial" w:hAnsi="Arial" w:cs="Arial"/>
          <w:sz w:val="22"/>
        </w:rPr>
        <w:t>在准备本报告过程中，环境与社会（E&amp;S）团队已对湖北和湖南两省绿色农业和乡村振兴规划中可能存在纳入PforR范围的活动进行了风险筛选，将那些可能有非志愿移民高风险的活动排除在PforR边界外，剩下可能需要占用土地的活动包括1</w:t>
      </w:r>
      <w:r>
        <w:rPr>
          <w:rFonts w:hint="eastAsia" w:ascii="Arial" w:hAnsi="Arial" w:cs="Arial"/>
          <w:sz w:val="22"/>
          <w:lang w:eastAsia="zh-CN"/>
        </w:rPr>
        <w:t>）</w:t>
      </w:r>
      <w:r>
        <w:rPr>
          <w:rFonts w:ascii="Arial" w:hAnsi="Arial" w:cs="Arial"/>
          <w:sz w:val="22"/>
        </w:rPr>
        <w:t xml:space="preserve"> 秸秆综合利用设施， 每个约占地10亩；2</w:t>
      </w:r>
      <w:r>
        <w:rPr>
          <w:rFonts w:hint="eastAsia" w:ascii="Arial" w:hAnsi="Arial" w:cs="Arial"/>
          <w:sz w:val="22"/>
          <w:lang w:eastAsia="zh-CN"/>
        </w:rPr>
        <w:t>）</w:t>
      </w:r>
      <w:r>
        <w:rPr>
          <w:rFonts w:ascii="Arial" w:hAnsi="Arial" w:cs="Arial"/>
          <w:sz w:val="22"/>
        </w:rPr>
        <w:t xml:space="preserve"> 粪污处理和利用设施，将在现有畜禽养殖场内每个占用土地约20亩；3</w:t>
      </w:r>
      <w:r>
        <w:rPr>
          <w:rFonts w:hint="eastAsia" w:ascii="Arial" w:hAnsi="Arial" w:cs="Arial"/>
          <w:sz w:val="22"/>
          <w:lang w:eastAsia="zh-CN"/>
        </w:rPr>
        <w:t>）</w:t>
      </w:r>
      <w:r>
        <w:rPr>
          <w:rFonts w:ascii="Arial" w:hAnsi="Arial" w:cs="Arial"/>
          <w:sz w:val="22"/>
        </w:rPr>
        <w:t xml:space="preserve"> 农村污水处理设施每个占地</w:t>
      </w:r>
      <w:r>
        <w:rPr>
          <w:rFonts w:hint="eastAsia" w:ascii="Arial" w:hAnsi="Arial" w:cs="Arial"/>
          <w:sz w:val="22"/>
          <w:lang w:val="en-US" w:eastAsia="zh-CN"/>
        </w:rPr>
        <w:t>约</w:t>
      </w:r>
      <w:r>
        <w:rPr>
          <w:rFonts w:ascii="Arial" w:hAnsi="Arial" w:cs="Arial"/>
          <w:sz w:val="22"/>
        </w:rPr>
        <w:t>100至400m</w:t>
      </w:r>
      <w:r>
        <w:rPr>
          <w:rFonts w:ascii="Arial" w:hAnsi="Arial" w:cs="Arial"/>
          <w:sz w:val="22"/>
          <w:vertAlign w:val="superscript"/>
        </w:rPr>
        <w:t>2</w:t>
      </w:r>
      <w:r>
        <w:rPr>
          <w:rFonts w:ascii="Arial" w:hAnsi="Arial" w:cs="Arial"/>
          <w:sz w:val="22"/>
        </w:rPr>
        <w:t>和配套管网建设临时占地；4</w:t>
      </w:r>
      <w:r>
        <w:rPr>
          <w:rFonts w:hint="eastAsia" w:ascii="Arial" w:hAnsi="Arial" w:cs="Arial"/>
          <w:sz w:val="22"/>
          <w:lang w:eastAsia="zh-CN"/>
        </w:rPr>
        <w:t>）</w:t>
      </w:r>
      <w:r>
        <w:rPr>
          <w:rFonts w:ascii="Arial" w:hAnsi="Arial" w:cs="Arial"/>
          <w:sz w:val="22"/>
        </w:rPr>
        <w:t xml:space="preserve"> 农村生活垃圾收集与转运，每个约占地2</w:t>
      </w:r>
      <w:r>
        <w:rPr>
          <w:rFonts w:hint="eastAsia" w:ascii="Arial" w:hAnsi="Arial" w:cs="Arial"/>
          <w:sz w:val="22"/>
          <w:lang w:eastAsia="zh-CN"/>
        </w:rPr>
        <w:t>—</w:t>
      </w:r>
      <w:r>
        <w:rPr>
          <w:rFonts w:ascii="Arial" w:hAnsi="Arial" w:cs="Arial"/>
          <w:sz w:val="22"/>
        </w:rPr>
        <w:t>5亩；5</w:t>
      </w:r>
      <w:r>
        <w:rPr>
          <w:rFonts w:hint="eastAsia" w:ascii="Arial" w:hAnsi="Arial" w:cs="Arial"/>
          <w:sz w:val="22"/>
          <w:lang w:eastAsia="zh-CN"/>
        </w:rPr>
        <w:t>）</w:t>
      </w:r>
      <w:r>
        <w:rPr>
          <w:rFonts w:ascii="Arial" w:hAnsi="Arial" w:cs="Arial"/>
          <w:sz w:val="22"/>
        </w:rPr>
        <w:t xml:space="preserve"> 农田和农业设施连接道，将限制在现有路基范围内。这些活动征用或占用土地规模都不大，通过国内现有的土地利用管理系统的管理，非志愿移民风险较低；且有些活动采取租赁等自愿的形式协商使用，相关风险较</w:t>
      </w:r>
      <w:r>
        <w:rPr>
          <w:rFonts w:hint="eastAsia" w:ascii="Arial" w:hAnsi="Arial" w:cs="Arial"/>
          <w:sz w:val="22"/>
          <w:lang w:eastAsia="zh-CN"/>
        </w:rPr>
        <w:t>非志</w:t>
      </w:r>
      <w:r>
        <w:rPr>
          <w:rFonts w:ascii="Arial" w:hAnsi="Arial" w:cs="Arial"/>
          <w:sz w:val="22"/>
        </w:rPr>
        <w:t>愿移民更低。</w:t>
      </w:r>
    </w:p>
    <w:p w14:paraId="5A8C9253">
      <w:pPr>
        <w:pStyle w:val="48"/>
        <w:numPr>
          <w:ilvl w:val="0"/>
          <w:numId w:val="7"/>
        </w:numPr>
        <w:snapToGrid w:val="0"/>
        <w:ind w:left="851" w:hanging="851" w:firstLineChars="0"/>
        <w:rPr>
          <w:rFonts w:ascii="Arial" w:hAnsi="Arial" w:cs="Arial"/>
          <w:sz w:val="22"/>
        </w:rPr>
      </w:pPr>
      <w:r>
        <w:rPr>
          <w:rFonts w:ascii="Arial" w:hAnsi="Arial" w:cs="Arial"/>
          <w:b/>
          <w:bCs/>
          <w:sz w:val="22"/>
        </w:rPr>
        <w:t>生计影响：</w:t>
      </w:r>
      <w:r>
        <w:rPr>
          <w:rFonts w:ascii="Arial" w:hAnsi="Arial" w:cs="Arial"/>
          <w:sz w:val="22"/>
        </w:rPr>
        <w:t>小规模用地对农户的生计影响虽然不大，但仍需要进行识别和管理。农药化肥减量、秸秆还田、有机肥使用等要求对农户日常生产生活行为的调整虽属于轻微的影响，也通过提供相应的政策支持、培训等措施加以管理；</w:t>
      </w:r>
    </w:p>
    <w:p w14:paraId="5DD671BD">
      <w:pPr>
        <w:pStyle w:val="48"/>
        <w:numPr>
          <w:ilvl w:val="0"/>
          <w:numId w:val="7"/>
        </w:numPr>
        <w:snapToGrid w:val="0"/>
        <w:ind w:left="851" w:hanging="851" w:firstLineChars="0"/>
        <w:rPr>
          <w:rFonts w:ascii="Arial" w:hAnsi="Arial" w:cs="Arial"/>
          <w:sz w:val="22"/>
        </w:rPr>
      </w:pPr>
      <w:r>
        <w:rPr>
          <w:rFonts w:ascii="Arial" w:hAnsi="Arial" w:cs="Arial"/>
          <w:b/>
          <w:bCs/>
          <w:sz w:val="22"/>
        </w:rPr>
        <w:t>少数民族影响：</w:t>
      </w:r>
      <w:r>
        <w:rPr>
          <w:rFonts w:ascii="Arial" w:hAnsi="Arial" w:cs="Arial"/>
          <w:sz w:val="22"/>
        </w:rPr>
        <w:t>国家、湖北湖南两省和各项目县都有支持少数民族发展政策，不会使少数民族基于他们特殊的历史文化和传统被排除在受益人群之外。国家和两省甚至对</w:t>
      </w:r>
      <w:r>
        <w:rPr>
          <w:rFonts w:hint="eastAsia" w:ascii="Arial" w:hAnsi="Arial" w:cs="Arial"/>
          <w:sz w:val="22"/>
          <w:lang w:eastAsia="zh-CN"/>
        </w:rPr>
        <w:t>民族地区</w:t>
      </w:r>
      <w:r>
        <w:rPr>
          <w:rFonts w:ascii="Arial" w:hAnsi="Arial" w:cs="Arial"/>
          <w:sz w:val="22"/>
        </w:rPr>
        <w:t>在有关项目的资金和政策支持上，相对于</w:t>
      </w:r>
      <w:r>
        <w:rPr>
          <w:rFonts w:hint="eastAsia" w:ascii="Arial" w:hAnsi="Arial" w:cs="Arial"/>
          <w:sz w:val="22"/>
          <w:lang w:eastAsia="zh-CN"/>
        </w:rPr>
        <w:t>其他</w:t>
      </w:r>
      <w:r>
        <w:rPr>
          <w:rFonts w:ascii="Arial" w:hAnsi="Arial" w:cs="Arial"/>
          <w:sz w:val="22"/>
        </w:rPr>
        <w:t>地区还有所倾斜。即便如此，对于部分项目活动位于湖南和湖北两省的少数民族聚居区，仍需在项目设计、建设、维护阶段认真听取少数民族居民的意见，同时要避免和减少对少数民族造成重大负面影响，尊重少数民族文化和风俗习惯。</w:t>
      </w:r>
    </w:p>
    <w:p w14:paraId="06D6359B">
      <w:pPr>
        <w:pStyle w:val="48"/>
        <w:adjustRightInd w:val="0"/>
        <w:snapToGrid w:val="0"/>
        <w:spacing w:before="120" w:after="120"/>
        <w:ind w:left="420" w:firstLineChars="0"/>
        <w:rPr>
          <w:rFonts w:ascii="Arial" w:hAnsi="Arial" w:cs="Arial"/>
          <w:b/>
          <w:bCs/>
          <w:color w:val="1F4E79" w:themeColor="accent5" w:themeShade="80"/>
          <w:sz w:val="22"/>
        </w:rPr>
      </w:pPr>
      <w:bookmarkStart w:id="228" w:name="_Toc107747425"/>
      <w:r>
        <w:rPr>
          <w:rFonts w:hint="eastAsia" w:ascii="Arial" w:hAnsi="Arial" w:cs="Arial"/>
          <w:b/>
          <w:bCs/>
          <w:color w:val="1F4E79" w:themeColor="accent5" w:themeShade="80"/>
          <w:sz w:val="22"/>
        </w:rPr>
        <w:t>间接影响</w:t>
      </w:r>
      <w:bookmarkEnd w:id="228"/>
    </w:p>
    <w:p w14:paraId="62D33BE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bCs/>
          <w:color w:val="000000" w:themeColor="text1"/>
          <w:sz w:val="22"/>
          <w14:textFill>
            <w14:solidFill>
              <w14:schemeClr w14:val="tx1"/>
            </w14:solidFill>
          </w14:textFill>
        </w:rPr>
      </w:pPr>
      <w:r>
        <w:rPr>
          <w:rFonts w:ascii="Arial" w:hAnsi="Arial" w:cs="Arial"/>
          <w:sz w:val="22"/>
        </w:rPr>
        <w:t>本项目关联设施/活动产生的环境与社会影响以及技援类项目活动的下游环境与社会影响都是间接的，但也属于本报告评价范围。</w:t>
      </w:r>
    </w:p>
    <w:p w14:paraId="5CADB00F">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color w:val="000000" w:themeColor="text1"/>
          <w:sz w:val="22"/>
          <w14:textFill>
            <w14:solidFill>
              <w14:schemeClr w14:val="tx1"/>
            </w14:solidFill>
          </w14:textFill>
        </w:rPr>
        <w:t>下游相关设施/活动的间接影响</w:t>
      </w:r>
      <w:r>
        <w:rPr>
          <w:rFonts w:ascii="Arial" w:hAnsi="Arial" w:cs="Arial"/>
          <w:color w:val="000000" w:themeColor="text1"/>
          <w:sz w:val="22"/>
          <w14:textFill>
            <w14:solidFill>
              <w14:schemeClr w14:val="tx1"/>
            </w14:solidFill>
          </w14:textFill>
        </w:rPr>
        <w:t>：</w:t>
      </w:r>
      <w:r>
        <w:rPr>
          <w:rFonts w:ascii="Arial" w:hAnsi="Arial" w:cs="Arial"/>
          <w:sz w:val="22"/>
        </w:rPr>
        <w:t>2022年8月份，</w:t>
      </w:r>
      <w:r>
        <w:rPr>
          <w:rFonts w:ascii="Arial" w:hAnsi="Arial" w:cs="Arial"/>
          <w:color w:val="000000" w:themeColor="text1"/>
          <w:sz w:val="22"/>
          <w14:textFill>
            <w14:solidFill>
              <w14:schemeClr w14:val="tx1"/>
            </w14:solidFill>
          </w14:textFill>
        </w:rPr>
        <w:t>世行团队在湖北省仙桃市和随县以及湖南省澧县和衡南县对部分现有下游设施（如垃圾填埋场、垃圾焚烧发电厂等）开展了现场考察与尽职调查。据此</w:t>
      </w:r>
      <w:r>
        <w:rPr>
          <w:rFonts w:ascii="Arial" w:hAnsi="Arial" w:cs="Arial"/>
          <w:sz w:val="22"/>
        </w:rPr>
        <w:t>，</w:t>
      </w:r>
      <w:r>
        <w:rPr>
          <w:rFonts w:ascii="Arial" w:hAnsi="Arial" w:cs="Arial"/>
          <w:color w:val="000000" w:themeColor="text1"/>
          <w:sz w:val="22"/>
          <w14:textFill>
            <w14:solidFill>
              <w14:schemeClr w14:val="tx1"/>
            </w14:solidFill>
          </w14:textFill>
        </w:rPr>
        <w:t>世行团队对这些设施/</w:t>
      </w:r>
      <w:r>
        <w:rPr>
          <w:rFonts w:ascii="Arial" w:hAnsi="Arial" w:cs="Arial"/>
          <w:sz w:val="22"/>
        </w:rPr>
        <w:t>活动的环境与社会风险进行了筛查和评级</w:t>
      </w:r>
      <w:r>
        <w:rPr>
          <w:rFonts w:ascii="Arial" w:hAnsi="Arial" w:cs="Arial"/>
          <w:color w:val="000000" w:themeColor="text1"/>
          <w:sz w:val="22"/>
          <w14:textFill>
            <w14:solidFill>
              <w14:schemeClr w14:val="tx1"/>
            </w14:solidFill>
          </w14:textFill>
        </w:rPr>
        <w:t>，见表</w:t>
      </w:r>
      <w:r>
        <w:rPr>
          <w:rFonts w:ascii="Arial" w:hAnsi="Arial" w:cs="Arial"/>
          <w:b/>
          <w:bCs/>
          <w:color w:val="000000" w:themeColor="text1"/>
          <w:sz w:val="22"/>
          <w14:textFill>
            <w14:solidFill>
              <w14:schemeClr w14:val="tx1"/>
            </w14:solidFill>
          </w14:textFill>
        </w:rPr>
        <w:t>3</w:t>
      </w:r>
      <w:r>
        <w:rPr>
          <w:rFonts w:hint="eastAsia" w:ascii="Arial" w:hAnsi="Arial" w:cs="Arial"/>
          <w:b/>
          <w:bCs/>
          <w:color w:val="000000" w:themeColor="text1"/>
          <w:sz w:val="22"/>
          <w:lang w:eastAsia="zh-CN"/>
          <w14:textFill>
            <w14:solidFill>
              <w14:schemeClr w14:val="tx1"/>
            </w14:solidFill>
          </w14:textFill>
        </w:rPr>
        <w:t>—</w:t>
      </w:r>
      <w:r>
        <w:rPr>
          <w:rFonts w:ascii="Arial" w:hAnsi="Arial" w:cs="Arial"/>
          <w:b/>
          <w:bCs/>
          <w:color w:val="000000" w:themeColor="text1"/>
          <w:sz w:val="22"/>
          <w14:textFill>
            <w14:solidFill>
              <w14:schemeClr w14:val="tx1"/>
            </w14:solidFill>
          </w14:textFill>
        </w:rPr>
        <w:t>1</w:t>
      </w:r>
      <w:r>
        <w:rPr>
          <w:rFonts w:ascii="Arial" w:hAnsi="Arial" w:cs="Arial"/>
          <w:color w:val="000000" w:themeColor="text1"/>
          <w:sz w:val="22"/>
          <w14:textFill>
            <w14:solidFill>
              <w14:schemeClr w14:val="tx1"/>
            </w14:solidFill>
          </w14:textFill>
        </w:rPr>
        <w:t>。调查结果表明，</w:t>
      </w:r>
      <w:r>
        <w:rPr>
          <w:rFonts w:ascii="Arial" w:hAnsi="Arial" w:cs="Arial"/>
          <w:sz w:val="22"/>
        </w:rPr>
        <w:t>这些设施/活动的</w:t>
      </w:r>
      <w:r>
        <w:rPr>
          <w:rFonts w:ascii="Arial" w:hAnsi="Arial" w:cs="Arial"/>
          <w:color w:val="000000" w:themeColor="text1"/>
          <w:sz w:val="22"/>
          <w14:textFill>
            <w14:solidFill>
              <w14:schemeClr w14:val="tx1"/>
            </w14:solidFill>
          </w14:textFill>
        </w:rPr>
        <w:t>环境与社会</w:t>
      </w:r>
      <w:r>
        <w:rPr>
          <w:rFonts w:ascii="Arial" w:hAnsi="Arial" w:cs="Arial"/>
          <w:sz w:val="22"/>
        </w:rPr>
        <w:t>管理体系成熟</w:t>
      </w:r>
      <w:r>
        <w:rPr>
          <w:rFonts w:ascii="Arial" w:hAnsi="Arial" w:cs="Arial"/>
          <w:color w:val="000000" w:themeColor="text1"/>
          <w:sz w:val="22"/>
          <w14:textFill>
            <w14:solidFill>
              <w14:schemeClr w14:val="tx1"/>
            </w14:solidFill>
          </w14:textFill>
        </w:rPr>
        <w:t>，可以较好地管理</w:t>
      </w:r>
      <w:r>
        <w:rPr>
          <w:rFonts w:ascii="Arial" w:hAnsi="Arial" w:cs="Arial"/>
          <w:sz w:val="22"/>
        </w:rPr>
        <w:t>环境与社会风险，其环境与社会风险</w:t>
      </w:r>
      <w:r>
        <w:rPr>
          <w:rFonts w:ascii="Arial" w:hAnsi="Arial" w:cs="Arial"/>
          <w:color w:val="000000" w:themeColor="text1"/>
          <w:sz w:val="22"/>
          <w14:textFill>
            <w14:solidFill>
              <w14:schemeClr w14:val="tx1"/>
            </w14:solidFill>
          </w14:textFill>
        </w:rPr>
        <w:t>可控</w:t>
      </w:r>
      <w:r>
        <w:rPr>
          <w:rFonts w:ascii="Arial" w:hAnsi="Arial" w:cs="Arial"/>
          <w:sz w:val="22"/>
        </w:rPr>
        <w:t>。</w:t>
      </w:r>
    </w:p>
    <w:p w14:paraId="7DB00102">
      <w:pPr>
        <w:adjustRightInd w:val="0"/>
        <w:snapToGrid w:val="0"/>
        <w:spacing w:before="120" w:beforeLines="50" w:after="120" w:afterLines="50"/>
        <w:jc w:val="center"/>
        <w:rPr>
          <w:rFonts w:ascii="Arial" w:hAnsi="Arial" w:cs="Arial"/>
          <w:b/>
          <w:bCs/>
          <w:color w:val="1F4E79" w:themeColor="accent5" w:themeShade="80"/>
          <w:sz w:val="22"/>
        </w:rPr>
      </w:pPr>
      <w:r>
        <w:rPr>
          <w:rFonts w:ascii="Arial" w:hAnsi="Arial" w:cs="Arial"/>
          <w:b/>
          <w:bCs/>
          <w:color w:val="1F4E79" w:themeColor="accent5" w:themeShade="80"/>
          <w:sz w:val="22"/>
        </w:rPr>
        <w:t>表3</w:t>
      </w:r>
      <w:r>
        <w:rPr>
          <w:rFonts w:hint="eastAsia" w:ascii="Arial" w:hAnsi="Arial" w:cs="Arial"/>
          <w:b/>
          <w:bCs/>
          <w:color w:val="1F4E79" w:themeColor="accent5" w:themeShade="80"/>
          <w:sz w:val="22"/>
          <w:lang w:eastAsia="zh-CN"/>
        </w:rPr>
        <w:t>—</w:t>
      </w:r>
      <w:r>
        <w:rPr>
          <w:rFonts w:ascii="Arial" w:hAnsi="Arial" w:cs="Arial"/>
          <w:b/>
          <w:bCs/>
          <w:color w:val="1F4E79" w:themeColor="accent5" w:themeShade="80"/>
          <w:sz w:val="22"/>
        </w:rPr>
        <w:t>1：相关设施/活动环境与社会风险筛查</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48"/>
        <w:gridCol w:w="5848"/>
        <w:gridCol w:w="992"/>
      </w:tblGrid>
      <w:tr w14:paraId="6277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470" w:type="pct"/>
            <w:shd w:val="clear" w:color="auto" w:fill="auto"/>
          </w:tcPr>
          <w:p w14:paraId="6423995E">
            <w:pPr>
              <w:pStyle w:val="48"/>
              <w:ind w:firstLine="0" w:firstLineChars="0"/>
              <w:rPr>
                <w:rFonts w:ascii="Arial" w:hAnsi="Arial" w:cs="Arial"/>
                <w:b/>
                <w:bCs/>
                <w:sz w:val="20"/>
                <w:szCs w:val="20"/>
              </w:rPr>
            </w:pPr>
            <w:r>
              <w:rPr>
                <w:rFonts w:ascii="Arial" w:hAnsi="Arial" w:cs="Arial"/>
                <w:b/>
                <w:bCs/>
                <w:sz w:val="20"/>
                <w:szCs w:val="20"/>
              </w:rPr>
              <w:t>相关设施或活动</w:t>
            </w:r>
          </w:p>
        </w:tc>
        <w:tc>
          <w:tcPr>
            <w:tcW w:w="3018" w:type="pct"/>
            <w:shd w:val="clear" w:color="auto" w:fill="auto"/>
          </w:tcPr>
          <w:p w14:paraId="44BF9DDD">
            <w:pPr>
              <w:pStyle w:val="48"/>
              <w:ind w:firstLine="0" w:firstLineChars="0"/>
              <w:rPr>
                <w:rFonts w:ascii="Arial" w:hAnsi="Arial" w:cs="Arial"/>
                <w:b/>
                <w:bCs/>
                <w:sz w:val="20"/>
                <w:szCs w:val="20"/>
              </w:rPr>
            </w:pPr>
            <w:r>
              <w:rPr>
                <w:rFonts w:ascii="Arial" w:hAnsi="Arial" w:cs="Arial"/>
                <w:b/>
                <w:bCs/>
                <w:sz w:val="20"/>
                <w:szCs w:val="20"/>
              </w:rPr>
              <w:t>环境与社会影响及管理措施</w:t>
            </w:r>
          </w:p>
        </w:tc>
        <w:tc>
          <w:tcPr>
            <w:tcW w:w="512" w:type="pct"/>
            <w:shd w:val="clear" w:color="auto" w:fill="auto"/>
          </w:tcPr>
          <w:p w14:paraId="061804A6">
            <w:pPr>
              <w:pStyle w:val="48"/>
              <w:ind w:firstLine="0" w:firstLineChars="0"/>
              <w:rPr>
                <w:rFonts w:ascii="Arial" w:hAnsi="Arial" w:cs="Arial"/>
                <w:b/>
                <w:bCs/>
                <w:sz w:val="20"/>
                <w:szCs w:val="20"/>
              </w:rPr>
            </w:pPr>
            <w:r>
              <w:rPr>
                <w:rFonts w:ascii="Arial" w:hAnsi="Arial" w:cs="Arial"/>
                <w:b/>
                <w:bCs/>
                <w:sz w:val="20"/>
                <w:szCs w:val="20"/>
              </w:rPr>
              <w:t>风险等级</w:t>
            </w:r>
          </w:p>
        </w:tc>
      </w:tr>
      <w:tr w14:paraId="7384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470" w:type="pct"/>
          </w:tcPr>
          <w:p w14:paraId="0D4F7FDD">
            <w:pPr>
              <w:pStyle w:val="48"/>
              <w:ind w:firstLine="0" w:firstLineChars="0"/>
              <w:rPr>
                <w:rFonts w:ascii="Arial" w:hAnsi="Arial" w:cs="Arial"/>
                <w:sz w:val="20"/>
                <w:szCs w:val="20"/>
              </w:rPr>
            </w:pPr>
            <w:r>
              <w:rPr>
                <w:rFonts w:ascii="Arial" w:hAnsi="Arial" w:cs="Arial"/>
                <w:sz w:val="20"/>
                <w:szCs w:val="20"/>
              </w:rPr>
              <w:t>收集的农村生活垃圾送至现有卫生填埋场或焚烧发电厂处置</w:t>
            </w:r>
          </w:p>
        </w:tc>
        <w:tc>
          <w:tcPr>
            <w:tcW w:w="3018" w:type="pct"/>
          </w:tcPr>
          <w:p w14:paraId="3DE8FAC1">
            <w:pPr>
              <w:pStyle w:val="48"/>
              <w:ind w:firstLine="0" w:firstLineChars="0"/>
              <w:jc w:val="both"/>
              <w:rPr>
                <w:rFonts w:ascii="Arial" w:hAnsi="Arial" w:cs="Arial"/>
                <w:sz w:val="20"/>
                <w:szCs w:val="20"/>
              </w:rPr>
            </w:pPr>
            <w:r>
              <w:rPr>
                <w:rFonts w:ascii="Arial" w:hAnsi="Arial" w:cs="Arial"/>
                <w:sz w:val="20"/>
                <w:szCs w:val="20"/>
              </w:rPr>
              <w:t>现有的卫生填埋场或垃圾焚烧发电厂涉及征地约50至100亩；施工期</w:t>
            </w:r>
            <w:r>
              <w:rPr>
                <w:rFonts w:hint="eastAsia" w:ascii="Arial" w:hAnsi="Arial" w:cs="Arial"/>
                <w:sz w:val="20"/>
                <w:szCs w:val="20"/>
                <w:lang w:eastAsia="zh-CN"/>
              </w:rPr>
              <w:t>涉及</w:t>
            </w:r>
            <w:r>
              <w:rPr>
                <w:rFonts w:ascii="Arial" w:hAnsi="Arial" w:cs="Arial"/>
                <w:sz w:val="20"/>
                <w:szCs w:val="20"/>
              </w:rPr>
              <w:t>一些工人，运行期涉及约15名工人。这些设施的性质和规模决定了它们会产生各种污染物，如渗滤液、填埋气和恶臭，若不采取适当的措施，将对环境产生较大的不利影响。</w:t>
            </w:r>
          </w:p>
          <w:p w14:paraId="2DE8A42B">
            <w:pPr>
              <w:pStyle w:val="48"/>
              <w:adjustRightInd w:val="0"/>
              <w:snapToGrid w:val="0"/>
              <w:spacing w:before="120" w:beforeLines="50"/>
              <w:ind w:firstLine="0" w:firstLineChars="0"/>
              <w:rPr>
                <w:rFonts w:ascii="Arial" w:hAnsi="Arial" w:cs="Arial"/>
                <w:sz w:val="20"/>
                <w:szCs w:val="20"/>
              </w:rPr>
            </w:pPr>
            <w:r>
              <w:rPr>
                <w:rFonts w:ascii="Arial" w:hAnsi="Arial" w:cs="Arial"/>
                <w:sz w:val="20"/>
                <w:szCs w:val="20"/>
              </w:rPr>
              <w:t>国家具有健全的法规、政策、标准、规范等管理这些设施的环境与社会影响。所考察的卫生填埋场和焚烧发电厂均能按要求开展环评、稳评、环保验收、排污许可、污染物监测等环境与社会管理工作，对渗滤液、臭气、填埋气、焚烧废气、飞灰等污染物进行有效管理，并接受住建、生态环境等部门的严格监管。</w:t>
            </w:r>
          </w:p>
        </w:tc>
        <w:tc>
          <w:tcPr>
            <w:tcW w:w="512" w:type="pct"/>
          </w:tcPr>
          <w:p w14:paraId="50EEC83B">
            <w:pPr>
              <w:pStyle w:val="48"/>
              <w:ind w:firstLine="0" w:firstLineChars="0"/>
              <w:rPr>
                <w:rFonts w:ascii="Arial" w:hAnsi="Arial" w:cs="Arial"/>
                <w:sz w:val="20"/>
                <w:szCs w:val="20"/>
              </w:rPr>
            </w:pPr>
            <w:r>
              <w:rPr>
                <w:rFonts w:ascii="Arial" w:hAnsi="Arial" w:cs="Arial"/>
                <w:sz w:val="20"/>
                <w:szCs w:val="20"/>
              </w:rPr>
              <w:t>综合风险水平中等至较高</w:t>
            </w:r>
          </w:p>
        </w:tc>
      </w:tr>
      <w:tr w14:paraId="5140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470" w:type="pct"/>
          </w:tcPr>
          <w:p w14:paraId="3A21E46B">
            <w:pPr>
              <w:pStyle w:val="48"/>
              <w:ind w:firstLine="0" w:firstLineChars="0"/>
              <w:rPr>
                <w:rFonts w:ascii="Arial" w:hAnsi="Arial" w:cs="Arial"/>
                <w:sz w:val="20"/>
                <w:szCs w:val="20"/>
              </w:rPr>
            </w:pPr>
            <w:r>
              <w:rPr>
                <w:rFonts w:ascii="Arial" w:hAnsi="Arial" w:cs="Arial"/>
                <w:sz w:val="20"/>
                <w:szCs w:val="20"/>
              </w:rPr>
              <w:t>小型农村生活污水处理设施的少量污泥以及部分经堆肥处理后的畜禽粪污将送往农田或林地进行土地消纳</w:t>
            </w:r>
          </w:p>
        </w:tc>
        <w:tc>
          <w:tcPr>
            <w:tcW w:w="3018" w:type="pct"/>
          </w:tcPr>
          <w:p w14:paraId="4144AA1F">
            <w:pPr>
              <w:pStyle w:val="48"/>
              <w:ind w:firstLine="0" w:firstLineChars="0"/>
              <w:rPr>
                <w:rFonts w:ascii="Arial" w:hAnsi="Arial" w:cs="Arial"/>
                <w:sz w:val="20"/>
                <w:szCs w:val="20"/>
              </w:rPr>
            </w:pPr>
            <w:r>
              <w:rPr>
                <w:rFonts w:ascii="Arial" w:hAnsi="Arial" w:cs="Arial"/>
                <w:sz w:val="20"/>
                <w:szCs w:val="20"/>
              </w:rPr>
              <w:t>种植户接收粪肥时会按规范要求计算农田消纳能力，与养殖户签署消纳协议并报农业农村部门备案，从而控制粪肥还田量。</w:t>
            </w:r>
          </w:p>
        </w:tc>
        <w:tc>
          <w:tcPr>
            <w:tcW w:w="512" w:type="pct"/>
          </w:tcPr>
          <w:p w14:paraId="023F4B85">
            <w:pPr>
              <w:pStyle w:val="48"/>
              <w:ind w:firstLine="0" w:firstLineChars="0"/>
              <w:rPr>
                <w:rFonts w:ascii="Arial" w:hAnsi="Arial" w:cs="Arial"/>
                <w:sz w:val="20"/>
                <w:szCs w:val="20"/>
              </w:rPr>
            </w:pPr>
            <w:r>
              <w:rPr>
                <w:rFonts w:ascii="Arial" w:hAnsi="Arial" w:cs="Arial"/>
                <w:sz w:val="20"/>
                <w:szCs w:val="20"/>
              </w:rPr>
              <w:t>综合风险水平中等</w:t>
            </w:r>
          </w:p>
        </w:tc>
      </w:tr>
      <w:tr w14:paraId="1C32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470" w:type="pct"/>
          </w:tcPr>
          <w:p w14:paraId="41305B18">
            <w:pPr>
              <w:pStyle w:val="48"/>
              <w:ind w:firstLine="0" w:firstLineChars="0"/>
              <w:rPr>
                <w:rFonts w:ascii="Arial" w:hAnsi="Arial" w:cs="Arial"/>
                <w:sz w:val="20"/>
                <w:szCs w:val="20"/>
              </w:rPr>
            </w:pPr>
            <w:r>
              <w:rPr>
                <w:rFonts w:ascii="Arial" w:hAnsi="Arial" w:cs="Arial"/>
                <w:sz w:val="20"/>
                <w:szCs w:val="20"/>
              </w:rPr>
              <w:t>部分畜禽粪经初步处理后送往现有的有机肥厂生产商品有机肥并通过成熟的市场机制销售</w:t>
            </w:r>
          </w:p>
        </w:tc>
        <w:tc>
          <w:tcPr>
            <w:tcW w:w="3018" w:type="pct"/>
          </w:tcPr>
          <w:p w14:paraId="7723744B">
            <w:pPr>
              <w:pStyle w:val="48"/>
              <w:ind w:firstLine="0" w:firstLineChars="0"/>
              <w:rPr>
                <w:rFonts w:ascii="Arial" w:hAnsi="Arial" w:cs="Arial"/>
                <w:sz w:val="20"/>
                <w:szCs w:val="20"/>
              </w:rPr>
            </w:pPr>
            <w:r>
              <w:rPr>
                <w:rFonts w:ascii="Arial" w:hAnsi="Arial" w:cs="Arial"/>
                <w:sz w:val="20"/>
                <w:szCs w:val="20"/>
              </w:rPr>
              <w:t>现有的有机肥厂涉及征地约10至30亩；施工期</w:t>
            </w:r>
            <w:r>
              <w:rPr>
                <w:rFonts w:hint="eastAsia" w:ascii="Arial" w:hAnsi="Arial" w:cs="Arial"/>
                <w:sz w:val="20"/>
                <w:szCs w:val="20"/>
                <w:lang w:eastAsia="zh-CN"/>
              </w:rPr>
              <w:t>涉及</w:t>
            </w:r>
            <w:r>
              <w:rPr>
                <w:rFonts w:ascii="Arial" w:hAnsi="Arial" w:cs="Arial"/>
                <w:sz w:val="20"/>
                <w:szCs w:val="20"/>
              </w:rPr>
              <w:t>一些工人，运行期涉及约15名工人。这些设施的性质决定了它们会产生污水、沼气和恶臭等污染物，若不采取适当的措施，将对环境产生不利影响。</w:t>
            </w:r>
          </w:p>
          <w:p w14:paraId="26315383">
            <w:pPr>
              <w:pStyle w:val="48"/>
              <w:adjustRightInd w:val="0"/>
              <w:snapToGrid w:val="0"/>
              <w:spacing w:before="120" w:beforeLines="50"/>
              <w:ind w:firstLine="0" w:firstLineChars="0"/>
              <w:rPr>
                <w:rFonts w:ascii="Arial" w:hAnsi="Arial" w:cs="Arial"/>
                <w:sz w:val="20"/>
                <w:szCs w:val="20"/>
              </w:rPr>
            </w:pPr>
            <w:r>
              <w:rPr>
                <w:rFonts w:ascii="Arial" w:hAnsi="Arial" w:cs="Arial"/>
                <w:sz w:val="20"/>
                <w:szCs w:val="20"/>
              </w:rPr>
              <w:t>国家具有相应的法规、政策和规范管理有机肥企业的环境与社会影响，所考察的有机肥厂基本能按要求开展环评、稳评、环保验收、排污许可等环境与社会管理工作，对相关的废水、臭气等污染物进行有效管理。生产的商品有机肥经质量检测合格并经农业农村部门审批发放肥料登记证才能投放市场。</w:t>
            </w:r>
          </w:p>
        </w:tc>
        <w:tc>
          <w:tcPr>
            <w:tcW w:w="512" w:type="pct"/>
          </w:tcPr>
          <w:p w14:paraId="4D5DA294">
            <w:pPr>
              <w:pStyle w:val="48"/>
              <w:ind w:firstLine="0" w:firstLineChars="0"/>
              <w:rPr>
                <w:rFonts w:ascii="Arial" w:hAnsi="Arial" w:cs="Arial"/>
                <w:sz w:val="20"/>
                <w:szCs w:val="20"/>
              </w:rPr>
            </w:pPr>
            <w:r>
              <w:rPr>
                <w:rFonts w:ascii="Arial" w:hAnsi="Arial" w:cs="Arial"/>
                <w:sz w:val="20"/>
                <w:szCs w:val="20"/>
              </w:rPr>
              <w:t>综合风险水平中等</w:t>
            </w:r>
          </w:p>
        </w:tc>
      </w:tr>
    </w:tbl>
    <w:p w14:paraId="67E31F05">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技援类活动的下游影响</w:t>
      </w:r>
      <w:r>
        <w:rPr>
          <w:rFonts w:ascii="Arial" w:hAnsi="Arial" w:cs="Arial"/>
          <w:sz w:val="22"/>
        </w:rPr>
        <w:t>：除了实体活动之外，本项目下还包括一些技术援助活动，如制定规章、标准和指南，建立支付报告系统，开展人才培养，提供运行维护培训等。这些活动的实施有助于加强项目实施单位的能力、</w:t>
      </w:r>
      <w:r>
        <w:rPr>
          <w:rFonts w:hint="eastAsia" w:ascii="Arial" w:hAnsi="Arial" w:cs="Arial"/>
          <w:sz w:val="22"/>
          <w:lang w:eastAsia="zh-CN"/>
        </w:rPr>
        <w:t>增强</w:t>
      </w:r>
      <w:r>
        <w:rPr>
          <w:rFonts w:ascii="Arial" w:hAnsi="Arial" w:cs="Arial"/>
          <w:sz w:val="22"/>
        </w:rPr>
        <w:t>公众的环保意识、改善农村生活环境和农村人民健康。除少数涉及研究人员用工、户外调研活动、多部门协调和利益相关方参与等活动，实施技援活动本身的直接环境与社会风险很小或者没有。但某些技援活动支持的研究成果（如制定绿色农业发展相关标准、规范和指南）付诸实施后，可能引发下游投资活动（如绿色种植业和养殖业活动），从而间接产生环境与社会风险和影响（相关评价详见</w:t>
      </w:r>
      <w:r>
        <w:rPr>
          <w:rFonts w:ascii="Arial" w:hAnsi="Arial" w:cs="Arial"/>
          <w:b/>
          <w:bCs/>
          <w:sz w:val="22"/>
        </w:rPr>
        <w:fldChar w:fldCharType="begin"/>
      </w:r>
      <w:r>
        <w:rPr>
          <w:rFonts w:ascii="Arial" w:hAnsi="Arial" w:cs="Arial"/>
          <w:b/>
          <w:bCs/>
          <w:sz w:val="22"/>
        </w:rPr>
        <w:instrText xml:space="preserve"> REF _Ref91102200 \r \h  \* MERGEFORMAT </w:instrText>
      </w:r>
      <w:r>
        <w:rPr>
          <w:rFonts w:ascii="Arial" w:hAnsi="Arial" w:cs="Arial"/>
          <w:b/>
          <w:bCs/>
          <w:sz w:val="22"/>
        </w:rPr>
        <w:fldChar w:fldCharType="separate"/>
      </w:r>
      <w:r>
        <w:rPr>
          <w:rFonts w:ascii="Arial" w:hAnsi="Arial" w:cs="Arial"/>
          <w:b/>
          <w:bCs/>
          <w:sz w:val="22"/>
        </w:rPr>
        <w:t>附件2</w:t>
      </w:r>
      <w:r>
        <w:rPr>
          <w:rFonts w:ascii="Arial" w:hAnsi="Arial" w:cs="Arial"/>
          <w:b/>
          <w:bCs/>
          <w:sz w:val="22"/>
        </w:rPr>
        <w:fldChar w:fldCharType="end"/>
      </w:r>
      <w:r>
        <w:rPr>
          <w:rFonts w:ascii="Arial" w:hAnsi="Arial" w:cs="Arial"/>
          <w:sz w:val="22"/>
        </w:rPr>
        <w:t>）。总体来说，本项目下技援活动不会对环境与社会产生潜在的高风险，但要求：</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在课题研究</w:t>
      </w:r>
      <w:r>
        <w:rPr>
          <w:rFonts w:ascii="Arial" w:hAnsi="Arial" w:cs="Arial"/>
          <w:sz w:val="22"/>
        </w:rPr>
        <w:t>技援工作任务大纲中提出开展环境与社会影响评价及利益相关方参与的要求；</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在</w:t>
      </w:r>
      <w:r>
        <w:rPr>
          <w:rFonts w:ascii="Arial" w:hAnsi="Arial" w:cs="Arial"/>
          <w:sz w:val="22"/>
          <w:lang w:val="en-GB"/>
        </w:rPr>
        <w:t>课题研究</w:t>
      </w:r>
      <w:r>
        <w:rPr>
          <w:rFonts w:ascii="Arial" w:hAnsi="Arial" w:cs="Arial"/>
          <w:sz w:val="22"/>
        </w:rPr>
        <w:t>过程中实施利益相关方参与活动；</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在研究成果中包括环境与社会影响评价篇章。</w:t>
      </w:r>
    </w:p>
    <w:p w14:paraId="0F29F828">
      <w:pPr>
        <w:pStyle w:val="48"/>
        <w:adjustRightInd w:val="0"/>
        <w:snapToGrid w:val="0"/>
        <w:spacing w:before="120" w:after="120"/>
        <w:ind w:left="420" w:firstLineChars="0"/>
        <w:rPr>
          <w:rFonts w:ascii="Arial" w:hAnsi="Arial" w:cs="Arial"/>
          <w:b/>
          <w:bCs/>
          <w:color w:val="1F4E79" w:themeColor="accent5" w:themeShade="80"/>
          <w:sz w:val="22"/>
        </w:rPr>
      </w:pPr>
      <w:bookmarkStart w:id="229" w:name="_Toc107747426"/>
      <w:r>
        <w:rPr>
          <w:rFonts w:hint="eastAsia" w:ascii="Arial" w:hAnsi="Arial" w:cs="Arial"/>
          <w:b/>
          <w:bCs/>
          <w:color w:val="1F4E79" w:themeColor="accent5" w:themeShade="80"/>
          <w:sz w:val="22"/>
        </w:rPr>
        <w:t>累积影响</w:t>
      </w:r>
      <w:bookmarkEnd w:id="229"/>
    </w:p>
    <w:p w14:paraId="5821DB3D">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实施期间，本项目下各类活动（包括生活污水处理、生活垃圾收集与转运、畜禽粪污处理等实体工程以及规章制定等技援活动）可能与政府规划下其他投资活动（如高标准农田建设、整治提升村容村貌、乡村基础设施建设等）以及区域内其他相关项目（如世界银行结果导向型贷款长江保护与生态恢复项目</w:t>
      </w:r>
      <w:r>
        <w:rPr>
          <w:rFonts w:hint="eastAsia" w:ascii="Arial" w:hAnsi="Arial" w:cs="Arial"/>
          <w:sz w:val="22"/>
        </w:rPr>
        <w:t>湖北</w:t>
      </w:r>
      <w:r>
        <w:rPr>
          <w:rFonts w:ascii="Arial" w:hAnsi="Arial" w:cs="Arial"/>
          <w:sz w:val="22"/>
        </w:rPr>
        <w:t>、世界银行贷款湖南省农田污染综合管理项目等），同步实施或交替开展，从而对所在区域（湖南和湖北省）的自然和社会环境产生一定的协同效应或累积影响。但首先，无论是PforR活动还是</w:t>
      </w:r>
      <w:r>
        <w:rPr>
          <w:rFonts w:hint="eastAsia" w:ascii="Arial" w:hAnsi="Arial" w:cs="Arial"/>
          <w:sz w:val="22"/>
          <w:lang w:eastAsia="zh-CN"/>
        </w:rPr>
        <w:t>其他</w:t>
      </w:r>
      <w:r>
        <w:rPr>
          <w:rFonts w:ascii="Arial" w:hAnsi="Arial" w:cs="Arial"/>
          <w:sz w:val="22"/>
        </w:rPr>
        <w:t>项目活动，各地区的土地利用都必须符合当地总体土地利用规划，确保各省和市县特定时期的土地使用均按土地利用规划实施。其次，这些活动将分散在两省多个市县内进行，在同一地点同时开展众多开发建设活动的可能性很小，因此分期实施的局部环境与社会影响将不会产生显著的累积性环境与社会消极影响（如叠加的扬尘、噪声、废水、固体废物、植被破坏、外来务工人员对当地社区的干扰、物价变化等）。再次，根据项目设计与排除原则，本项目将不涉及环境或社会敏感区域，并且本项目下各类活动都属于环境保护类小型活动，实施后会明显改善区域环境质量，因此本项目的实施不会显著增加区域性消极累积影响。最后，在上述相关项目的协同作用下，本项目将获得累积性净效益，即促进湖南和湖北省的污染物减排、农业生态环境改善、区域社会经济提升：</w:t>
      </w:r>
    </w:p>
    <w:p w14:paraId="25E4A2A8">
      <w:pPr>
        <w:pStyle w:val="48"/>
        <w:numPr>
          <w:ilvl w:val="0"/>
          <w:numId w:val="7"/>
        </w:numPr>
        <w:adjustRightInd w:val="0"/>
        <w:snapToGrid w:val="0"/>
        <w:spacing w:after="120" w:afterLines="50"/>
        <w:ind w:left="851" w:hanging="851" w:firstLineChars="0"/>
        <w:rPr>
          <w:rFonts w:ascii="Arial" w:hAnsi="Arial" w:cs="Arial"/>
          <w:b/>
          <w:bCs/>
          <w:sz w:val="22"/>
        </w:rPr>
      </w:pPr>
      <w:r>
        <w:rPr>
          <w:rFonts w:ascii="Arial" w:hAnsi="Arial" w:cs="Arial"/>
          <w:b/>
          <w:bCs/>
          <w:sz w:val="22"/>
        </w:rPr>
        <w:t>规划区域内通过污水收集与处理实现</w:t>
      </w:r>
      <w:r>
        <w:rPr>
          <w:rFonts w:ascii="Arial" w:hAnsi="Arial" w:cs="Arial"/>
          <w:b/>
          <w:bCs/>
          <w:sz w:val="22"/>
          <w:lang w:val="en-GB"/>
        </w:rPr>
        <w:t>区域</w:t>
      </w:r>
      <w:r>
        <w:rPr>
          <w:rFonts w:ascii="Arial" w:hAnsi="Arial" w:cs="Arial"/>
          <w:b/>
          <w:bCs/>
          <w:sz w:val="22"/>
        </w:rPr>
        <w:t>污染物减量：</w:t>
      </w:r>
      <w:r>
        <w:rPr>
          <w:rFonts w:ascii="Arial" w:hAnsi="Arial" w:cs="Arial"/>
          <w:sz w:val="22"/>
        </w:rPr>
        <w:t>本项目</w:t>
      </w:r>
      <w:r>
        <w:rPr>
          <w:rFonts w:ascii="Arial" w:hAnsi="Arial" w:cs="Arial"/>
          <w:sz w:val="22"/>
          <w:lang w:val="en-GB"/>
        </w:rPr>
        <w:t>PforR</w:t>
      </w:r>
      <w:r>
        <w:rPr>
          <w:rFonts w:ascii="Arial" w:hAnsi="Arial" w:cs="Arial"/>
          <w:sz w:val="22"/>
        </w:rPr>
        <w:t>实施的农村生活污水管理设施以及政府乡村振兴规划实施的城镇生活污水管理设施的共同开展将显著减少区域内进入地表水体的污染物排放量。</w:t>
      </w:r>
      <w:r>
        <w:rPr>
          <w:rFonts w:ascii="Arial" w:hAnsi="Arial" w:cs="Arial"/>
          <w:bCs/>
          <w:sz w:val="22"/>
        </w:rPr>
        <w:t>这些污水设施一般可以实现</w:t>
      </w:r>
      <w:r>
        <w:rPr>
          <w:rFonts w:ascii="Arial" w:hAnsi="Arial" w:cs="Arial"/>
          <w:sz w:val="22"/>
        </w:rPr>
        <w:t xml:space="preserve">化学需氧量 </w:t>
      </w:r>
      <w:r>
        <w:rPr>
          <w:rFonts w:hint="eastAsia" w:ascii="Arial" w:hAnsi="Arial" w:cs="Arial"/>
          <w:sz w:val="22"/>
          <w:lang w:val="en-GB" w:eastAsia="zh-CN"/>
        </w:rPr>
        <w:t>（</w:t>
      </w:r>
      <w:r>
        <w:rPr>
          <w:rFonts w:ascii="Arial" w:hAnsi="Arial" w:cs="Arial"/>
          <w:sz w:val="22"/>
        </w:rPr>
        <w:t>COD</w:t>
      </w:r>
      <w:r>
        <w:rPr>
          <w:rFonts w:hint="eastAsia" w:ascii="Arial" w:hAnsi="Arial" w:cs="Arial"/>
          <w:sz w:val="22"/>
          <w:lang w:eastAsia="zh-CN"/>
        </w:rPr>
        <w:t>）</w:t>
      </w:r>
      <w:r>
        <w:rPr>
          <w:rFonts w:ascii="Arial" w:hAnsi="Arial" w:cs="Arial"/>
          <w:sz w:val="22"/>
        </w:rPr>
        <w:t>减少70%</w:t>
      </w:r>
      <w:r>
        <w:rPr>
          <w:rFonts w:hint="eastAsia" w:ascii="Arial" w:hAnsi="Arial" w:cs="Arial"/>
          <w:sz w:val="22"/>
          <w:lang w:eastAsia="zh-CN"/>
        </w:rPr>
        <w:t>—</w:t>
      </w:r>
      <w:r>
        <w:rPr>
          <w:rFonts w:ascii="Arial" w:hAnsi="Arial" w:cs="Arial"/>
          <w:sz w:val="22"/>
        </w:rPr>
        <w:t>95%、氨氮减少80%</w:t>
      </w:r>
      <w:r>
        <w:rPr>
          <w:rFonts w:hint="eastAsia" w:ascii="Arial" w:hAnsi="Arial" w:cs="Arial"/>
          <w:sz w:val="22"/>
          <w:lang w:eastAsia="zh-CN"/>
        </w:rPr>
        <w:t>—</w:t>
      </w:r>
      <w:r>
        <w:rPr>
          <w:rFonts w:ascii="Arial" w:hAnsi="Arial" w:cs="Arial"/>
          <w:sz w:val="22"/>
        </w:rPr>
        <w:t>97%、总磷减少50%</w:t>
      </w:r>
      <w:r>
        <w:rPr>
          <w:rFonts w:hint="eastAsia" w:ascii="Arial" w:hAnsi="Arial" w:cs="Arial"/>
          <w:sz w:val="22"/>
          <w:lang w:eastAsia="zh-CN"/>
        </w:rPr>
        <w:t>—</w:t>
      </w:r>
      <w:r>
        <w:rPr>
          <w:rFonts w:ascii="Arial" w:hAnsi="Arial" w:cs="Arial"/>
          <w:sz w:val="22"/>
        </w:rPr>
        <w:t>90%、总氮减少70%</w:t>
      </w:r>
      <w:r>
        <w:rPr>
          <w:rFonts w:hint="eastAsia" w:ascii="Arial" w:hAnsi="Arial" w:cs="Arial"/>
          <w:sz w:val="22"/>
          <w:lang w:eastAsia="zh-CN"/>
        </w:rPr>
        <w:t>—</w:t>
      </w:r>
      <w:r>
        <w:rPr>
          <w:rFonts w:ascii="Arial" w:hAnsi="Arial" w:cs="Arial"/>
          <w:sz w:val="22"/>
        </w:rPr>
        <w:t>90%。在两省地理范围内，所有污水设施对污染物减量的累积性效益将非常显著。</w:t>
      </w:r>
    </w:p>
    <w:p w14:paraId="4F40C54C">
      <w:pPr>
        <w:pStyle w:val="48"/>
        <w:numPr>
          <w:ilvl w:val="0"/>
          <w:numId w:val="7"/>
        </w:numPr>
        <w:adjustRightInd w:val="0"/>
        <w:snapToGrid w:val="0"/>
        <w:spacing w:after="120" w:afterLines="50"/>
        <w:ind w:left="851" w:hanging="851" w:firstLineChars="0"/>
        <w:rPr>
          <w:rFonts w:ascii="Arial" w:hAnsi="Arial" w:cs="Arial"/>
          <w:b/>
          <w:bCs/>
          <w:sz w:val="22"/>
        </w:rPr>
      </w:pPr>
      <w:r>
        <w:rPr>
          <w:rFonts w:ascii="Arial" w:hAnsi="Arial" w:cs="Arial"/>
          <w:b/>
          <w:bCs/>
          <w:sz w:val="22"/>
        </w:rPr>
        <w:t>规划区域内通过畜禽粪污和水产尾水处理实现区域污染物减量：</w:t>
      </w:r>
      <w:r>
        <w:rPr>
          <w:rFonts w:ascii="Arial" w:hAnsi="Arial" w:cs="Arial"/>
          <w:sz w:val="22"/>
        </w:rPr>
        <w:t>畜禽粪污以及水产养殖尾水的处理将显著减少各类规模养殖场的污染物排放量。据统计，</w:t>
      </w:r>
      <w:r>
        <w:rPr>
          <w:rFonts w:ascii="Arial" w:hAnsi="Arial" w:cs="Arial"/>
          <w:bCs/>
          <w:sz w:val="22"/>
        </w:rPr>
        <w:t>畜禽粪污处理系统一般可以实现</w:t>
      </w:r>
      <w:r>
        <w:rPr>
          <w:rFonts w:ascii="Arial" w:hAnsi="Arial" w:cs="Arial"/>
          <w:sz w:val="22"/>
        </w:rPr>
        <w:t>COD减少约40%</w:t>
      </w:r>
      <w:r>
        <w:rPr>
          <w:rFonts w:hint="eastAsia" w:ascii="Arial" w:hAnsi="Arial" w:cs="Arial"/>
          <w:sz w:val="22"/>
          <w:lang w:eastAsia="zh-CN"/>
        </w:rPr>
        <w:t>—</w:t>
      </w:r>
      <w:r>
        <w:rPr>
          <w:rFonts w:ascii="Arial" w:hAnsi="Arial" w:cs="Arial"/>
          <w:sz w:val="22"/>
        </w:rPr>
        <w:t>95%、五日生化需氧量</w:t>
      </w:r>
      <w:r>
        <w:rPr>
          <w:rFonts w:ascii="Arial" w:hAnsi="Arial" w:cs="Arial"/>
          <w:sz w:val="22"/>
          <w:lang w:val="en-GB"/>
        </w:rPr>
        <w:t xml:space="preserve"> </w:t>
      </w:r>
      <w:r>
        <w:rPr>
          <w:rFonts w:hint="eastAsia" w:ascii="Arial" w:hAnsi="Arial" w:cs="Arial"/>
          <w:sz w:val="22"/>
          <w:lang w:val="en-GB" w:eastAsia="zh-CN"/>
        </w:rPr>
        <w:t>（</w:t>
      </w:r>
      <w:r>
        <w:rPr>
          <w:rFonts w:ascii="Arial" w:hAnsi="Arial" w:cs="Arial"/>
          <w:sz w:val="22"/>
        </w:rPr>
        <w:t>BOD</w:t>
      </w:r>
      <w:r>
        <w:rPr>
          <w:rFonts w:ascii="Arial" w:hAnsi="Arial" w:cs="Arial"/>
          <w:sz w:val="22"/>
          <w:vertAlign w:val="subscript"/>
        </w:rPr>
        <w:t>5</w:t>
      </w:r>
      <w:r>
        <w:rPr>
          <w:rFonts w:hint="eastAsia" w:ascii="Arial" w:hAnsi="Arial" w:cs="Arial"/>
          <w:sz w:val="22"/>
          <w:lang w:eastAsia="zh-CN"/>
        </w:rPr>
        <w:t>）</w:t>
      </w:r>
      <w:r>
        <w:rPr>
          <w:rFonts w:ascii="Arial" w:hAnsi="Arial" w:cs="Arial"/>
          <w:sz w:val="22"/>
        </w:rPr>
        <w:t xml:space="preserve"> 减少60%</w:t>
      </w:r>
      <w:r>
        <w:rPr>
          <w:rFonts w:hint="eastAsia" w:ascii="Arial" w:hAnsi="Arial" w:cs="Arial"/>
          <w:sz w:val="22"/>
          <w:lang w:eastAsia="zh-CN"/>
        </w:rPr>
        <w:t>—</w:t>
      </w:r>
      <w:r>
        <w:rPr>
          <w:rFonts w:ascii="Arial" w:hAnsi="Arial" w:cs="Arial"/>
          <w:sz w:val="22"/>
        </w:rPr>
        <w:t>96%、大肠菌群减少</w:t>
      </w:r>
      <w:r>
        <w:rPr>
          <w:rFonts w:hint="eastAsia" w:ascii="Arial" w:hAnsi="Arial" w:cs="Arial"/>
          <w:sz w:val="22"/>
          <w:lang w:eastAsia="zh-CN"/>
        </w:rPr>
        <w:t>70%—97%</w:t>
      </w:r>
      <w:r>
        <w:rPr>
          <w:rFonts w:ascii="Arial" w:hAnsi="Arial" w:cs="Arial"/>
          <w:sz w:val="22"/>
        </w:rPr>
        <w:t>、总磷减少50%</w:t>
      </w:r>
      <w:r>
        <w:rPr>
          <w:rFonts w:hint="eastAsia" w:ascii="Arial" w:hAnsi="Arial" w:cs="Arial"/>
          <w:sz w:val="22"/>
          <w:lang w:eastAsia="zh-CN"/>
        </w:rPr>
        <w:t>—</w:t>
      </w:r>
      <w:r>
        <w:rPr>
          <w:rFonts w:ascii="Arial" w:hAnsi="Arial" w:cs="Arial"/>
          <w:sz w:val="22"/>
        </w:rPr>
        <w:t>95％。在畜禽粪污完全作为肥料施用于土地的情况下，还可以实现更大的减量幅度。另据国内相关研究</w:t>
      </w:r>
      <w:r>
        <w:rPr>
          <w:rStyle w:val="46"/>
          <w:rFonts w:ascii="Arial" w:hAnsi="Arial" w:cs="Arial"/>
          <w:sz w:val="22"/>
        </w:rPr>
        <w:footnoteReference w:id="2"/>
      </w:r>
      <w:r>
        <w:rPr>
          <w:rFonts w:ascii="Arial" w:hAnsi="Arial" w:cs="Arial"/>
          <w:sz w:val="22"/>
        </w:rPr>
        <w:t>，水产养殖尾水生态处理系统一般可以实现COD减少</w:t>
      </w:r>
      <w:r>
        <w:rPr>
          <w:rFonts w:hint="eastAsia" w:ascii="Arial" w:hAnsi="Arial" w:cs="Arial"/>
          <w:sz w:val="22"/>
          <w:lang w:eastAsia="zh-CN"/>
        </w:rPr>
        <w:t>65%—93%</w:t>
      </w:r>
      <w:r>
        <w:rPr>
          <w:rFonts w:ascii="Arial" w:hAnsi="Arial" w:cs="Arial"/>
          <w:sz w:val="22"/>
        </w:rPr>
        <w:t>、总磷减少31%</w:t>
      </w:r>
      <w:r>
        <w:rPr>
          <w:rFonts w:hint="eastAsia" w:ascii="Arial" w:hAnsi="Arial" w:cs="Arial"/>
          <w:sz w:val="22"/>
          <w:lang w:eastAsia="zh-CN"/>
        </w:rPr>
        <w:t>—</w:t>
      </w:r>
      <w:r>
        <w:rPr>
          <w:rFonts w:ascii="Arial" w:hAnsi="Arial" w:cs="Arial"/>
          <w:sz w:val="22"/>
        </w:rPr>
        <w:t>87%、总氮减少31%</w:t>
      </w:r>
      <w:r>
        <w:rPr>
          <w:rFonts w:hint="eastAsia" w:ascii="Arial" w:hAnsi="Arial" w:cs="Arial"/>
          <w:sz w:val="22"/>
          <w:lang w:eastAsia="zh-CN"/>
        </w:rPr>
        <w:t>—</w:t>
      </w:r>
      <w:r>
        <w:rPr>
          <w:rFonts w:ascii="Arial" w:hAnsi="Arial" w:cs="Arial"/>
          <w:sz w:val="22"/>
        </w:rPr>
        <w:t>86%。两省政府规划以及本项目下众多畜禽粪污与水产养殖尾水处理系统的共同作用将会给区域带来显著的环境与社会效益，包括面源污水降低、水环境与土壤质量改善、农产品质量提高、社区健康等方面的效益。</w:t>
      </w:r>
    </w:p>
    <w:p w14:paraId="02DDCC48">
      <w:pPr>
        <w:pStyle w:val="48"/>
        <w:numPr>
          <w:ilvl w:val="0"/>
          <w:numId w:val="7"/>
        </w:numPr>
        <w:adjustRightInd w:val="0"/>
        <w:snapToGrid w:val="0"/>
        <w:spacing w:after="120" w:afterLines="50"/>
        <w:ind w:left="851" w:hanging="851" w:firstLineChars="0"/>
        <w:rPr>
          <w:rFonts w:ascii="Arial" w:hAnsi="Arial" w:cs="Arial"/>
          <w:b/>
          <w:bCs/>
          <w:sz w:val="22"/>
        </w:rPr>
      </w:pPr>
      <w:r>
        <w:rPr>
          <w:rFonts w:ascii="Arial" w:hAnsi="Arial" w:cs="Arial"/>
          <w:b/>
          <w:bCs/>
          <w:sz w:val="22"/>
        </w:rPr>
        <w:t>规划区域内通过实施同类项目促进区域绿色农业和乡村振兴发展：</w:t>
      </w:r>
      <w:r>
        <w:rPr>
          <w:rFonts w:ascii="Arial" w:hAnsi="Arial" w:cs="Arial"/>
          <w:sz w:val="22"/>
        </w:rPr>
        <w:t>两省实施的其他世行贷款项目如湖北省的世界银行结果导向型贷款长江保护与生态恢复项目</w:t>
      </w:r>
      <w:r>
        <w:rPr>
          <w:rFonts w:hint="eastAsia" w:ascii="Arial" w:hAnsi="Arial" w:cs="Arial"/>
          <w:sz w:val="22"/>
        </w:rPr>
        <w:t>（湖北）</w:t>
      </w:r>
      <w:r>
        <w:rPr>
          <w:rFonts w:ascii="Arial" w:hAnsi="Arial" w:cs="Arial"/>
          <w:sz w:val="22"/>
        </w:rPr>
        <w:t>、湖南省的世界银行贷款湖南省农田污染综合管理项目等，均包含与本项目相似类型的活动，并实施类似的环境与社会管理机制。这些活动与本项目协同和累加，将在两省更广泛的区域内深度推进农业面源污染防治、污染土地修复、绿色农业发展、乡村振兴等效应，不断拓展农业生态环境保护和农村居住环境改善。</w:t>
      </w:r>
    </w:p>
    <w:p w14:paraId="11F28734">
      <w:pPr>
        <w:pStyle w:val="48"/>
        <w:numPr>
          <w:ilvl w:val="0"/>
          <w:numId w:val="7"/>
        </w:numPr>
        <w:snapToGrid w:val="0"/>
        <w:ind w:left="851" w:hanging="851" w:firstLineChars="0"/>
        <w:jc w:val="both"/>
        <w:rPr>
          <w:rFonts w:ascii="Arial" w:hAnsi="Arial" w:cs="Arial"/>
          <w:sz w:val="22"/>
        </w:rPr>
      </w:pPr>
      <w:bookmarkStart w:id="230" w:name="_Toc107747428"/>
      <w:r>
        <w:rPr>
          <w:rFonts w:ascii="Arial" w:hAnsi="Arial" w:cs="Arial"/>
          <w:b/>
          <w:bCs/>
          <w:sz w:val="22"/>
        </w:rPr>
        <w:t>规划区域内绿色农业和乡村振兴管理能力提升</w:t>
      </w:r>
      <w:r>
        <w:rPr>
          <w:rFonts w:ascii="Arial" w:hAnsi="Arial" w:cs="Arial"/>
          <w:sz w:val="22"/>
        </w:rPr>
        <w:t>：结合区域内其他世行项目的实施，本项目开展的研究与培训等技援活动将进一步加强绿色农业发展与乡村振兴方面的机构建设、法规体系和管理能力，从而产生长期的正面效益。</w:t>
      </w:r>
    </w:p>
    <w:p w14:paraId="20398D58">
      <w:pPr>
        <w:pStyle w:val="3"/>
        <w:rPr>
          <w:color w:val="1F4E79" w:themeColor="accent5" w:themeShade="80"/>
          <w:sz w:val="24"/>
        </w:rPr>
      </w:pPr>
      <w:bookmarkStart w:id="231" w:name="_Toc119937280"/>
      <w:r>
        <w:rPr>
          <w:color w:val="1F4E79" w:themeColor="accent5" w:themeShade="80"/>
          <w:sz w:val="24"/>
        </w:rPr>
        <w:t>3.5</w:t>
      </w:r>
      <w:r>
        <w:rPr>
          <w:color w:val="1F4E79" w:themeColor="accent5" w:themeShade="80"/>
          <w:sz w:val="24"/>
        </w:rPr>
        <w:tab/>
      </w:r>
      <w:r>
        <w:rPr>
          <w:color w:val="1F4E79" w:themeColor="accent5" w:themeShade="80"/>
          <w:sz w:val="24"/>
        </w:rPr>
        <w:tab/>
      </w:r>
      <w:r>
        <w:rPr>
          <w:color w:val="1F4E79" w:themeColor="accent5" w:themeShade="80"/>
          <w:sz w:val="24"/>
        </w:rPr>
        <w:t>环境与社会风险评级</w:t>
      </w:r>
      <w:bookmarkEnd w:id="230"/>
      <w:bookmarkEnd w:id="231"/>
    </w:p>
    <w:p w14:paraId="5AF01CF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232" w:name="_Toc107747429"/>
      <w:r>
        <w:rPr>
          <w:rFonts w:ascii="Arial" w:hAnsi="Arial" w:cs="Arial"/>
          <w:sz w:val="22"/>
        </w:rPr>
        <w:t>综合考虑以下四个因素，对本项目活动开展了环境与社会风险评级：</w:t>
      </w:r>
      <w:r>
        <w:rPr>
          <w:rFonts w:hint="eastAsia" w:ascii="Arial" w:hAnsi="Arial" w:cs="Arial"/>
          <w:sz w:val="22"/>
          <w:lang w:eastAsia="zh-CN"/>
        </w:rPr>
        <w:t>（</w:t>
      </w:r>
      <w:r>
        <w:rPr>
          <w:rFonts w:ascii="Arial" w:hAnsi="Arial" w:cs="Arial"/>
          <w:sz w:val="22"/>
        </w:rPr>
        <w:t>a</w:t>
      </w:r>
      <w:r>
        <w:rPr>
          <w:rFonts w:hint="eastAsia" w:ascii="Arial" w:hAnsi="Arial" w:cs="Arial"/>
          <w:sz w:val="22"/>
          <w:lang w:eastAsia="zh-CN"/>
        </w:rPr>
        <w:t>）</w:t>
      </w:r>
      <w:r>
        <w:rPr>
          <w:rFonts w:ascii="Arial" w:hAnsi="Arial" w:cs="Arial"/>
          <w:sz w:val="22"/>
        </w:rPr>
        <w:t xml:space="preserve"> 环境与社会影响；</w:t>
      </w:r>
      <w:r>
        <w:rPr>
          <w:rFonts w:hint="eastAsia" w:ascii="Arial" w:hAnsi="Arial" w:cs="Arial"/>
          <w:sz w:val="22"/>
          <w:lang w:eastAsia="zh-CN"/>
        </w:rPr>
        <w:t>（</w:t>
      </w:r>
      <w:r>
        <w:rPr>
          <w:rFonts w:ascii="Arial" w:hAnsi="Arial" w:cs="Arial"/>
          <w:sz w:val="22"/>
        </w:rPr>
        <w:t>b</w:t>
      </w:r>
      <w:r>
        <w:rPr>
          <w:rFonts w:hint="eastAsia" w:ascii="Arial" w:hAnsi="Arial" w:cs="Arial"/>
          <w:sz w:val="22"/>
          <w:lang w:eastAsia="zh-CN"/>
        </w:rPr>
        <w:t>）</w:t>
      </w:r>
      <w:r>
        <w:rPr>
          <w:rFonts w:ascii="Arial" w:hAnsi="Arial" w:cs="Arial"/>
          <w:sz w:val="22"/>
        </w:rPr>
        <w:t xml:space="preserve"> 环境与社会背景风险；</w:t>
      </w:r>
      <w:r>
        <w:rPr>
          <w:rFonts w:hint="eastAsia" w:ascii="Arial" w:hAnsi="Arial" w:cs="Arial"/>
          <w:sz w:val="22"/>
          <w:lang w:eastAsia="zh-CN"/>
        </w:rPr>
        <w:t>（</w:t>
      </w:r>
      <w:r>
        <w:rPr>
          <w:rFonts w:ascii="Arial" w:hAnsi="Arial" w:cs="Arial"/>
          <w:sz w:val="22"/>
        </w:rPr>
        <w:t>c</w:t>
      </w:r>
      <w:r>
        <w:rPr>
          <w:rFonts w:hint="eastAsia" w:ascii="Arial" w:hAnsi="Arial" w:cs="Arial"/>
          <w:sz w:val="22"/>
          <w:lang w:eastAsia="zh-CN"/>
        </w:rPr>
        <w:t>）</w:t>
      </w:r>
      <w:r>
        <w:rPr>
          <w:rFonts w:ascii="Arial" w:hAnsi="Arial" w:cs="Arial"/>
          <w:sz w:val="22"/>
        </w:rPr>
        <w:t xml:space="preserve"> 机构能力和复杂性风险；</w:t>
      </w:r>
      <w:r>
        <w:rPr>
          <w:rFonts w:hint="eastAsia" w:ascii="Arial" w:hAnsi="Arial" w:cs="Arial"/>
          <w:sz w:val="22"/>
          <w:lang w:eastAsia="zh-CN"/>
        </w:rPr>
        <w:t>（</w:t>
      </w:r>
      <w:r>
        <w:rPr>
          <w:rFonts w:ascii="Arial" w:hAnsi="Arial" w:cs="Arial"/>
          <w:sz w:val="22"/>
        </w:rPr>
        <w:t>d</w:t>
      </w:r>
      <w:r>
        <w:rPr>
          <w:rFonts w:hint="eastAsia" w:ascii="Arial" w:hAnsi="Arial" w:cs="Arial"/>
          <w:sz w:val="22"/>
          <w:lang w:eastAsia="zh-CN"/>
        </w:rPr>
        <w:t>）</w:t>
      </w:r>
      <w:r>
        <w:rPr>
          <w:rFonts w:ascii="Arial" w:hAnsi="Arial" w:cs="Arial"/>
          <w:sz w:val="22"/>
        </w:rPr>
        <w:t xml:space="preserve"> 政治和声誉风险。通过分析可知，拟开展的项目活动环境与社会风险等级不同，其中少数具有高风险的活动被排除后，其他活动的风险等级为较</w:t>
      </w:r>
      <w:r>
        <w:rPr>
          <w:rFonts w:hint="eastAsia" w:ascii="Arial" w:hAnsi="Arial" w:cs="Arial"/>
          <w:sz w:val="22"/>
          <w:lang w:eastAsia="zh-CN"/>
        </w:rPr>
        <w:t>高中等</w:t>
      </w:r>
      <w:r>
        <w:rPr>
          <w:rFonts w:ascii="Arial" w:hAnsi="Arial" w:cs="Arial"/>
          <w:sz w:val="22"/>
        </w:rPr>
        <w:t>和低，均可通过实施有效的管理措施进行消减。以下各节对风险评级进行了总体描述，详细分析见</w:t>
      </w:r>
      <w:r>
        <w:rPr>
          <w:rFonts w:ascii="Arial" w:hAnsi="Arial" w:cs="Arial"/>
          <w:b/>
          <w:bCs/>
          <w:sz w:val="22"/>
        </w:rPr>
        <w:fldChar w:fldCharType="begin"/>
      </w:r>
      <w:r>
        <w:rPr>
          <w:rFonts w:ascii="Arial" w:hAnsi="Arial" w:cs="Arial"/>
          <w:b/>
          <w:bCs/>
          <w:sz w:val="22"/>
        </w:rPr>
        <w:instrText xml:space="preserve"> REF _Ref91101980 \r \h  \* MERGEFORMAT </w:instrText>
      </w:r>
      <w:r>
        <w:rPr>
          <w:rFonts w:ascii="Arial" w:hAnsi="Arial" w:cs="Arial"/>
          <w:b/>
          <w:bCs/>
          <w:sz w:val="22"/>
        </w:rPr>
        <w:fldChar w:fldCharType="separate"/>
      </w:r>
      <w:r>
        <w:rPr>
          <w:rFonts w:ascii="Arial" w:hAnsi="Arial" w:cs="Arial"/>
          <w:b/>
          <w:bCs/>
          <w:sz w:val="22"/>
        </w:rPr>
        <w:t>附件2</w:t>
      </w:r>
      <w:r>
        <w:rPr>
          <w:rFonts w:ascii="Arial" w:hAnsi="Arial" w:cs="Arial"/>
          <w:b/>
          <w:bCs/>
          <w:sz w:val="22"/>
        </w:rPr>
        <w:fldChar w:fldCharType="end"/>
      </w:r>
      <w:r>
        <w:rPr>
          <w:rFonts w:ascii="Arial" w:hAnsi="Arial" w:cs="Arial"/>
          <w:sz w:val="22"/>
        </w:rPr>
        <w:t>。</w:t>
      </w:r>
    </w:p>
    <w:p w14:paraId="4894322E">
      <w:pPr>
        <w:pStyle w:val="48"/>
        <w:adjustRightInd w:val="0"/>
        <w:snapToGrid w:val="0"/>
        <w:spacing w:before="120" w:after="120"/>
        <w:ind w:left="420" w:firstLineChars="0"/>
        <w:rPr>
          <w:rFonts w:ascii="Arial" w:hAnsi="Arial" w:cs="Arial"/>
          <w:b/>
          <w:bCs/>
          <w:color w:val="1F4E79" w:themeColor="accent5" w:themeShade="80"/>
          <w:sz w:val="22"/>
        </w:rPr>
      </w:pPr>
      <w:r>
        <w:rPr>
          <w:rFonts w:ascii="Arial" w:hAnsi="Arial" w:cs="Arial"/>
          <w:b/>
          <w:bCs/>
          <w:color w:val="1F4E79" w:themeColor="accent5" w:themeShade="80"/>
          <w:sz w:val="22"/>
        </w:rPr>
        <w:t>影响风险</w:t>
      </w:r>
      <w:bookmarkEnd w:id="232"/>
    </w:p>
    <w:p w14:paraId="7855F19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根据本项目发展目标及以上各节对环境与社会效益和影响分析可知，通过生态修复和污染治理系列活动，将对区域内环境和社会带来巨大的正面效益，包括污染物排放量削减、土壤质量提升、河湖水质改善、粮食安全水平提高、农业生态环境改善、农村生活条件提高等，将极大改善项目区的生态环境和人居环境质量，为区域生态恢复做出积极的贡献。不过，本</w:t>
      </w:r>
      <w:r>
        <w:rPr>
          <w:rFonts w:hint="eastAsia" w:ascii="Arial" w:hAnsi="Arial" w:cs="Arial"/>
          <w:sz w:val="22"/>
          <w:lang w:eastAsia="zh-CN"/>
        </w:rPr>
        <w:t>项目的</w:t>
      </w:r>
      <w:r>
        <w:rPr>
          <w:rFonts w:ascii="Arial" w:hAnsi="Arial" w:cs="Arial"/>
          <w:sz w:val="22"/>
        </w:rPr>
        <w:t>活动类型繁多，涵盖两个省23个示范县市，实施期间将产生各种各样的不利环境与社会影响，尽管这些影响可以在国内环境与社会管理系统下，利用已知和成熟的技术及良好的管理措施加以避免、减小或缓解。</w:t>
      </w:r>
    </w:p>
    <w:p w14:paraId="14230B4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因此，本项目总体的环境与社会效应风险等级定为“</w:t>
      </w:r>
      <w:r>
        <w:rPr>
          <w:rFonts w:ascii="Arial" w:hAnsi="Arial" w:cs="Arial"/>
          <w:b/>
          <w:bCs/>
          <w:sz w:val="22"/>
        </w:rPr>
        <w:t>较高</w:t>
      </w:r>
      <w:r>
        <w:rPr>
          <w:rFonts w:ascii="Arial" w:hAnsi="Arial" w:cs="Arial"/>
          <w:sz w:val="22"/>
        </w:rPr>
        <w:t>”。</w:t>
      </w:r>
      <w:r>
        <w:rPr>
          <w:rFonts w:ascii="Arial" w:hAnsi="Arial" w:cs="Arial"/>
          <w:b/>
          <w:sz w:val="22"/>
        </w:rPr>
        <w:t xml:space="preserve"> </w:t>
      </w:r>
    </w:p>
    <w:p w14:paraId="1F73496E">
      <w:pPr>
        <w:pStyle w:val="48"/>
        <w:adjustRightInd w:val="0"/>
        <w:snapToGrid w:val="0"/>
        <w:spacing w:before="120" w:after="120"/>
        <w:ind w:left="420" w:firstLineChars="0"/>
        <w:rPr>
          <w:rFonts w:ascii="Arial" w:hAnsi="Arial" w:cs="Arial"/>
          <w:b/>
          <w:bCs/>
          <w:color w:val="1F4E79" w:themeColor="accent5" w:themeShade="80"/>
          <w:sz w:val="22"/>
        </w:rPr>
      </w:pPr>
      <w:bookmarkStart w:id="233" w:name="_Toc107747430"/>
      <w:r>
        <w:rPr>
          <w:rFonts w:ascii="Arial" w:hAnsi="Arial" w:cs="Arial"/>
          <w:b/>
          <w:bCs/>
          <w:color w:val="1F4E79" w:themeColor="accent5" w:themeShade="80"/>
          <w:sz w:val="22"/>
        </w:rPr>
        <w:t>背景风险</w:t>
      </w:r>
      <w:bookmarkEnd w:id="233"/>
    </w:p>
    <w:p w14:paraId="24D4B6C3">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除了政策研究等技援活动涵盖较大区域范围，本项目下其他实体活动</w:t>
      </w:r>
      <w:r>
        <w:rPr>
          <w:rFonts w:hint="eastAsia" w:ascii="Arial" w:hAnsi="Arial" w:cs="Arial"/>
          <w:sz w:val="22"/>
          <w:lang w:eastAsia="zh-CN"/>
        </w:rPr>
        <w:t>基本</w:t>
      </w:r>
      <w:r>
        <w:rPr>
          <w:rFonts w:ascii="Arial" w:hAnsi="Arial" w:cs="Arial"/>
          <w:sz w:val="22"/>
        </w:rPr>
        <w:t>在农村地区开展。项目设施的日常运维管理和农业生产活动的开展均处于或靠近已经人类开发的现有乡镇或村庄，不会位于未经人类活动扰动的自然或重要栖息地。鉴于中国严格的自然保护地和生态保护红线制度</w:t>
      </w:r>
      <w:r>
        <w:rPr>
          <w:rFonts w:hint="eastAsia" w:ascii="Arial" w:hAnsi="Arial" w:cs="Arial"/>
          <w:sz w:val="22"/>
          <w:lang w:eastAsia="zh-CN"/>
        </w:rPr>
        <w:t>，以</w:t>
      </w:r>
      <w:r>
        <w:rPr>
          <w:rFonts w:ascii="Arial" w:hAnsi="Arial" w:cs="Arial"/>
          <w:sz w:val="22"/>
        </w:rPr>
        <w:t>及本项目的环境排除原则，本项目活动不会出现选址位于环境敏感性高的地区。尽管两省农耕地区广泛存在农药、化肥、畜禽粪污、水产养殖、重金属等引发的农业污染问题，但当地政府一直在努力改善这一状况。此外，本项目还排除所在区域存在严重遗留环境问题（如工矿企业污染）的活动。因此本项目的环境背景风险为中等。</w:t>
      </w:r>
    </w:p>
    <w:p w14:paraId="0F741A5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畜禽粪污处理和资源化利用设施大部分位于现有畜禽养殖场内，不额外新增用地，且规模不大，土地使用无需将农用地转为建设用地；另一方面，各种用地形式在湖北和湖南已建立起相应的管理体系，包括法律法规、政府部门审批备案和监管，且各县市每年实施的项目中，各种土地使用形式在当地广泛实施，相关用地政策和流程对用地单位、农户、村集体、政府都是公开的，且各方的掌握程度较好。一些活动位于少数民族区域，但经调查，项目区未发现任何社会遗留问题。各地居民和政府部门在生活垃圾分类、</w:t>
      </w:r>
      <w:r>
        <w:rPr>
          <w:rFonts w:hint="eastAsia" w:ascii="Arial" w:hAnsi="Arial" w:cs="Arial"/>
          <w:sz w:val="22"/>
          <w:lang w:eastAsia="zh-CN"/>
        </w:rPr>
        <w:t>农业面源污染</w:t>
      </w:r>
      <w:r>
        <w:rPr>
          <w:rFonts w:ascii="Arial" w:hAnsi="Arial" w:cs="Arial"/>
          <w:sz w:val="22"/>
        </w:rPr>
        <w:t>防控的宣传广泛</w:t>
      </w:r>
      <w:r>
        <w:rPr>
          <w:rFonts w:hint="eastAsia" w:ascii="Arial" w:hAnsi="Arial" w:cs="Arial"/>
          <w:sz w:val="22"/>
          <w:lang w:eastAsia="zh-CN"/>
        </w:rPr>
        <w:t>开展</w:t>
      </w:r>
      <w:r>
        <w:rPr>
          <w:rFonts w:ascii="Arial" w:hAnsi="Arial" w:cs="Arial"/>
          <w:sz w:val="22"/>
        </w:rPr>
        <w:t>，但缺乏指导。这些问题将通过开展农民培训、设施完善、管理和监督提升等活动来加以解决。因此本项目的社会背景风险为中等。</w:t>
      </w:r>
    </w:p>
    <w:p w14:paraId="7423BB6B">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sz w:val="22"/>
        </w:rPr>
        <w:t>因此，本项目总体的环境与社会背景风险等级为“</w:t>
      </w:r>
      <w:r>
        <w:rPr>
          <w:rFonts w:ascii="Arial" w:hAnsi="Arial" w:cs="Arial"/>
          <w:b/>
          <w:bCs/>
          <w:sz w:val="22"/>
        </w:rPr>
        <w:t>中等</w:t>
      </w:r>
      <w:r>
        <w:rPr>
          <w:rFonts w:ascii="Arial" w:hAnsi="Arial" w:cs="Arial"/>
          <w:sz w:val="22"/>
        </w:rPr>
        <w:t>”。</w:t>
      </w:r>
    </w:p>
    <w:p w14:paraId="19D9F813">
      <w:pPr>
        <w:pStyle w:val="48"/>
        <w:adjustRightInd w:val="0"/>
        <w:snapToGrid w:val="0"/>
        <w:spacing w:before="120" w:after="120"/>
        <w:ind w:firstLine="0" w:firstLineChars="0"/>
        <w:rPr>
          <w:rFonts w:ascii="Arial" w:hAnsi="Arial" w:cs="Arial"/>
          <w:color w:val="1F4E79" w:themeColor="accent5" w:themeShade="80"/>
          <w:sz w:val="22"/>
        </w:rPr>
      </w:pPr>
      <w:r>
        <w:rPr>
          <w:rFonts w:ascii="Arial" w:hAnsi="Arial" w:cs="Arial"/>
          <w:b/>
          <w:bCs/>
          <w:color w:val="1F4E79" w:themeColor="accent5" w:themeShade="80"/>
          <w:sz w:val="22"/>
        </w:rPr>
        <w:tab/>
      </w:r>
      <w:r>
        <w:rPr>
          <w:rFonts w:ascii="Arial" w:hAnsi="Arial" w:cs="Arial"/>
          <w:b/>
          <w:bCs/>
          <w:color w:val="1F4E79" w:themeColor="accent5" w:themeShade="80"/>
          <w:sz w:val="22"/>
        </w:rPr>
        <w:tab/>
      </w:r>
      <w:r>
        <w:rPr>
          <w:rFonts w:ascii="Arial" w:hAnsi="Arial" w:cs="Arial"/>
          <w:b/>
          <w:bCs/>
          <w:color w:val="1F4E79" w:themeColor="accent5" w:themeShade="80"/>
          <w:sz w:val="22"/>
        </w:rPr>
        <w:t>机构风险</w:t>
      </w:r>
    </w:p>
    <w:p w14:paraId="5A0EC2A6">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项目的环境与社会影响管理将牵涉诸多政府部门，如发改、财政、农业农村、乡村振兴、生态环境、住建、城管、自然资源、人社、水利、林业、应急管理、卫健、市场监管、文化旅游、民政、妇联等。各部门都依照现有法规规章进行管理，设置了对应的机构和人员；作为政府部门，其机构人员安排和预算都有保障等。在本项目实施中，所有相关行业主管部门都将在中央和省级政府总体指导下、在省级项目办的协调下，按照各自的职责实施活动并管理相应的环境与社会风险。由于本项目活动覆盖范围广，涉及不同地区和众多行业，</w:t>
      </w:r>
      <w:r>
        <w:rPr>
          <w:rFonts w:hint="eastAsia" w:ascii="Arial" w:hAnsi="Arial" w:cs="Arial"/>
          <w:sz w:val="22"/>
          <w:lang w:eastAsia="zh-CN"/>
        </w:rPr>
        <w:t>必须有</w:t>
      </w:r>
      <w:r>
        <w:rPr>
          <w:rFonts w:ascii="Arial" w:hAnsi="Arial" w:cs="Arial"/>
          <w:sz w:val="22"/>
        </w:rPr>
        <w:t>不同部门之间强力的沟通和协调，才能有效管理项目活动及相关的环境与社会影响。若任一部门，尤其是在畜禽粪污、生活污水、水产养殖尾水、污染农田等管理工作的任一环节不能有效沟通和协调，都会导致整个项目实施和环境社会管理体系无法有效运行。</w:t>
      </w:r>
    </w:p>
    <w:p w14:paraId="034E3AAB">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sz w:val="22"/>
        </w:rPr>
        <w:t>因此，本项目总体的机构能力和复杂性风险等级为“</w:t>
      </w:r>
      <w:r>
        <w:rPr>
          <w:rFonts w:ascii="Arial" w:hAnsi="Arial" w:cs="Arial"/>
          <w:b/>
          <w:bCs/>
          <w:sz w:val="22"/>
        </w:rPr>
        <w:t>较高</w:t>
      </w:r>
      <w:r>
        <w:rPr>
          <w:rFonts w:ascii="Arial" w:hAnsi="Arial" w:cs="Arial"/>
          <w:sz w:val="22"/>
        </w:rPr>
        <w:t>”。</w:t>
      </w:r>
    </w:p>
    <w:p w14:paraId="6B2D55DC">
      <w:pPr>
        <w:pStyle w:val="48"/>
        <w:adjustRightInd w:val="0"/>
        <w:snapToGrid w:val="0"/>
        <w:spacing w:before="120" w:after="120"/>
        <w:ind w:firstLine="0" w:firstLineChars="0"/>
        <w:rPr>
          <w:rFonts w:ascii="Arial" w:hAnsi="Arial" w:cs="Arial"/>
          <w:b/>
          <w:bCs/>
          <w:color w:val="1F4E79" w:themeColor="accent5" w:themeShade="80"/>
          <w:sz w:val="22"/>
        </w:rPr>
      </w:pPr>
      <w:r>
        <w:rPr>
          <w:rFonts w:ascii="Arial" w:hAnsi="Arial" w:cs="Arial"/>
          <w:b/>
          <w:bCs/>
          <w:color w:val="1F4E79" w:themeColor="accent5" w:themeShade="80"/>
          <w:sz w:val="22"/>
        </w:rPr>
        <w:tab/>
      </w:r>
      <w:r>
        <w:rPr>
          <w:rFonts w:ascii="Arial" w:hAnsi="Arial" w:cs="Arial"/>
          <w:b/>
          <w:bCs/>
          <w:color w:val="1F4E79" w:themeColor="accent5" w:themeShade="80"/>
          <w:sz w:val="22"/>
        </w:rPr>
        <w:tab/>
      </w:r>
      <w:r>
        <w:rPr>
          <w:rFonts w:ascii="Arial" w:hAnsi="Arial" w:cs="Arial"/>
          <w:b/>
          <w:bCs/>
          <w:color w:val="1F4E79" w:themeColor="accent5" w:themeShade="80"/>
          <w:sz w:val="22"/>
        </w:rPr>
        <w:t>政治风险</w:t>
      </w:r>
    </w:p>
    <w:p w14:paraId="4543CB6A">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本项目将有助于推进绿色农业发展、减少环境污染、保护生态环境、改善农村居住条件、提高农民生活水平，与国家和地方政策和规划一致，具备高度的政治保障，并使当地人民从中受益显著，从而受到群众的支持，因此没有政治风险。过去众多类似的项目也都证明了这一点。</w:t>
      </w:r>
    </w:p>
    <w:p w14:paraId="54DF810A">
      <w:pPr>
        <w:pStyle w:val="48"/>
        <w:numPr>
          <w:ilvl w:val="0"/>
          <w:numId w:val="5"/>
        </w:numPr>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sz w:val="22"/>
        </w:rPr>
        <w:t>因此，本项目总体的政治和名誉风险等级为“</w:t>
      </w:r>
      <w:r>
        <w:rPr>
          <w:rFonts w:ascii="Arial" w:hAnsi="Arial" w:cs="Arial"/>
          <w:b/>
          <w:bCs/>
          <w:sz w:val="22"/>
        </w:rPr>
        <w:t>低</w:t>
      </w:r>
      <w:r>
        <w:rPr>
          <w:rFonts w:ascii="Arial" w:hAnsi="Arial" w:cs="Arial"/>
          <w:sz w:val="22"/>
        </w:rPr>
        <w:t>”。</w:t>
      </w:r>
    </w:p>
    <w:p w14:paraId="1D664D2D">
      <w:pPr>
        <w:pStyle w:val="48"/>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综合考虑以上四个因素，结合风险筛查结果和拟定的风险管理措施，本项目总体环境与社会风险等级为“</w:t>
      </w:r>
      <w:r>
        <w:rPr>
          <w:rFonts w:ascii="Arial" w:hAnsi="Arial" w:cs="Arial"/>
          <w:b/>
          <w:bCs/>
          <w:sz w:val="22"/>
        </w:rPr>
        <w:t>较高</w:t>
      </w:r>
      <w:r>
        <w:rPr>
          <w:rFonts w:ascii="Arial" w:hAnsi="Arial" w:cs="Arial"/>
          <w:sz w:val="22"/>
        </w:rPr>
        <w:t>”。</w:t>
      </w:r>
      <w:r>
        <w:rPr>
          <w:rFonts w:ascii="Arial" w:hAnsi="Arial" w:cs="Arial"/>
          <w:sz w:val="22"/>
        </w:rPr>
        <w:br w:type="page"/>
      </w:r>
    </w:p>
    <w:p w14:paraId="78AB8A71">
      <w:pPr>
        <w:pStyle w:val="2"/>
        <w:numPr>
          <w:ilvl w:val="0"/>
          <w:numId w:val="4"/>
        </w:numPr>
        <w:tabs>
          <w:tab w:val="left" w:pos="851"/>
        </w:tabs>
        <w:adjustRightInd w:val="0"/>
        <w:snapToGrid w:val="0"/>
        <w:spacing w:before="120" w:after="120" w:line="240" w:lineRule="auto"/>
        <w:rPr>
          <w:rFonts w:ascii="Arial" w:hAnsi="Arial" w:cs="Arial"/>
          <w:color w:val="1F4E79" w:themeColor="accent5" w:themeShade="80"/>
          <w:sz w:val="28"/>
          <w:szCs w:val="28"/>
        </w:rPr>
      </w:pPr>
      <w:bookmarkStart w:id="234" w:name="_Toc79939251"/>
      <w:r>
        <w:rPr>
          <w:rFonts w:ascii="Arial" w:hAnsi="Arial" w:cs="Arial"/>
          <w:color w:val="1F4E79" w:themeColor="accent5" w:themeShade="80"/>
          <w:sz w:val="28"/>
          <w:szCs w:val="28"/>
        </w:rPr>
        <w:tab/>
      </w:r>
      <w:bookmarkStart w:id="235" w:name="_Toc119937281"/>
      <w:r>
        <w:rPr>
          <w:rFonts w:ascii="Arial" w:hAnsi="Arial" w:cs="Arial"/>
          <w:color w:val="1F4E79" w:themeColor="accent5" w:themeShade="80"/>
          <w:sz w:val="28"/>
          <w:szCs w:val="28"/>
        </w:rPr>
        <w:t>环境管理系统评</w:t>
      </w:r>
      <w:bookmarkEnd w:id="234"/>
      <w:r>
        <w:rPr>
          <w:rFonts w:ascii="Arial" w:hAnsi="Arial" w:cs="Arial"/>
          <w:color w:val="1F4E79" w:themeColor="accent5" w:themeShade="80"/>
          <w:sz w:val="28"/>
          <w:szCs w:val="28"/>
        </w:rPr>
        <w:t>价</w:t>
      </w:r>
      <w:bookmarkEnd w:id="235"/>
    </w:p>
    <w:p w14:paraId="67EAFBBF">
      <w:pPr>
        <w:pStyle w:val="3"/>
        <w:tabs>
          <w:tab w:val="left" w:pos="851"/>
        </w:tabs>
        <w:rPr>
          <w:color w:val="1F4E79" w:themeColor="accent5" w:themeShade="80"/>
          <w:sz w:val="24"/>
        </w:rPr>
      </w:pPr>
      <w:bookmarkStart w:id="236" w:name="_Toc79402226"/>
      <w:bookmarkEnd w:id="236"/>
      <w:bookmarkStart w:id="237" w:name="_Toc90855751"/>
      <w:bookmarkEnd w:id="237"/>
      <w:bookmarkStart w:id="238" w:name="_Toc90173911"/>
      <w:bookmarkEnd w:id="238"/>
      <w:bookmarkStart w:id="239" w:name="_Toc91572665"/>
      <w:bookmarkEnd w:id="239"/>
      <w:bookmarkStart w:id="240" w:name="_Toc88858424"/>
      <w:bookmarkEnd w:id="240"/>
      <w:bookmarkStart w:id="241" w:name="_Toc89703041"/>
      <w:bookmarkEnd w:id="241"/>
      <w:bookmarkStart w:id="242" w:name="_Toc88858766"/>
      <w:bookmarkEnd w:id="242"/>
      <w:bookmarkStart w:id="243" w:name="_Toc90332299"/>
      <w:bookmarkEnd w:id="243"/>
      <w:bookmarkStart w:id="244" w:name="_Toc89155574"/>
      <w:bookmarkEnd w:id="244"/>
      <w:bookmarkStart w:id="245" w:name="_Toc90590523"/>
      <w:bookmarkEnd w:id="245"/>
      <w:bookmarkStart w:id="246" w:name="_Toc90551171"/>
      <w:bookmarkEnd w:id="246"/>
      <w:bookmarkStart w:id="247" w:name="_Toc91572733"/>
      <w:bookmarkEnd w:id="247"/>
      <w:bookmarkStart w:id="248" w:name="_Toc88858819"/>
      <w:bookmarkEnd w:id="248"/>
      <w:bookmarkStart w:id="249" w:name="_Toc88861973"/>
      <w:bookmarkEnd w:id="249"/>
      <w:bookmarkStart w:id="250" w:name="_Toc90414821"/>
      <w:bookmarkEnd w:id="250"/>
      <w:bookmarkStart w:id="251" w:name="_Toc90551051"/>
      <w:bookmarkEnd w:id="251"/>
      <w:bookmarkStart w:id="252" w:name="_Toc90176455"/>
      <w:bookmarkEnd w:id="252"/>
      <w:bookmarkStart w:id="253" w:name="_Toc90180661"/>
      <w:bookmarkEnd w:id="253"/>
      <w:bookmarkStart w:id="254" w:name="_Toc89421581"/>
      <w:bookmarkEnd w:id="254"/>
      <w:bookmarkStart w:id="255" w:name="_Toc90174140"/>
      <w:bookmarkEnd w:id="255"/>
      <w:bookmarkStart w:id="256" w:name="_Toc90216895"/>
      <w:bookmarkEnd w:id="256"/>
      <w:bookmarkStart w:id="257" w:name="_Toc88860750"/>
      <w:bookmarkEnd w:id="257"/>
      <w:bookmarkStart w:id="258" w:name="_Toc90181098"/>
      <w:bookmarkEnd w:id="258"/>
      <w:bookmarkStart w:id="259" w:name="_Toc90332043"/>
      <w:bookmarkEnd w:id="259"/>
      <w:bookmarkStart w:id="260" w:name="_Toc91190251"/>
      <w:bookmarkEnd w:id="260"/>
      <w:bookmarkStart w:id="261" w:name="_Toc91573012"/>
      <w:bookmarkEnd w:id="261"/>
      <w:bookmarkStart w:id="262" w:name="_Toc90904785"/>
      <w:bookmarkEnd w:id="262"/>
      <w:bookmarkStart w:id="263" w:name="_Toc91572880"/>
      <w:bookmarkEnd w:id="263"/>
      <w:bookmarkStart w:id="264" w:name="_Toc92267123"/>
      <w:bookmarkEnd w:id="264"/>
      <w:bookmarkStart w:id="265" w:name="_Toc89016103"/>
      <w:bookmarkEnd w:id="265"/>
      <w:bookmarkStart w:id="266" w:name="_Toc79736429"/>
      <w:bookmarkEnd w:id="266"/>
      <w:bookmarkStart w:id="267" w:name="_Toc92726972"/>
      <w:bookmarkEnd w:id="267"/>
      <w:bookmarkStart w:id="268" w:name="_Toc88842031"/>
      <w:bookmarkEnd w:id="268"/>
      <w:bookmarkStart w:id="269" w:name="_Toc77866197"/>
      <w:bookmarkEnd w:id="269"/>
      <w:bookmarkStart w:id="270" w:name="_Toc88858655"/>
      <w:bookmarkEnd w:id="270"/>
      <w:bookmarkStart w:id="271" w:name="_Toc77867284"/>
      <w:bookmarkEnd w:id="271"/>
      <w:bookmarkStart w:id="272" w:name="_Toc79939252"/>
      <w:bookmarkEnd w:id="272"/>
      <w:bookmarkStart w:id="273" w:name="_Toc88858568"/>
      <w:bookmarkEnd w:id="273"/>
      <w:bookmarkStart w:id="274" w:name="_Toc88857560"/>
      <w:bookmarkEnd w:id="274"/>
      <w:bookmarkStart w:id="275" w:name="_Toc89241938"/>
      <w:bookmarkEnd w:id="275"/>
      <w:bookmarkStart w:id="276" w:name="_Toc88858334"/>
      <w:bookmarkEnd w:id="276"/>
      <w:bookmarkStart w:id="277" w:name="_Toc79736564"/>
      <w:bookmarkEnd w:id="277"/>
      <w:bookmarkStart w:id="278" w:name="_Toc77948534"/>
      <w:bookmarkEnd w:id="278"/>
      <w:bookmarkStart w:id="279" w:name="_Toc77864029"/>
      <w:bookmarkEnd w:id="279"/>
      <w:bookmarkStart w:id="280" w:name="_Toc79402179"/>
      <w:bookmarkEnd w:id="280"/>
      <w:bookmarkStart w:id="281" w:name="_Toc77947853"/>
      <w:bookmarkEnd w:id="281"/>
      <w:bookmarkStart w:id="282" w:name="_Toc77628980"/>
      <w:bookmarkEnd w:id="282"/>
      <w:bookmarkStart w:id="283" w:name="_Toc88859493"/>
      <w:bookmarkEnd w:id="283"/>
      <w:bookmarkStart w:id="284" w:name="_Toc89703111"/>
      <w:bookmarkEnd w:id="284"/>
      <w:bookmarkStart w:id="285" w:name="_Toc89425492"/>
      <w:bookmarkEnd w:id="285"/>
      <w:bookmarkStart w:id="286" w:name="_Toc77834834"/>
      <w:bookmarkEnd w:id="286"/>
      <w:bookmarkStart w:id="287" w:name="_Toc77947997"/>
      <w:bookmarkEnd w:id="287"/>
      <w:bookmarkStart w:id="288" w:name="_Toc65437522"/>
      <w:bookmarkEnd w:id="288"/>
      <w:bookmarkStart w:id="289" w:name="_Toc77947803"/>
      <w:bookmarkEnd w:id="289"/>
      <w:bookmarkStart w:id="290" w:name="_Toc77620721"/>
      <w:bookmarkEnd w:id="290"/>
      <w:bookmarkStart w:id="291" w:name="_Toc66694838"/>
      <w:bookmarkEnd w:id="291"/>
      <w:bookmarkStart w:id="292" w:name="_Toc77834787"/>
      <w:bookmarkEnd w:id="292"/>
      <w:bookmarkStart w:id="293" w:name="_Toc77355642"/>
      <w:bookmarkEnd w:id="293"/>
      <w:bookmarkStart w:id="294" w:name="_Toc76050621"/>
      <w:bookmarkEnd w:id="294"/>
      <w:bookmarkStart w:id="295" w:name="_Toc77867882"/>
      <w:bookmarkEnd w:id="295"/>
      <w:bookmarkStart w:id="296" w:name="_Toc77947540"/>
      <w:bookmarkEnd w:id="296"/>
      <w:bookmarkStart w:id="297" w:name="_Toc77355873"/>
      <w:bookmarkEnd w:id="297"/>
      <w:bookmarkStart w:id="298" w:name="_Toc77947596"/>
      <w:bookmarkEnd w:id="298"/>
      <w:bookmarkStart w:id="299" w:name="_Toc79141950"/>
      <w:bookmarkEnd w:id="299"/>
      <w:bookmarkStart w:id="300" w:name="_Toc88857481"/>
      <w:bookmarkEnd w:id="300"/>
      <w:bookmarkStart w:id="301" w:name="_Toc77948059"/>
      <w:bookmarkEnd w:id="301"/>
      <w:bookmarkStart w:id="302" w:name="_Toc90590568"/>
      <w:bookmarkEnd w:id="302"/>
      <w:bookmarkStart w:id="303" w:name="_Toc90711512"/>
      <w:bookmarkEnd w:id="303"/>
      <w:bookmarkStart w:id="304" w:name="_Toc91573144"/>
      <w:bookmarkEnd w:id="304"/>
      <w:bookmarkStart w:id="305" w:name="_Toc90310584"/>
      <w:bookmarkEnd w:id="305"/>
      <w:bookmarkStart w:id="306" w:name="_Toc91572946"/>
      <w:bookmarkEnd w:id="306"/>
      <w:bookmarkStart w:id="307" w:name="_Toc89155499"/>
      <w:bookmarkEnd w:id="307"/>
      <w:bookmarkStart w:id="308" w:name="_Toc90169407"/>
      <w:bookmarkEnd w:id="308"/>
      <w:bookmarkStart w:id="309" w:name="_Toc90334673"/>
      <w:bookmarkEnd w:id="309"/>
      <w:bookmarkStart w:id="310" w:name="_Toc88862095"/>
      <w:bookmarkEnd w:id="310"/>
      <w:bookmarkStart w:id="311" w:name="_Toc90855532"/>
      <w:bookmarkEnd w:id="311"/>
      <w:bookmarkStart w:id="312" w:name="_Toc90174088"/>
      <w:bookmarkEnd w:id="312"/>
      <w:bookmarkStart w:id="313" w:name="_Toc90331887"/>
      <w:bookmarkEnd w:id="313"/>
      <w:bookmarkStart w:id="314" w:name="_Toc90550980"/>
      <w:bookmarkEnd w:id="314"/>
      <w:bookmarkStart w:id="315" w:name="_Toc91572814"/>
      <w:bookmarkEnd w:id="315"/>
      <w:bookmarkStart w:id="316" w:name="_Toc88861920"/>
      <w:bookmarkEnd w:id="316"/>
      <w:bookmarkStart w:id="317" w:name="_Toc93944803"/>
      <w:bookmarkEnd w:id="317"/>
      <w:bookmarkStart w:id="318" w:name="_Toc90856368"/>
      <w:bookmarkEnd w:id="318"/>
      <w:bookmarkStart w:id="319" w:name="_Toc90173634"/>
      <w:bookmarkEnd w:id="319"/>
      <w:bookmarkStart w:id="320" w:name="_Toc90840418"/>
      <w:bookmarkEnd w:id="320"/>
      <w:bookmarkStart w:id="321" w:name="_Toc90855466"/>
      <w:bookmarkEnd w:id="321"/>
      <w:bookmarkStart w:id="322" w:name="_Toc78301178"/>
      <w:bookmarkEnd w:id="322"/>
      <w:bookmarkStart w:id="323" w:name="_Toc92803955"/>
      <w:bookmarkEnd w:id="323"/>
      <w:bookmarkStart w:id="324" w:name="_Toc90905771"/>
      <w:bookmarkEnd w:id="324"/>
      <w:bookmarkStart w:id="325" w:name="_Toc90169503"/>
      <w:bookmarkEnd w:id="325"/>
      <w:bookmarkStart w:id="326" w:name="_Toc119937282"/>
      <w:r>
        <w:rPr>
          <w:color w:val="1F4E79" w:themeColor="accent5" w:themeShade="80"/>
          <w:sz w:val="24"/>
        </w:rPr>
        <w:t>4.1</w:t>
      </w:r>
      <w:r>
        <w:rPr>
          <w:color w:val="1F4E79" w:themeColor="accent5" w:themeShade="80"/>
          <w:sz w:val="24"/>
        </w:rPr>
        <w:tab/>
      </w:r>
      <w:r>
        <w:rPr>
          <w:color w:val="1F4E79" w:themeColor="accent5" w:themeShade="80"/>
          <w:sz w:val="24"/>
        </w:rPr>
        <w:t>总体原则</w:t>
      </w:r>
      <w:bookmarkEnd w:id="326"/>
    </w:p>
    <w:p w14:paraId="3CC8C16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世行《结果导向型贷款项目环境与社会系统评价指南》提出了六项核心原则，其中前三项与环境管理系统评价相关，即：</w:t>
      </w:r>
    </w:p>
    <w:p w14:paraId="7CB05F49">
      <w:pPr>
        <w:pStyle w:val="48"/>
        <w:adjustRightInd w:val="0"/>
        <w:snapToGrid w:val="0"/>
        <w:ind w:firstLine="0" w:firstLineChars="0"/>
        <w:rPr>
          <w:rFonts w:ascii="Arial" w:hAnsi="Arial" w:cs="Arial"/>
          <w:sz w:val="22"/>
        </w:rPr>
      </w:pPr>
      <w:r>
        <w:rPr>
          <w:rFonts w:ascii="Arial" w:hAnsi="Arial" w:cs="Arial"/>
          <w:b/>
          <w:bCs/>
          <w:sz w:val="22"/>
        </w:rPr>
        <w:tab/>
      </w:r>
      <w:r>
        <w:rPr>
          <w:rFonts w:ascii="Arial" w:hAnsi="Arial" w:cs="Arial"/>
          <w:b/>
          <w:bCs/>
          <w:sz w:val="22"/>
        </w:rPr>
        <w:tab/>
      </w:r>
      <w:r>
        <w:rPr>
          <w:rFonts w:ascii="Arial" w:hAnsi="Arial" w:cs="Arial"/>
          <w:b/>
          <w:bCs/>
          <w:sz w:val="22"/>
        </w:rPr>
        <w:t>原则1</w:t>
      </w:r>
      <w:r>
        <w:rPr>
          <w:rFonts w:ascii="Arial" w:hAnsi="Arial" w:cs="Arial"/>
          <w:sz w:val="22"/>
        </w:rPr>
        <w:t xml:space="preserve"> </w:t>
      </w:r>
      <w:r>
        <w:rPr>
          <w:rFonts w:hint="eastAsia" w:ascii="Arial" w:hAnsi="Arial" w:cs="Arial"/>
          <w:sz w:val="22"/>
          <w:lang w:eastAsia="zh-CN"/>
        </w:rPr>
        <w:t>—</w:t>
      </w:r>
      <w:r>
        <w:rPr>
          <w:rFonts w:ascii="Arial" w:hAnsi="Arial" w:cs="Arial"/>
          <w:sz w:val="22"/>
        </w:rPr>
        <w:t xml:space="preserve"> </w:t>
      </w:r>
      <w:r>
        <w:rPr>
          <w:rFonts w:ascii="Arial" w:hAnsi="Arial" w:cs="Arial"/>
          <w:b/>
          <w:bCs/>
          <w:sz w:val="22"/>
        </w:rPr>
        <w:t>环境影响评价和管理</w:t>
      </w:r>
      <w:r>
        <w:rPr>
          <w:rFonts w:ascii="Arial" w:hAnsi="Arial" w:cs="Arial"/>
          <w:sz w:val="22"/>
        </w:rPr>
        <w:t>：环境管理系统应能够促进环境可持续发展；避免、减少或缓解不利影响；并从环境影响方面为项目决策提供建议（社会影响评价和管理在第5章进行介绍）。</w:t>
      </w:r>
    </w:p>
    <w:p w14:paraId="15446FAE">
      <w:pPr>
        <w:pStyle w:val="48"/>
        <w:adjustRightInd w:val="0"/>
        <w:snapToGrid w:val="0"/>
        <w:ind w:firstLine="0" w:firstLineChars="0"/>
        <w:rPr>
          <w:rFonts w:ascii="Arial" w:hAnsi="Arial" w:cs="Arial"/>
          <w:sz w:val="22"/>
        </w:rPr>
      </w:pPr>
      <w:r>
        <w:rPr>
          <w:rFonts w:ascii="Arial" w:hAnsi="Arial" w:cs="Arial"/>
          <w:b/>
          <w:bCs/>
          <w:sz w:val="22"/>
        </w:rPr>
        <w:tab/>
      </w:r>
      <w:r>
        <w:rPr>
          <w:rFonts w:ascii="Arial" w:hAnsi="Arial" w:cs="Arial"/>
          <w:b/>
          <w:bCs/>
          <w:sz w:val="22"/>
        </w:rPr>
        <w:tab/>
      </w:r>
      <w:r>
        <w:rPr>
          <w:rFonts w:ascii="Arial" w:hAnsi="Arial" w:cs="Arial"/>
          <w:b/>
          <w:bCs/>
          <w:sz w:val="22"/>
        </w:rPr>
        <w:t>原则2</w:t>
      </w:r>
      <w:r>
        <w:rPr>
          <w:rFonts w:ascii="Arial" w:hAnsi="Arial" w:cs="Arial"/>
          <w:sz w:val="22"/>
        </w:rPr>
        <w:t xml:space="preserve"> </w:t>
      </w:r>
      <w:r>
        <w:rPr>
          <w:rFonts w:hint="eastAsia" w:ascii="Arial" w:hAnsi="Arial" w:cs="Arial"/>
          <w:sz w:val="22"/>
          <w:lang w:eastAsia="zh-CN"/>
        </w:rPr>
        <w:t>—</w:t>
      </w:r>
      <w:r>
        <w:rPr>
          <w:rFonts w:ascii="Arial" w:hAnsi="Arial" w:cs="Arial"/>
          <w:sz w:val="22"/>
        </w:rPr>
        <w:t xml:space="preserve"> </w:t>
      </w:r>
      <w:r>
        <w:rPr>
          <w:rFonts w:ascii="Arial" w:hAnsi="Arial" w:cs="Arial"/>
          <w:b/>
          <w:bCs/>
          <w:sz w:val="22"/>
        </w:rPr>
        <w:t>自然栖息地保护</w:t>
      </w:r>
      <w:r>
        <w:rPr>
          <w:rFonts w:ascii="Arial" w:hAnsi="Arial" w:cs="Arial"/>
          <w:sz w:val="22"/>
        </w:rPr>
        <w:t>：环境管理系统应能够避免、减少或缓解本项目活动对自然栖息地的影响；项目活动若涉及重要自然栖息地的重大改变或显著退化则不被PforR项目所支持（物质文化资源保护在第5章进行介绍）。</w:t>
      </w:r>
    </w:p>
    <w:p w14:paraId="7D7D18EF">
      <w:pPr>
        <w:pStyle w:val="48"/>
        <w:adjustRightInd w:val="0"/>
        <w:snapToGrid w:val="0"/>
        <w:ind w:firstLine="0" w:firstLineChars="0"/>
        <w:rPr>
          <w:rFonts w:ascii="Arial" w:hAnsi="Arial" w:cs="Arial"/>
          <w:sz w:val="22"/>
        </w:rPr>
      </w:pPr>
      <w:r>
        <w:rPr>
          <w:rFonts w:ascii="Arial" w:hAnsi="Arial" w:cs="Arial"/>
          <w:b/>
          <w:bCs/>
          <w:sz w:val="22"/>
        </w:rPr>
        <w:tab/>
      </w:r>
      <w:r>
        <w:rPr>
          <w:rFonts w:ascii="Arial" w:hAnsi="Arial" w:cs="Arial"/>
          <w:b/>
          <w:bCs/>
          <w:sz w:val="22"/>
        </w:rPr>
        <w:tab/>
      </w:r>
      <w:r>
        <w:rPr>
          <w:rFonts w:ascii="Arial" w:hAnsi="Arial" w:cs="Arial"/>
          <w:b/>
          <w:bCs/>
          <w:sz w:val="22"/>
        </w:rPr>
        <w:t>原则3</w:t>
      </w:r>
      <w:r>
        <w:rPr>
          <w:rFonts w:ascii="Arial" w:hAnsi="Arial" w:cs="Arial"/>
          <w:sz w:val="22"/>
        </w:rPr>
        <w:t xml:space="preserve"> </w:t>
      </w:r>
      <w:r>
        <w:rPr>
          <w:rFonts w:hint="eastAsia" w:ascii="Arial" w:hAnsi="Arial" w:cs="Arial"/>
          <w:sz w:val="22"/>
          <w:lang w:eastAsia="zh-CN"/>
        </w:rPr>
        <w:t>—</w:t>
      </w:r>
      <w:r>
        <w:rPr>
          <w:rFonts w:ascii="Arial" w:hAnsi="Arial" w:cs="Arial"/>
          <w:sz w:val="22"/>
        </w:rPr>
        <w:t xml:space="preserve"> </w:t>
      </w:r>
      <w:r>
        <w:rPr>
          <w:rFonts w:ascii="Arial" w:hAnsi="Arial" w:cs="Arial"/>
          <w:b/>
          <w:bCs/>
          <w:sz w:val="22"/>
        </w:rPr>
        <w:t>健康与安全管理</w:t>
      </w:r>
      <w:r>
        <w:rPr>
          <w:rFonts w:ascii="Arial" w:hAnsi="Arial" w:cs="Arial"/>
          <w:sz w:val="22"/>
        </w:rPr>
        <w:t>：环境管理系统应该在设施运行和暴露于有毒化学品、危险废物或其他危险物品的活动中保护公众和工人安全（其他健康与安全内容在第5章进行介绍）。</w:t>
      </w:r>
    </w:p>
    <w:p w14:paraId="433287E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针对世行的核心原则，中国具有完善的环境管理系统与之相对应。自1979年《</w:t>
      </w:r>
      <w:r>
        <w:rPr>
          <w:rFonts w:hint="eastAsia" w:ascii="Arial" w:hAnsi="Arial" w:cs="Arial"/>
          <w:sz w:val="22"/>
          <w:lang w:eastAsia="zh-CN"/>
        </w:rPr>
        <w:t>中华人民共和国环境保护法</w:t>
      </w:r>
      <w:r>
        <w:rPr>
          <w:rFonts w:ascii="Arial" w:hAnsi="Arial" w:cs="Arial"/>
          <w:sz w:val="22"/>
        </w:rPr>
        <w:t>》初次颁布以来，以《</w:t>
      </w:r>
      <w:r>
        <w:rPr>
          <w:rFonts w:hint="eastAsia" w:ascii="Arial" w:hAnsi="Arial" w:cs="Arial"/>
          <w:sz w:val="22"/>
          <w:lang w:eastAsia="zh-CN"/>
        </w:rPr>
        <w:t>中华人民共和国环境保护法</w:t>
      </w:r>
      <w:r>
        <w:rPr>
          <w:rFonts w:ascii="Arial" w:hAnsi="Arial" w:cs="Arial"/>
          <w:sz w:val="22"/>
        </w:rPr>
        <w:t>》为基本法和一系列单行法为支撑，形成了包括国家层面80多部法律、120多个部门规章、一千多个标准规范和众多地方规章规范在内的，由生态环境部门总体监督、多部门协同配合的生态环境保护与污染防治体系。其中</w:t>
      </w:r>
      <w:r>
        <w:rPr>
          <w:rFonts w:ascii="Arial" w:hAnsi="Arial" w:cs="Arial"/>
          <w:bCs/>
          <w:sz w:val="22"/>
        </w:rPr>
        <w:t>《</w:t>
      </w:r>
      <w:r>
        <w:rPr>
          <w:rFonts w:hint="eastAsia" w:ascii="Arial" w:hAnsi="Arial" w:cs="Arial"/>
          <w:bCs/>
          <w:sz w:val="22"/>
          <w:lang w:eastAsia="zh-CN"/>
        </w:rPr>
        <w:t>中华人民共和国环境保护法</w:t>
      </w:r>
      <w:r>
        <w:rPr>
          <w:rFonts w:ascii="Arial" w:hAnsi="Arial" w:cs="Arial"/>
          <w:bCs/>
          <w:sz w:val="22"/>
        </w:rPr>
        <w:t>》</w:t>
      </w:r>
      <w:r>
        <w:rPr>
          <w:rFonts w:hint="eastAsia" w:ascii="Arial" w:hAnsi="Arial" w:cs="Arial"/>
          <w:bCs/>
          <w:sz w:val="22"/>
          <w:lang w:eastAsia="zh-CN"/>
        </w:rPr>
        <w:t>（</w:t>
      </w:r>
      <w:r>
        <w:rPr>
          <w:rFonts w:ascii="Arial" w:hAnsi="Arial" w:cs="Arial"/>
          <w:bCs/>
          <w:sz w:val="22"/>
        </w:rPr>
        <w:t>2014年修订</w:t>
      </w:r>
      <w:r>
        <w:rPr>
          <w:rFonts w:hint="eastAsia" w:ascii="Arial" w:hAnsi="Arial" w:cs="Arial"/>
          <w:bCs/>
          <w:sz w:val="22"/>
          <w:lang w:eastAsia="zh-CN"/>
        </w:rPr>
        <w:t>）</w:t>
      </w:r>
      <w:r>
        <w:rPr>
          <w:rFonts w:ascii="Arial" w:hAnsi="Arial" w:cs="Arial"/>
          <w:bCs/>
          <w:sz w:val="22"/>
        </w:rPr>
        <w:t xml:space="preserve"> 是中国生态环境保护与污染防治的根本法律，将保护环境定为基本国策，提出划定和实行生态保护红线</w:t>
      </w:r>
      <w:r>
        <w:rPr>
          <w:rStyle w:val="46"/>
          <w:rFonts w:ascii="Arial" w:hAnsi="Arial" w:cs="Arial"/>
          <w:bCs/>
        </w:rPr>
        <w:footnoteReference w:id="3"/>
      </w:r>
      <w:r>
        <w:rPr>
          <w:rFonts w:ascii="Arial" w:hAnsi="Arial" w:cs="Arial"/>
          <w:bCs/>
          <w:sz w:val="22"/>
        </w:rPr>
        <w:t>、保护自然生态与生物多样性、开展规划和建设项目环评、实行环保“三同时”</w:t>
      </w:r>
      <w:r>
        <w:rPr>
          <w:rStyle w:val="46"/>
          <w:rFonts w:ascii="Arial" w:hAnsi="Arial" w:cs="Arial"/>
          <w:bCs/>
        </w:rPr>
        <w:footnoteReference w:id="4"/>
      </w:r>
      <w:r>
        <w:rPr>
          <w:rFonts w:ascii="Arial" w:hAnsi="Arial" w:cs="Arial"/>
          <w:bCs/>
          <w:sz w:val="22"/>
        </w:rPr>
        <w:t>和排污许可</w:t>
      </w:r>
      <w:r>
        <w:rPr>
          <w:rStyle w:val="46"/>
          <w:rFonts w:ascii="Arial" w:hAnsi="Arial" w:cs="Arial"/>
          <w:bCs/>
        </w:rPr>
        <w:footnoteReference w:id="5"/>
      </w:r>
      <w:r>
        <w:rPr>
          <w:rFonts w:ascii="Arial" w:hAnsi="Arial" w:cs="Arial"/>
          <w:bCs/>
          <w:sz w:val="22"/>
        </w:rPr>
        <w:t>制度、开展环境信息公开和公众参与等基本环境管理要求。</w:t>
      </w:r>
    </w:p>
    <w:p w14:paraId="0494852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根据世行三个核心原则以及国家环境管理要求，本报告对农药减量、化肥减量、农村生活污水收集与处理、农村生活垃圾收集与转运、畜禽与水产养殖污染治理、退化和污染土地修复及土壤改良林等项目活动相关的国内环境管理系统，分为以下四个体系：</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环评与事中事后监管，</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污染防治，</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生态环境保护，</w:t>
      </w:r>
      <w:r>
        <w:rPr>
          <w:rFonts w:hint="eastAsia" w:ascii="Arial" w:hAnsi="Arial" w:cs="Arial"/>
          <w:sz w:val="22"/>
          <w:lang w:val="en-GB" w:eastAsia="zh-CN"/>
        </w:rPr>
        <w:t>（</w:t>
      </w:r>
      <w:r>
        <w:rPr>
          <w:rFonts w:ascii="Arial" w:hAnsi="Arial" w:cs="Arial"/>
          <w:sz w:val="22"/>
          <w:lang w:val="en-GB"/>
        </w:rPr>
        <w:t>4</w:t>
      </w:r>
      <w:r>
        <w:rPr>
          <w:rFonts w:hint="eastAsia" w:ascii="Arial" w:hAnsi="Arial" w:cs="Arial"/>
          <w:sz w:val="22"/>
          <w:lang w:val="en-GB" w:eastAsia="zh-CN"/>
        </w:rPr>
        <w:t>）</w:t>
      </w:r>
      <w:r>
        <w:rPr>
          <w:rFonts w:ascii="Arial" w:hAnsi="Arial" w:cs="Arial"/>
          <w:sz w:val="22"/>
          <w:lang w:val="en-GB"/>
        </w:rPr>
        <w:t xml:space="preserve"> 环境</w:t>
      </w:r>
      <w:r>
        <w:rPr>
          <w:rFonts w:ascii="Arial" w:hAnsi="Arial" w:cs="Arial"/>
          <w:sz w:val="22"/>
        </w:rPr>
        <w:t>安全与健康管理，分别对相应的法律框架、实施机制、机构设置和管理绩效进行回顾和评价，从而判断国内环境管理系统与世行核心原则的符合性，并识别需要改进的内容。与本项目活动相关的环境管理系统见表</w:t>
      </w:r>
      <w:r>
        <w:rPr>
          <w:rFonts w:ascii="Arial" w:hAnsi="Arial" w:cs="Arial"/>
          <w:b/>
          <w:bCs/>
          <w:sz w:val="22"/>
        </w:rPr>
        <w:t>4</w:t>
      </w:r>
      <w:r>
        <w:rPr>
          <w:rFonts w:hint="eastAsia" w:ascii="Arial" w:hAnsi="Arial" w:cs="Arial"/>
          <w:b/>
          <w:bCs/>
          <w:sz w:val="22"/>
          <w:lang w:eastAsia="zh-CN"/>
        </w:rPr>
        <w:t>—</w:t>
      </w:r>
      <w:r>
        <w:rPr>
          <w:rFonts w:ascii="Arial" w:hAnsi="Arial" w:cs="Arial"/>
          <w:b/>
          <w:bCs/>
          <w:sz w:val="22"/>
        </w:rPr>
        <w:t>1</w:t>
      </w:r>
      <w:r>
        <w:rPr>
          <w:rFonts w:ascii="Arial" w:hAnsi="Arial" w:cs="Arial"/>
          <w:sz w:val="22"/>
        </w:rPr>
        <w:t>：</w:t>
      </w:r>
    </w:p>
    <w:p w14:paraId="50C51A02">
      <w:pPr>
        <w:adjustRightInd w:val="0"/>
        <w:snapToGrid w:val="0"/>
        <w:spacing w:before="120" w:after="120"/>
        <w:jc w:val="center"/>
        <w:rPr>
          <w:rFonts w:ascii="Arial" w:hAnsi="Arial" w:cs="Arial"/>
          <w:b/>
          <w:bCs/>
          <w:color w:val="1F4E79" w:themeColor="accent5" w:themeShade="80"/>
          <w:sz w:val="22"/>
        </w:rPr>
      </w:pPr>
      <w:r>
        <w:rPr>
          <w:rFonts w:ascii="Arial" w:hAnsi="Arial" w:cs="Arial"/>
          <w:b/>
          <w:bCs/>
          <w:color w:val="1F4E79" w:themeColor="accent5" w:themeShade="80"/>
          <w:sz w:val="22"/>
        </w:rPr>
        <w:t>表4</w:t>
      </w:r>
      <w:r>
        <w:rPr>
          <w:rFonts w:hint="eastAsia" w:ascii="Arial" w:hAnsi="Arial" w:cs="Arial"/>
          <w:b/>
          <w:bCs/>
          <w:color w:val="1F4E79" w:themeColor="accent5" w:themeShade="80"/>
          <w:sz w:val="22"/>
          <w:lang w:eastAsia="zh-CN"/>
        </w:rPr>
        <w:t>—</w:t>
      </w:r>
      <w:r>
        <w:rPr>
          <w:rFonts w:ascii="Arial" w:hAnsi="Arial" w:cs="Arial"/>
          <w:b/>
          <w:bCs/>
          <w:color w:val="1F4E79" w:themeColor="accent5" w:themeShade="80"/>
          <w:sz w:val="22"/>
        </w:rPr>
        <w:t>1：本项目环境管理系统</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91"/>
        <w:gridCol w:w="4185"/>
        <w:gridCol w:w="2548"/>
        <w:gridCol w:w="1864"/>
      </w:tblGrid>
      <w:tr w14:paraId="1CD3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63" w:type="pct"/>
            <w:shd w:val="clear" w:color="000000" w:fill="auto"/>
          </w:tcPr>
          <w:p w14:paraId="3483ADB2">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世行核心原则</w:t>
            </w:r>
          </w:p>
        </w:tc>
        <w:tc>
          <w:tcPr>
            <w:tcW w:w="2160" w:type="pct"/>
            <w:shd w:val="clear" w:color="000000" w:fill="auto"/>
          </w:tcPr>
          <w:p w14:paraId="3AAB5FE1">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本项目活动潜在的环境影响</w:t>
            </w:r>
          </w:p>
        </w:tc>
        <w:tc>
          <w:tcPr>
            <w:tcW w:w="1315" w:type="pct"/>
            <w:shd w:val="clear" w:color="000000" w:fill="auto"/>
          </w:tcPr>
          <w:p w14:paraId="5B8A08E3">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国内相应的</w:t>
            </w:r>
          </w:p>
          <w:p w14:paraId="5983D79C">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环境管理系统</w:t>
            </w:r>
          </w:p>
        </w:tc>
        <w:tc>
          <w:tcPr>
            <w:tcW w:w="962" w:type="pct"/>
            <w:shd w:val="clear" w:color="000000" w:fill="auto"/>
          </w:tcPr>
          <w:p w14:paraId="31F37222">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国内主要</w:t>
            </w:r>
          </w:p>
          <w:p w14:paraId="636E62DB">
            <w:pPr>
              <w:pStyle w:val="66"/>
              <w:adjustRightInd w:val="0"/>
              <w:snapToGrid w:val="0"/>
              <w:spacing w:before="0" w:after="0"/>
              <w:jc w:val="center"/>
              <w:rPr>
                <w:rFonts w:ascii="Arial" w:hAnsi="Arial" w:eastAsia="宋体" w:cs="Arial"/>
                <w:b/>
                <w:sz w:val="21"/>
                <w:szCs w:val="21"/>
                <w:lang w:eastAsia="zh-CN"/>
              </w:rPr>
            </w:pPr>
            <w:r>
              <w:rPr>
                <w:rFonts w:ascii="Arial" w:hAnsi="Arial" w:eastAsia="宋体" w:cs="Arial"/>
                <w:b/>
                <w:sz w:val="21"/>
                <w:szCs w:val="21"/>
                <w:lang w:eastAsia="zh-CN"/>
              </w:rPr>
              <w:t>监管部门</w:t>
            </w:r>
          </w:p>
        </w:tc>
      </w:tr>
      <w:tr w14:paraId="2531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3" w:type="pct"/>
            <w:tcBorders>
              <w:bottom w:val="single" w:color="auto" w:sz="4" w:space="0"/>
            </w:tcBorders>
          </w:tcPr>
          <w:p w14:paraId="7594EC9D">
            <w:pPr>
              <w:pStyle w:val="66"/>
              <w:tabs>
                <w:tab w:val="left" w:pos="208"/>
                <w:tab w:val="clear" w:pos="540"/>
              </w:tabs>
              <w:adjustRightInd w:val="0"/>
              <w:snapToGrid w:val="0"/>
              <w:spacing w:before="0" w:after="0"/>
              <w:rPr>
                <w:rFonts w:ascii="Arial" w:hAnsi="Arial" w:eastAsia="宋体" w:cs="Arial"/>
                <w:sz w:val="21"/>
                <w:szCs w:val="21"/>
                <w:lang w:eastAsia="zh-CN"/>
              </w:rPr>
            </w:pPr>
            <w:r>
              <w:rPr>
                <w:rFonts w:ascii="Arial" w:hAnsi="Arial" w:eastAsia="宋体" w:cs="Arial"/>
                <w:sz w:val="21"/>
                <w:szCs w:val="21"/>
                <w:lang w:eastAsia="zh-CN"/>
              </w:rPr>
              <w:t>环境影响评价与管理</w:t>
            </w:r>
          </w:p>
        </w:tc>
        <w:tc>
          <w:tcPr>
            <w:tcW w:w="2160" w:type="pct"/>
            <w:tcBorders>
              <w:bottom w:val="single" w:color="auto" w:sz="4" w:space="0"/>
            </w:tcBorders>
          </w:tcPr>
          <w:p w14:paraId="6D46329A">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b/>
                <w:bCs/>
                <w:sz w:val="21"/>
                <w:szCs w:val="21"/>
                <w:lang w:eastAsia="zh-CN"/>
              </w:rPr>
              <w:t>施工期</w:t>
            </w:r>
            <w:r>
              <w:rPr>
                <w:rFonts w:ascii="Arial" w:hAnsi="Arial" w:eastAsia="宋体" w:cs="Arial"/>
                <w:sz w:val="21"/>
                <w:szCs w:val="21"/>
                <w:lang w:eastAsia="zh-CN"/>
              </w:rPr>
              <w:t>：</w:t>
            </w:r>
            <w:r>
              <w:rPr>
                <w:rFonts w:ascii="Arial" w:hAnsi="Arial" w:eastAsia="宋体" w:cs="Arial"/>
                <w:color w:val="000000" w:themeColor="text1"/>
                <w:sz w:val="21"/>
                <w:szCs w:val="21"/>
                <w:lang w:eastAsia="zh-CN"/>
                <w14:textFill>
                  <w14:solidFill>
                    <w14:schemeClr w14:val="tx1"/>
                  </w14:solidFill>
                </w14:textFill>
              </w:rPr>
              <w:t>扬尘、噪声、废水、</w:t>
            </w:r>
            <w:r>
              <w:rPr>
                <w:rFonts w:ascii="Arial" w:hAnsi="Arial" w:eastAsia="宋体" w:cs="Arial"/>
                <w:sz w:val="21"/>
                <w:szCs w:val="21"/>
                <w:lang w:eastAsia="zh-CN"/>
              </w:rPr>
              <w:t>固废等对</w:t>
            </w:r>
            <w:r>
              <w:rPr>
                <w:rFonts w:ascii="Arial" w:hAnsi="Arial" w:eastAsia="宋体" w:cs="Arial"/>
                <w:color w:val="000000" w:themeColor="text1"/>
                <w:sz w:val="21"/>
                <w:szCs w:val="21"/>
                <w:lang w:eastAsia="zh-CN"/>
                <w14:textFill>
                  <w14:solidFill>
                    <w14:schemeClr w14:val="tx1"/>
                  </w14:solidFill>
                </w14:textFill>
              </w:rPr>
              <w:t>环境的潜在影响</w:t>
            </w:r>
          </w:p>
          <w:p w14:paraId="3910299E">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运行期</w:t>
            </w:r>
            <w:r>
              <w:rPr>
                <w:rFonts w:ascii="Arial" w:hAnsi="Arial" w:eastAsia="宋体" w:cs="Arial"/>
                <w:sz w:val="21"/>
                <w:szCs w:val="21"/>
                <w:lang w:eastAsia="zh-CN"/>
              </w:rPr>
              <w:t>：</w:t>
            </w:r>
            <w:r>
              <w:rPr>
                <w:rFonts w:ascii="Arial" w:hAnsi="Arial" w:eastAsia="宋体" w:cs="Arial"/>
                <w:color w:val="000000" w:themeColor="text1"/>
                <w:sz w:val="21"/>
                <w:szCs w:val="21"/>
                <w:lang w:eastAsia="zh-CN"/>
                <w14:textFill>
                  <w14:solidFill>
                    <w14:schemeClr w14:val="tx1"/>
                  </w14:solidFill>
                </w14:textFill>
              </w:rPr>
              <w:t>禽畜粪污处理和利用产生的废水、臭气、沼渣、沼液；水产养殖尾水；农村生活污水处理设施的尾水、污泥和臭气；农村生活垃圾转运设施的渗滤液和臭气等影响</w:t>
            </w:r>
          </w:p>
          <w:p w14:paraId="3C196CFD">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生产期</w:t>
            </w:r>
            <w:r>
              <w:rPr>
                <w:rFonts w:ascii="Arial" w:hAnsi="Arial" w:eastAsia="宋体" w:cs="Arial"/>
                <w:sz w:val="21"/>
                <w:szCs w:val="21"/>
                <w:lang w:eastAsia="zh-CN"/>
              </w:rPr>
              <w:t>：农业生产中</w:t>
            </w:r>
            <w:r>
              <w:rPr>
                <w:rFonts w:ascii="Arial" w:hAnsi="Arial" w:eastAsia="宋体" w:cs="Arial"/>
                <w:color w:val="000000" w:themeColor="text1"/>
                <w:sz w:val="21"/>
                <w:szCs w:val="21"/>
                <w:lang w:eastAsia="zh-CN"/>
                <w14:textFill>
                  <w14:solidFill>
                    <w14:schemeClr w14:val="tx1"/>
                  </w14:solidFill>
                </w14:textFill>
              </w:rPr>
              <w:t>农药和化肥施用或管理不当而造成或加重面源污染</w:t>
            </w:r>
          </w:p>
          <w:p w14:paraId="3676F08A">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治理期</w:t>
            </w:r>
            <w:r>
              <w:rPr>
                <w:rFonts w:ascii="Arial" w:hAnsi="Arial" w:eastAsia="宋体" w:cs="Arial"/>
                <w:sz w:val="21"/>
                <w:szCs w:val="21"/>
                <w:lang w:eastAsia="zh-CN"/>
              </w:rPr>
              <w:t>：重金属污染土壤修复产生固废（含镉的秸秆、稻谷）等</w:t>
            </w:r>
          </w:p>
        </w:tc>
        <w:tc>
          <w:tcPr>
            <w:tcW w:w="1315" w:type="pct"/>
            <w:tcBorders>
              <w:bottom w:val="single" w:color="auto" w:sz="4" w:space="0"/>
            </w:tcBorders>
          </w:tcPr>
          <w:p w14:paraId="0BF6B4AE">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b/>
                <w:bCs/>
                <w:color w:val="000000" w:themeColor="text1"/>
                <w:sz w:val="21"/>
                <w:szCs w:val="21"/>
                <w:lang w:eastAsia="zh-CN"/>
                <w14:textFill>
                  <w14:solidFill>
                    <w14:schemeClr w14:val="tx1"/>
                  </w14:solidFill>
                </w14:textFill>
              </w:rPr>
            </w:pPr>
            <w:r>
              <w:rPr>
                <w:rFonts w:ascii="Arial" w:hAnsi="Arial" w:eastAsia="宋体" w:cs="Arial"/>
                <w:b/>
                <w:bCs/>
                <w:sz w:val="21"/>
                <w:szCs w:val="21"/>
                <w:lang w:eastAsia="zh-CN"/>
              </w:rPr>
              <w:t>环评与事中事后监管系统</w:t>
            </w:r>
          </w:p>
          <w:p w14:paraId="127E22D3">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b/>
                <w:bCs/>
                <w:sz w:val="21"/>
                <w:szCs w:val="21"/>
                <w:lang w:eastAsia="zh-CN"/>
              </w:rPr>
              <w:t>污染防治系统（</w:t>
            </w:r>
            <w:r>
              <w:rPr>
                <w:rFonts w:ascii="Arial" w:hAnsi="Arial" w:eastAsia="宋体" w:cs="Arial"/>
                <w:sz w:val="21"/>
                <w:szCs w:val="21"/>
                <w:lang w:val="en-GB" w:eastAsia="zh-CN"/>
              </w:rPr>
              <w:t>农药污染防治、化肥污染防治、畜禽与水产养殖污染防治、农村生活污水管理、农村生活垃圾管理、污染土地修复）</w:t>
            </w:r>
          </w:p>
        </w:tc>
        <w:tc>
          <w:tcPr>
            <w:tcW w:w="962" w:type="pct"/>
            <w:tcBorders>
              <w:bottom w:val="single" w:color="auto" w:sz="4" w:space="0"/>
            </w:tcBorders>
          </w:tcPr>
          <w:p w14:paraId="0C0AA131">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生态环境部门</w:t>
            </w:r>
          </w:p>
          <w:p w14:paraId="0ED6928C">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农业农村部门</w:t>
            </w:r>
          </w:p>
          <w:p w14:paraId="58C0ABBF">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住建/城管部门</w:t>
            </w:r>
          </w:p>
          <w:p w14:paraId="7289A2A3">
            <w:pPr>
              <w:pStyle w:val="66"/>
              <w:tabs>
                <w:tab w:val="left" w:pos="208"/>
                <w:tab w:val="clear" w:pos="540"/>
              </w:tabs>
              <w:adjustRightInd w:val="0"/>
              <w:snapToGrid w:val="0"/>
              <w:spacing w:before="0" w:after="0"/>
              <w:rPr>
                <w:rFonts w:ascii="Arial" w:hAnsi="Arial" w:eastAsia="宋体" w:cs="Arial"/>
                <w:color w:val="000000" w:themeColor="text1"/>
                <w:sz w:val="21"/>
                <w:szCs w:val="21"/>
                <w:lang w:eastAsia="zh-CN"/>
                <w14:textFill>
                  <w14:solidFill>
                    <w14:schemeClr w14:val="tx1"/>
                  </w14:solidFill>
                </w14:textFill>
              </w:rPr>
            </w:pPr>
          </w:p>
        </w:tc>
      </w:tr>
      <w:tr w14:paraId="3504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3" w:type="pct"/>
          </w:tcPr>
          <w:p w14:paraId="6EC1634A">
            <w:pPr>
              <w:pStyle w:val="66"/>
              <w:tabs>
                <w:tab w:val="left" w:pos="208"/>
                <w:tab w:val="clear" w:pos="540"/>
              </w:tabs>
              <w:adjustRightInd w:val="0"/>
              <w:snapToGrid w:val="0"/>
              <w:spacing w:before="0" w:after="0"/>
              <w:rPr>
                <w:rFonts w:ascii="Arial" w:hAnsi="Arial" w:eastAsia="宋体" w:cs="Arial"/>
                <w:sz w:val="21"/>
                <w:szCs w:val="21"/>
                <w:lang w:eastAsia="zh-CN"/>
              </w:rPr>
            </w:pPr>
            <w:r>
              <w:rPr>
                <w:rFonts w:ascii="Arial" w:hAnsi="Arial" w:eastAsia="宋体" w:cs="Arial"/>
                <w:sz w:val="21"/>
                <w:szCs w:val="21"/>
                <w:lang w:eastAsia="zh-CN"/>
              </w:rPr>
              <w:t>自然栖息地保护</w:t>
            </w:r>
          </w:p>
        </w:tc>
        <w:tc>
          <w:tcPr>
            <w:tcW w:w="2160" w:type="pct"/>
          </w:tcPr>
          <w:p w14:paraId="0C0AF0CB">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b/>
                <w:bCs/>
                <w:sz w:val="21"/>
                <w:szCs w:val="21"/>
                <w:lang w:eastAsia="zh-CN"/>
              </w:rPr>
              <w:t>设计期</w:t>
            </w:r>
            <w:r>
              <w:rPr>
                <w:rFonts w:ascii="Arial" w:hAnsi="Arial" w:eastAsia="宋体" w:cs="Arial"/>
                <w:sz w:val="21"/>
                <w:szCs w:val="21"/>
                <w:lang w:eastAsia="zh-CN"/>
              </w:rPr>
              <w:t>：工程选址可能涉及生态保护红线</w:t>
            </w:r>
          </w:p>
          <w:p w14:paraId="76C71EE5">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b/>
                <w:bCs/>
                <w:sz w:val="21"/>
                <w:szCs w:val="21"/>
                <w:lang w:eastAsia="zh-CN"/>
              </w:rPr>
              <w:t>施工期</w:t>
            </w:r>
            <w:r>
              <w:rPr>
                <w:rFonts w:ascii="Arial" w:hAnsi="Arial" w:eastAsia="宋体" w:cs="Arial"/>
                <w:sz w:val="21"/>
                <w:szCs w:val="21"/>
                <w:lang w:eastAsia="zh-CN"/>
              </w:rPr>
              <w:t>：人工生态系统</w:t>
            </w:r>
            <w:r>
              <w:rPr>
                <w:rFonts w:ascii="Arial" w:hAnsi="Arial" w:eastAsia="宋体" w:cs="Arial"/>
                <w:color w:val="000000" w:themeColor="text1"/>
                <w:sz w:val="21"/>
                <w:szCs w:val="21"/>
                <w:lang w:eastAsia="zh-CN"/>
                <w14:textFill>
                  <w14:solidFill>
                    <w14:schemeClr w14:val="tx1"/>
                  </w14:solidFill>
                </w14:textFill>
              </w:rPr>
              <w:t>扰动、水土流失等</w:t>
            </w:r>
          </w:p>
        </w:tc>
        <w:tc>
          <w:tcPr>
            <w:tcW w:w="1315" w:type="pct"/>
          </w:tcPr>
          <w:p w14:paraId="4FF932BF">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生态环境保护系统</w:t>
            </w:r>
            <w:r>
              <w:rPr>
                <w:rFonts w:ascii="Arial" w:hAnsi="Arial" w:eastAsia="宋体" w:cs="Arial"/>
                <w:sz w:val="21"/>
                <w:szCs w:val="21"/>
                <w:lang w:val="en-GB" w:eastAsia="zh-CN"/>
              </w:rPr>
              <w:t xml:space="preserve"> （自然保护地、生态保护红线、水土保持）</w:t>
            </w:r>
          </w:p>
        </w:tc>
        <w:tc>
          <w:tcPr>
            <w:tcW w:w="962" w:type="pct"/>
          </w:tcPr>
          <w:p w14:paraId="261CB775">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自然资源部门</w:t>
            </w:r>
          </w:p>
          <w:p w14:paraId="36B6D6D3">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林草部门</w:t>
            </w:r>
          </w:p>
          <w:p w14:paraId="1F5C35E5">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生态环境部门</w:t>
            </w:r>
          </w:p>
          <w:p w14:paraId="35450CAE">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水利部门</w:t>
            </w:r>
          </w:p>
        </w:tc>
      </w:tr>
      <w:tr w14:paraId="1818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3" w:type="pct"/>
          </w:tcPr>
          <w:p w14:paraId="7E42C29C">
            <w:pPr>
              <w:pStyle w:val="66"/>
              <w:tabs>
                <w:tab w:val="left" w:pos="208"/>
                <w:tab w:val="clear" w:pos="540"/>
              </w:tabs>
              <w:adjustRightInd w:val="0"/>
              <w:snapToGrid w:val="0"/>
              <w:spacing w:before="0" w:after="0"/>
              <w:rPr>
                <w:rFonts w:ascii="Arial" w:hAnsi="Arial" w:eastAsia="宋体" w:cs="Arial"/>
                <w:sz w:val="21"/>
                <w:szCs w:val="21"/>
                <w:lang w:eastAsia="zh-CN"/>
              </w:rPr>
            </w:pPr>
            <w:r>
              <w:rPr>
                <w:rFonts w:ascii="Arial" w:hAnsi="Arial" w:eastAsia="宋体" w:cs="Arial"/>
                <w:sz w:val="21"/>
                <w:szCs w:val="21"/>
                <w:lang w:eastAsia="zh-CN"/>
              </w:rPr>
              <w:t>健康与安全管理</w:t>
            </w:r>
          </w:p>
        </w:tc>
        <w:tc>
          <w:tcPr>
            <w:tcW w:w="2160" w:type="pct"/>
          </w:tcPr>
          <w:p w14:paraId="6230D866">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施工期</w:t>
            </w:r>
            <w:r>
              <w:rPr>
                <w:rFonts w:ascii="Arial" w:hAnsi="Arial" w:eastAsia="宋体" w:cs="Arial"/>
                <w:sz w:val="21"/>
                <w:szCs w:val="21"/>
                <w:lang w:eastAsia="zh-CN"/>
              </w:rPr>
              <w:t>：施工安全与健康风险</w:t>
            </w:r>
          </w:p>
          <w:p w14:paraId="06EAB978">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b/>
                <w:bCs/>
                <w:sz w:val="21"/>
                <w:szCs w:val="21"/>
                <w:lang w:eastAsia="zh-CN"/>
              </w:rPr>
              <w:t>运行期</w:t>
            </w:r>
            <w:r>
              <w:rPr>
                <w:rFonts w:ascii="Arial" w:hAnsi="Arial" w:eastAsia="宋体" w:cs="Arial"/>
                <w:sz w:val="21"/>
                <w:szCs w:val="21"/>
                <w:lang w:eastAsia="zh-CN"/>
              </w:rPr>
              <w:t>：生活垃圾和</w:t>
            </w:r>
            <w:r>
              <w:rPr>
                <w:rFonts w:ascii="Arial" w:hAnsi="Arial" w:eastAsia="宋体" w:cs="Arial"/>
                <w:color w:val="000000" w:themeColor="text1"/>
                <w:sz w:val="21"/>
                <w:szCs w:val="21"/>
                <w:lang w:eastAsia="zh-CN"/>
                <w14:textFill>
                  <w14:solidFill>
                    <w14:schemeClr w14:val="tx1"/>
                  </w14:solidFill>
                </w14:textFill>
              </w:rPr>
              <w:t>粪污处理</w:t>
            </w:r>
            <w:r>
              <w:rPr>
                <w:rFonts w:ascii="Arial" w:hAnsi="Arial" w:eastAsia="宋体" w:cs="Arial"/>
                <w:sz w:val="21"/>
                <w:szCs w:val="21"/>
                <w:lang w:eastAsia="zh-CN"/>
              </w:rPr>
              <w:t>中恶臭对</w:t>
            </w:r>
            <w:r>
              <w:rPr>
                <w:rFonts w:ascii="Arial" w:hAnsi="Arial" w:eastAsia="宋体" w:cs="Arial"/>
                <w:color w:val="000000" w:themeColor="text1"/>
                <w:sz w:val="21"/>
                <w:szCs w:val="21"/>
                <w:lang w:eastAsia="zh-CN"/>
                <w14:textFill>
                  <w14:solidFill>
                    <w14:schemeClr w14:val="tx1"/>
                  </w14:solidFill>
                </w14:textFill>
              </w:rPr>
              <w:t>工作</w:t>
            </w:r>
            <w:r>
              <w:rPr>
                <w:rFonts w:ascii="Arial" w:hAnsi="Arial" w:eastAsia="宋体" w:cs="Arial"/>
                <w:sz w:val="21"/>
                <w:szCs w:val="21"/>
                <w:lang w:eastAsia="zh-CN"/>
              </w:rPr>
              <w:t>人员或居民的健康影响；病死动物的传染病风险；管道、反应池等设施的有限空间风险；化学农药的风险等</w:t>
            </w:r>
          </w:p>
        </w:tc>
        <w:tc>
          <w:tcPr>
            <w:tcW w:w="1315" w:type="pct"/>
          </w:tcPr>
          <w:p w14:paraId="75D9E018">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sz w:val="21"/>
                <w:szCs w:val="21"/>
                <w:lang w:eastAsia="zh-CN"/>
              </w:rPr>
            </w:pPr>
            <w:r>
              <w:rPr>
                <w:rFonts w:ascii="Arial" w:hAnsi="Arial" w:eastAsia="宋体" w:cs="Arial"/>
                <w:sz w:val="21"/>
                <w:szCs w:val="21"/>
                <w:lang w:eastAsia="zh-CN"/>
              </w:rPr>
              <w:t>健康与安全管理系统</w:t>
            </w:r>
          </w:p>
        </w:tc>
        <w:tc>
          <w:tcPr>
            <w:tcW w:w="962" w:type="pct"/>
          </w:tcPr>
          <w:p w14:paraId="4276FF11">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农业农村部门</w:t>
            </w:r>
          </w:p>
          <w:p w14:paraId="6A23FCE0">
            <w:pPr>
              <w:pStyle w:val="66"/>
              <w:numPr>
                <w:ilvl w:val="0"/>
                <w:numId w:val="19"/>
              </w:numPr>
              <w:tabs>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住建/城管部门</w:t>
            </w:r>
          </w:p>
          <w:p w14:paraId="01A90514">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卫生健康部门</w:t>
            </w:r>
          </w:p>
          <w:p w14:paraId="4C3492BA">
            <w:pPr>
              <w:pStyle w:val="66"/>
              <w:numPr>
                <w:ilvl w:val="0"/>
                <w:numId w:val="19"/>
              </w:numPr>
              <w:tabs>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应急管理部门</w:t>
            </w:r>
          </w:p>
          <w:p w14:paraId="17EDC7D6">
            <w:pPr>
              <w:pStyle w:val="66"/>
              <w:numPr>
                <w:ilvl w:val="0"/>
                <w:numId w:val="19"/>
              </w:numPr>
              <w:tabs>
                <w:tab w:val="left" w:pos="208"/>
                <w:tab w:val="clear" w:pos="540"/>
              </w:tabs>
              <w:adjustRightInd w:val="0"/>
              <w:snapToGrid w:val="0"/>
              <w:spacing w:before="0" w:after="0"/>
              <w:ind w:left="105" w:hanging="105" w:hangingChars="50"/>
              <w:rPr>
                <w:rFonts w:ascii="Arial" w:hAnsi="Arial" w:eastAsia="宋体" w:cs="Arial"/>
                <w:color w:val="000000" w:themeColor="text1"/>
                <w:sz w:val="21"/>
                <w:szCs w:val="21"/>
                <w:lang w:eastAsia="zh-CN"/>
                <w14:textFill>
                  <w14:solidFill>
                    <w14:schemeClr w14:val="tx1"/>
                  </w14:solidFill>
                </w14:textFill>
              </w:rPr>
            </w:pPr>
            <w:r>
              <w:rPr>
                <w:rFonts w:ascii="Arial" w:hAnsi="Arial" w:eastAsia="宋体" w:cs="Arial"/>
                <w:sz w:val="21"/>
                <w:szCs w:val="21"/>
                <w:lang w:eastAsia="zh-CN"/>
              </w:rPr>
              <w:t>生态环境部门</w:t>
            </w:r>
          </w:p>
        </w:tc>
      </w:tr>
    </w:tbl>
    <w:p w14:paraId="6D10B313">
      <w:pPr>
        <w:pStyle w:val="3"/>
        <w:tabs>
          <w:tab w:val="left" w:pos="851"/>
        </w:tabs>
        <w:rPr>
          <w:color w:val="1F4E79" w:themeColor="accent5" w:themeShade="80"/>
          <w:sz w:val="24"/>
        </w:rPr>
      </w:pPr>
      <w:bookmarkStart w:id="327" w:name="_Toc110778755"/>
      <w:bookmarkStart w:id="328" w:name="_Toc119937283"/>
      <w:bookmarkStart w:id="329" w:name="_Toc109935065"/>
      <w:r>
        <w:rPr>
          <w:color w:val="1F4E79" w:themeColor="accent5" w:themeShade="80"/>
          <w:sz w:val="24"/>
        </w:rPr>
        <w:t>4.2</w:t>
      </w:r>
      <w:r>
        <w:rPr>
          <w:color w:val="1F4E79" w:themeColor="accent5" w:themeShade="80"/>
          <w:sz w:val="24"/>
        </w:rPr>
        <w:tab/>
      </w:r>
      <w:r>
        <w:rPr>
          <w:color w:val="1F4E79" w:themeColor="accent5" w:themeShade="80"/>
          <w:sz w:val="24"/>
        </w:rPr>
        <w:t>环评与事中事后监管体系</w:t>
      </w:r>
      <w:bookmarkEnd w:id="327"/>
      <w:bookmarkEnd w:id="328"/>
      <w:bookmarkEnd w:id="329"/>
    </w:p>
    <w:p w14:paraId="34B2D9E3">
      <w:pPr>
        <w:pStyle w:val="48"/>
        <w:tabs>
          <w:tab w:val="left" w:pos="709"/>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4C5DA83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基于国家《</w:t>
      </w:r>
      <w:r>
        <w:rPr>
          <w:rFonts w:hint="eastAsia" w:ascii="Arial" w:hAnsi="Arial" w:cs="Arial"/>
          <w:sz w:val="22"/>
          <w:lang w:eastAsia="zh-CN"/>
        </w:rPr>
        <w:t>中华人民共和国环境影响评价法</w:t>
      </w:r>
      <w:r>
        <w:rPr>
          <w:rFonts w:ascii="Arial" w:hAnsi="Arial" w:cs="Arial"/>
          <w:sz w:val="22"/>
        </w:rPr>
        <w:t>》并结合一系列相关法规、标准和规范，中国建立了一套完整的建设项目环境影响评价以及环保“三同时”、环保验收、排污许可等事中事后监管体系，并逐步向建设项目环境保护全过程监管发展。</w:t>
      </w:r>
    </w:p>
    <w:p w14:paraId="400B1C2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sz w:val="22"/>
        </w:rPr>
        <w:t>《</w:t>
      </w:r>
      <w:r>
        <w:rPr>
          <w:rFonts w:hint="eastAsia" w:ascii="Arial" w:hAnsi="Arial" w:cs="Arial"/>
          <w:b/>
          <w:sz w:val="22"/>
          <w:lang w:eastAsia="zh-CN"/>
        </w:rPr>
        <w:t>中华人民共和国环境影响评价法</w:t>
      </w:r>
      <w:r>
        <w:rPr>
          <w:rFonts w:ascii="Arial" w:hAnsi="Arial" w:cs="Arial"/>
          <w:b/>
          <w:sz w:val="22"/>
        </w:rPr>
        <w:t>》</w:t>
      </w:r>
      <w:r>
        <w:rPr>
          <w:rFonts w:hint="eastAsia" w:ascii="Arial" w:hAnsi="Arial" w:cs="Arial"/>
          <w:bCs/>
          <w:sz w:val="22"/>
          <w:lang w:eastAsia="zh-CN"/>
        </w:rPr>
        <w:t>（</w:t>
      </w:r>
      <w:r>
        <w:rPr>
          <w:rFonts w:ascii="Arial" w:hAnsi="Arial" w:cs="Arial"/>
          <w:bCs/>
          <w:sz w:val="22"/>
        </w:rPr>
        <w:t>2018年修订</w:t>
      </w:r>
      <w:r>
        <w:rPr>
          <w:rFonts w:hint="eastAsia" w:ascii="Arial" w:hAnsi="Arial" w:cs="Arial"/>
          <w:bCs/>
          <w:sz w:val="22"/>
          <w:lang w:eastAsia="zh-CN"/>
        </w:rPr>
        <w:t>）</w:t>
      </w:r>
      <w:r>
        <w:rPr>
          <w:rFonts w:ascii="Arial" w:hAnsi="Arial" w:cs="Arial"/>
          <w:bCs/>
          <w:sz w:val="22"/>
        </w:rPr>
        <w:t>：</w:t>
      </w:r>
      <w:r>
        <w:rPr>
          <w:rFonts w:ascii="Arial" w:hAnsi="Arial" w:cs="Arial"/>
          <w:sz w:val="22"/>
        </w:rPr>
        <w:t>对规划</w:t>
      </w:r>
      <w:r>
        <w:rPr>
          <w:rStyle w:val="46"/>
          <w:rFonts w:ascii="Arial" w:hAnsi="Arial" w:cs="Arial"/>
        </w:rPr>
        <w:footnoteReference w:id="6"/>
      </w:r>
      <w:r>
        <w:rPr>
          <w:rFonts w:ascii="Arial" w:hAnsi="Arial" w:cs="Arial"/>
          <w:sz w:val="22"/>
        </w:rPr>
        <w:t>和建设项目开展环评提出了法定要求，要求对可能造成的环境影响进行分析、预测和评估，提出预防或减轻不良环境影响的对策和措施，并进行跟踪监测。还提出了环评分类管理、分级审批、环评文件未经审批不得开工建设等基本规定，并鼓励有关单位、专家和公众以适当方式参与环评。</w:t>
      </w:r>
    </w:p>
    <w:p w14:paraId="0543B34D">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《建设项目环境保护管理条例》</w:t>
      </w:r>
      <w:r>
        <w:rPr>
          <w:rFonts w:hint="eastAsia" w:ascii="Arial" w:hAnsi="Arial" w:cs="Arial"/>
          <w:bCs/>
          <w:sz w:val="22"/>
          <w:lang w:eastAsia="zh-CN"/>
        </w:rPr>
        <w:t>（</w:t>
      </w:r>
      <w:r>
        <w:rPr>
          <w:rFonts w:ascii="Arial" w:hAnsi="Arial" w:cs="Arial"/>
          <w:sz w:val="22"/>
        </w:rPr>
        <w:t>2017年修订</w:t>
      </w:r>
      <w:r>
        <w:rPr>
          <w:rFonts w:hint="eastAsia" w:ascii="Arial" w:hAnsi="Arial" w:cs="Arial"/>
          <w:bCs/>
          <w:sz w:val="22"/>
          <w:lang w:eastAsia="zh-CN"/>
        </w:rPr>
        <w:t>）</w:t>
      </w:r>
      <w:r>
        <w:rPr>
          <w:rFonts w:ascii="Arial" w:hAnsi="Arial" w:cs="Arial"/>
          <w:sz w:val="22"/>
        </w:rPr>
        <w:t>：规定了建设项目环评分类管理、分级审批、环保设施</w:t>
      </w:r>
      <w:r>
        <w:rPr>
          <w:rFonts w:hint="eastAsia" w:ascii="Arial" w:hAnsi="Arial" w:cs="Arial"/>
          <w:sz w:val="22"/>
          <w:lang w:eastAsia="zh-CN"/>
        </w:rPr>
        <w:t>“</w:t>
      </w:r>
      <w:r>
        <w:rPr>
          <w:rFonts w:ascii="Arial" w:hAnsi="Arial" w:cs="Arial"/>
          <w:sz w:val="22"/>
        </w:rPr>
        <w:t>三同时</w:t>
      </w:r>
      <w:r>
        <w:rPr>
          <w:rFonts w:hint="eastAsia" w:ascii="Arial" w:hAnsi="Arial" w:cs="Arial"/>
          <w:sz w:val="22"/>
          <w:lang w:eastAsia="zh-CN"/>
        </w:rPr>
        <w:t>”</w:t>
      </w:r>
      <w:r>
        <w:rPr>
          <w:rFonts w:ascii="Arial" w:hAnsi="Arial" w:cs="Arial"/>
          <w:sz w:val="22"/>
        </w:rPr>
        <w:t>、竣工环保验收等要求。</w:t>
      </w:r>
    </w:p>
    <w:p w14:paraId="11424E1E">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《排污许可管理条例》</w:t>
      </w:r>
      <w:r>
        <w:rPr>
          <w:rFonts w:hint="eastAsia" w:ascii="Arial" w:hAnsi="Arial" w:cs="Arial"/>
          <w:bCs/>
          <w:sz w:val="22"/>
          <w:lang w:eastAsia="zh-CN"/>
        </w:rPr>
        <w:t>（</w:t>
      </w:r>
      <w:r>
        <w:rPr>
          <w:rFonts w:ascii="Arial" w:hAnsi="Arial" w:cs="Arial"/>
          <w:sz w:val="22"/>
        </w:rPr>
        <w:t>2021年</w:t>
      </w:r>
      <w:r>
        <w:rPr>
          <w:rFonts w:hint="eastAsia" w:ascii="Arial" w:hAnsi="Arial" w:cs="Arial"/>
          <w:bCs/>
          <w:sz w:val="22"/>
          <w:lang w:eastAsia="zh-CN"/>
        </w:rPr>
        <w:t>）</w:t>
      </w:r>
      <w:r>
        <w:rPr>
          <w:rFonts w:ascii="Arial" w:hAnsi="Arial" w:cs="Arial"/>
          <w:sz w:val="22"/>
        </w:rPr>
        <w:t>：依照法律规定实行排污许可管理的企业事业单位和其他生产经营者，应当申请取得排污许可证；未取得排污许可证的，不得排放污染物。</w:t>
      </w:r>
    </w:p>
    <w:p w14:paraId="37BB90C4">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《环境影响评价公众参与办法》</w:t>
      </w:r>
      <w:r>
        <w:rPr>
          <w:rFonts w:hint="eastAsia" w:ascii="Arial" w:hAnsi="Arial" w:cs="Arial"/>
          <w:bCs/>
          <w:sz w:val="22"/>
          <w:lang w:eastAsia="zh-CN"/>
        </w:rPr>
        <w:t>（</w:t>
      </w:r>
      <w:r>
        <w:rPr>
          <w:rFonts w:ascii="Arial" w:hAnsi="Arial" w:cs="Arial"/>
          <w:sz w:val="22"/>
        </w:rPr>
        <w:t>2018年修订</w:t>
      </w:r>
      <w:r>
        <w:rPr>
          <w:rFonts w:hint="eastAsia" w:ascii="Arial" w:hAnsi="Arial" w:cs="Arial"/>
          <w:bCs/>
          <w:sz w:val="22"/>
          <w:lang w:eastAsia="zh-CN"/>
        </w:rPr>
        <w:t>）</w:t>
      </w:r>
      <w:r>
        <w:rPr>
          <w:rFonts w:ascii="Arial" w:hAnsi="Arial" w:cs="Arial"/>
          <w:sz w:val="22"/>
        </w:rPr>
        <w:t>：要求可能造成不良环境影响并直接涉及公众环境权益的专项规划环评开展公众参与，以及依法应编制报告书的建设项目环评应开展公众参与。</w:t>
      </w:r>
    </w:p>
    <w:p w14:paraId="31AD8E10">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《建设项目环境保护事中事后监督管理办法（试行）》</w:t>
      </w:r>
      <w:r>
        <w:rPr>
          <w:rFonts w:hint="eastAsia" w:ascii="Arial" w:hAnsi="Arial" w:cs="Arial"/>
          <w:sz w:val="22"/>
          <w:lang w:eastAsia="zh-CN"/>
        </w:rPr>
        <w:t>（</w:t>
      </w:r>
      <w:r>
        <w:rPr>
          <w:rFonts w:ascii="Arial" w:hAnsi="Arial" w:cs="Arial"/>
          <w:sz w:val="22"/>
        </w:rPr>
        <w:t>2015年</w:t>
      </w:r>
      <w:r>
        <w:rPr>
          <w:rFonts w:hint="eastAsia" w:ascii="Arial" w:hAnsi="Arial" w:cs="Arial"/>
          <w:sz w:val="22"/>
          <w:lang w:eastAsia="zh-CN"/>
        </w:rPr>
        <w:t>）</w:t>
      </w:r>
      <w:r>
        <w:rPr>
          <w:rFonts w:ascii="Arial" w:hAnsi="Arial" w:cs="Arial"/>
          <w:sz w:val="22"/>
        </w:rPr>
        <w:t>：生态环境部门对建设项目自办理环评手续后到正式投入生产或使用期间，落实经批准的环评文件及批复要求进行事中监督管理；对建设项目正式投入生产或使用后，遵守环境保护法律法规情况及按照相关要求开展环境影响后评价情况进行事后监督管理。</w:t>
      </w:r>
    </w:p>
    <w:p w14:paraId="6A2FD400">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《建设项目竣工环保验收暂行办法》</w:t>
      </w:r>
      <w:r>
        <w:rPr>
          <w:rFonts w:hint="eastAsia" w:ascii="Arial" w:hAnsi="Arial" w:cs="Arial"/>
          <w:bCs/>
          <w:sz w:val="22"/>
          <w:lang w:eastAsia="zh-CN"/>
        </w:rPr>
        <w:t>（</w:t>
      </w:r>
      <w:r>
        <w:rPr>
          <w:rFonts w:ascii="Arial" w:hAnsi="Arial" w:cs="Arial"/>
          <w:sz w:val="22"/>
        </w:rPr>
        <w:t>2017</w:t>
      </w:r>
      <w:r>
        <w:rPr>
          <w:rFonts w:ascii="Arial" w:hAnsi="Arial" w:cs="Arial"/>
          <w:bCs/>
          <w:color w:val="000000"/>
          <w:sz w:val="22"/>
        </w:rPr>
        <w:t>年</w:t>
      </w:r>
      <w:r>
        <w:rPr>
          <w:rFonts w:hint="eastAsia" w:ascii="Arial" w:hAnsi="Arial" w:cs="Arial"/>
          <w:bCs/>
          <w:sz w:val="22"/>
          <w:lang w:eastAsia="zh-CN"/>
        </w:rPr>
        <w:t>）</w:t>
      </w:r>
      <w:r>
        <w:rPr>
          <w:rFonts w:ascii="Arial" w:hAnsi="Arial" w:cs="Arial"/>
          <w:sz w:val="22"/>
        </w:rPr>
        <w:t>：建设单位是建设项目竣工环境保护验收的责任主体，应组织对配套建设的环境保护设施进行验收，编制验收报告，公开相关信息，接受社会监督。环境保护设施未与主体工程同时建成的，或者应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14:paraId="47E4FC2F">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《环境监测管理办法》</w:t>
      </w:r>
      <w:r>
        <w:rPr>
          <w:rFonts w:hint="eastAsia" w:ascii="Arial" w:hAnsi="Arial" w:cs="Arial"/>
          <w:bCs/>
          <w:sz w:val="22"/>
          <w:lang w:eastAsia="zh-CN"/>
        </w:rPr>
        <w:t>（</w:t>
      </w:r>
      <w:r>
        <w:rPr>
          <w:rFonts w:ascii="Arial" w:hAnsi="Arial" w:cs="Arial"/>
          <w:sz w:val="22"/>
        </w:rPr>
        <w:t>2007年</w:t>
      </w:r>
      <w:r>
        <w:rPr>
          <w:rFonts w:hint="eastAsia" w:ascii="Arial" w:hAnsi="Arial" w:cs="Arial"/>
          <w:bCs/>
          <w:sz w:val="22"/>
          <w:lang w:eastAsia="zh-CN"/>
        </w:rPr>
        <w:t>）</w:t>
      </w:r>
      <w:r>
        <w:rPr>
          <w:rFonts w:ascii="Arial" w:hAnsi="Arial" w:cs="Arial"/>
          <w:sz w:val="22"/>
        </w:rPr>
        <w:t>：适用于生态环境部门下列环境监测活动的管理：</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环境质量监测；</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污染源监督性监测；</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突发环境污染事件应急监测；</w:t>
      </w:r>
      <w:r>
        <w:rPr>
          <w:rFonts w:hint="eastAsia" w:ascii="Arial" w:hAnsi="Arial" w:cs="Arial"/>
          <w:sz w:val="22"/>
          <w:lang w:val="en-GB" w:eastAsia="zh-CN"/>
        </w:rPr>
        <w:t>（</w:t>
      </w:r>
      <w:r>
        <w:rPr>
          <w:rFonts w:ascii="Arial" w:hAnsi="Arial" w:cs="Arial"/>
          <w:sz w:val="22"/>
          <w:lang w:val="en-GB"/>
        </w:rPr>
        <w:t>4</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为环境状况调查和评价等环境管理活动提供监测数据的其他环境监测活动。明确了环境监测工作是生态环境部门的法定职责。</w:t>
      </w:r>
    </w:p>
    <w:p w14:paraId="36AB7E67">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《建设项目环境影响评价分类管理名录》</w:t>
      </w:r>
      <w:r>
        <w:rPr>
          <w:rFonts w:hint="eastAsia" w:ascii="Arial" w:hAnsi="Arial" w:cs="Arial"/>
          <w:bCs/>
          <w:sz w:val="22"/>
          <w:lang w:eastAsia="zh-CN"/>
        </w:rPr>
        <w:t>（</w:t>
      </w:r>
      <w:r>
        <w:rPr>
          <w:rFonts w:ascii="Arial" w:hAnsi="Arial" w:cs="Arial"/>
          <w:sz w:val="22"/>
        </w:rPr>
        <w:t>2021年</w:t>
      </w:r>
      <w:r>
        <w:rPr>
          <w:rFonts w:hint="eastAsia" w:ascii="Arial" w:hAnsi="Arial" w:cs="Arial"/>
          <w:bCs/>
          <w:sz w:val="22"/>
          <w:lang w:eastAsia="zh-CN"/>
        </w:rPr>
        <w:t>）</w:t>
      </w:r>
      <w:r>
        <w:rPr>
          <w:rFonts w:ascii="Arial" w:hAnsi="Arial" w:cs="Arial"/>
          <w:sz w:val="22"/>
        </w:rPr>
        <w:t>：规定了55个行业173个类别活动的环境影响筛查和分类指南。综合考虑项目类型、规模、所在地区环境敏感性，提出了划分重大环境影响（环境影响报告书）、中等影响（环境影响报告表）和较小影响（环境影响登记表）的具体标准。</w:t>
      </w:r>
    </w:p>
    <w:p w14:paraId="6C1CFB6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《固定污染源排污许可分类管理名录》</w:t>
      </w:r>
      <w:r>
        <w:rPr>
          <w:rFonts w:hint="eastAsia" w:ascii="Arial" w:hAnsi="Arial" w:cs="Arial"/>
          <w:bCs/>
          <w:sz w:val="22"/>
          <w:lang w:eastAsia="zh-CN"/>
        </w:rPr>
        <w:t>（</w:t>
      </w:r>
      <w:r>
        <w:rPr>
          <w:rFonts w:ascii="Arial" w:hAnsi="Arial" w:cs="Arial"/>
          <w:sz w:val="22"/>
        </w:rPr>
        <w:t>2019年版</w:t>
      </w:r>
      <w:r>
        <w:rPr>
          <w:rFonts w:hint="eastAsia" w:ascii="Arial" w:hAnsi="Arial" w:cs="Arial"/>
          <w:bCs/>
          <w:sz w:val="22"/>
          <w:lang w:eastAsia="zh-CN"/>
        </w:rPr>
        <w:t>）</w:t>
      </w:r>
      <w:r>
        <w:rPr>
          <w:rFonts w:ascii="Arial" w:hAnsi="Arial" w:cs="Arial"/>
          <w:sz w:val="22"/>
        </w:rPr>
        <w:t>：规定了112个具体行业的排污许可分类指南；综合考虑污染物产生量、排放量和对环境的影响程度，提出了划分重点管理、简化管理和登记管理的具体标准。</w:t>
      </w:r>
    </w:p>
    <w:p w14:paraId="2EE56AEC">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《建设项目环境影响评价信息公开机制方案》</w:t>
      </w:r>
      <w:r>
        <w:rPr>
          <w:rFonts w:hint="eastAsia" w:ascii="Arial" w:hAnsi="Arial" w:cs="Arial"/>
          <w:sz w:val="22"/>
          <w:lang w:val="en-GB" w:eastAsia="zh-CN"/>
        </w:rPr>
        <w:t>（</w:t>
      </w:r>
      <w:r>
        <w:rPr>
          <w:rFonts w:ascii="Arial" w:hAnsi="Arial" w:cs="Arial"/>
          <w:sz w:val="22"/>
        </w:rPr>
        <w:t>2015年</w:t>
      </w:r>
      <w:r>
        <w:rPr>
          <w:rFonts w:hint="eastAsia" w:ascii="Arial" w:hAnsi="Arial" w:cs="Arial"/>
          <w:sz w:val="22"/>
          <w:lang w:val="en-GB" w:eastAsia="zh-CN"/>
        </w:rPr>
        <w:t>）</w:t>
      </w:r>
      <w:r>
        <w:rPr>
          <w:rFonts w:ascii="Arial" w:hAnsi="Arial" w:cs="Arial"/>
          <w:sz w:val="22"/>
        </w:rPr>
        <w:t>：要求建设单位对项目选址、建设、运营全过程环境信息公开，包括报告书/表全本以及项目开工前、施工中和建成后的信息。生态环境部门还应公开报告书/报告表的受理、审查、审批情况以及项目全过程监管信息。</w:t>
      </w:r>
    </w:p>
    <w:p w14:paraId="3243A4BF">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《环境影响评价技术导则》</w:t>
      </w:r>
      <w:r>
        <w:rPr>
          <w:rFonts w:ascii="Arial" w:hAnsi="Arial" w:cs="Arial"/>
          <w:sz w:val="22"/>
        </w:rPr>
        <w:t>：中国颁布了20多个环评技术导则以规范环评文件编制质量，包括一个总纲和一系列针对具体环境要素（如地表水、地下水、土壤、大气、噪声、生态影响）和重点行业（如水利水电、煤炭、制药、钢铁等）的分项导则。其中《环境影响评价技术导则—总纲》对环评文件编制提出了总体要求，包括进行建设方案环境比选；分析有利与不利、长期与短期、直接与间接、累积性影响；制定环境保护措施并论证可行性；制定投资估算、环境管理与监测计划等。</w:t>
      </w:r>
    </w:p>
    <w:p w14:paraId="6813F20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《排污许可证申请与核发技术规范》</w:t>
      </w:r>
      <w:r>
        <w:rPr>
          <w:rFonts w:ascii="Arial" w:hAnsi="Arial" w:cs="Arial"/>
          <w:sz w:val="22"/>
        </w:rPr>
        <w:t>：中国颁布了70多个排污许可证申请与核发技术规范，包括一个总则和一系列针对重点行业（如有色金属、农副食品加工、煤炭、制药、钢铁、畜禽养殖、环境卫生、水处理等）的分项导则。对排污单位提出了排污申报信息、自行监测管理、环境管理台账记录、执行报告编制等基本要求，并推荐了废水、废气、恶臭、固废等污染防治可行技术方案。</w:t>
      </w:r>
    </w:p>
    <w:p w14:paraId="6038CAB0">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《关于实施“三线一单”生态环境分区管控的指导意见（试行）》</w:t>
      </w:r>
      <w:r>
        <w:rPr>
          <w:rFonts w:hint="eastAsia" w:ascii="Arial" w:hAnsi="Arial" w:cs="Arial"/>
          <w:sz w:val="22"/>
          <w:lang w:eastAsia="zh-CN"/>
        </w:rPr>
        <w:t>（</w:t>
      </w:r>
      <w:r>
        <w:rPr>
          <w:rFonts w:ascii="Arial" w:hAnsi="Arial" w:cs="Arial"/>
          <w:sz w:val="22"/>
        </w:rPr>
        <w:t>2021年</w:t>
      </w:r>
      <w:r>
        <w:rPr>
          <w:rFonts w:hint="eastAsia" w:ascii="Arial" w:hAnsi="Arial" w:cs="Arial"/>
          <w:sz w:val="22"/>
          <w:lang w:eastAsia="zh-CN"/>
        </w:rPr>
        <w:t>）</w:t>
      </w:r>
      <w:r>
        <w:rPr>
          <w:rFonts w:ascii="Arial" w:hAnsi="Arial" w:cs="Arial"/>
          <w:sz w:val="22"/>
        </w:rPr>
        <w:t>：以生态功能不降低、环境质量不下降、资源环境承载能力不突破为底线，落实“三线一单”生态环境分区管控要求，坚决制止违反生态环境准入清单规定进行生产建设活动的行为，不断强化生态环境源头防控。“三线一单”制度为战略和规划环评落地、建设项目环评审批提供了硬约束，为其他环境管理工作提供了空间管控依据。</w:t>
      </w:r>
    </w:p>
    <w:p w14:paraId="7DC49B19">
      <w:pPr>
        <w:pStyle w:val="48"/>
        <w:widowControl w:val="0"/>
        <w:numPr>
          <w:ilvl w:val="0"/>
          <w:numId w:val="5"/>
        </w:numPr>
        <w:tabs>
          <w:tab w:val="left" w:pos="851"/>
          <w:tab w:val="left" w:pos="993"/>
        </w:tabs>
        <w:adjustRightInd w:val="0"/>
        <w:snapToGrid w:val="0"/>
        <w:spacing w:before="120" w:after="120"/>
        <w:ind w:left="0" w:firstLine="0" w:firstLineChars="0"/>
        <w:jc w:val="both"/>
        <w:rPr>
          <w:rFonts w:ascii="Arial" w:hAnsi="Arial" w:cs="Arial"/>
          <w:sz w:val="22"/>
        </w:rPr>
      </w:pPr>
      <w:r>
        <w:rPr>
          <w:rFonts w:ascii="Arial" w:hAnsi="Arial" w:cs="Arial"/>
          <w:sz w:val="22"/>
        </w:rPr>
        <w:t>此外，国家以及湖南和湖北省还制定了其他相关法规、规</w:t>
      </w:r>
      <w:r>
        <w:rPr>
          <w:rFonts w:ascii="Arial" w:hAnsi="Arial" w:cs="Arial"/>
          <w:sz w:val="22"/>
          <w:lang w:val="en-GB"/>
        </w:rPr>
        <w:t>章、标准、规范</w:t>
      </w:r>
      <w:r>
        <w:rPr>
          <w:rFonts w:ascii="Arial" w:hAnsi="Arial" w:cs="Arial"/>
          <w:sz w:val="22"/>
        </w:rPr>
        <w:t>，如《“十四五”环境影响评价与排污许可工作实施方案》</w:t>
      </w:r>
      <w:r>
        <w:rPr>
          <w:rFonts w:hint="eastAsia" w:ascii="Arial" w:hAnsi="Arial" w:cs="Arial"/>
          <w:sz w:val="22"/>
          <w:lang w:eastAsia="zh-CN"/>
        </w:rPr>
        <w:t>（</w:t>
      </w:r>
      <w:r>
        <w:rPr>
          <w:rFonts w:ascii="Arial" w:hAnsi="Arial" w:cs="Arial"/>
          <w:sz w:val="22"/>
        </w:rPr>
        <w:t>2022年</w:t>
      </w:r>
      <w:r>
        <w:rPr>
          <w:rFonts w:hint="eastAsia" w:ascii="Arial" w:hAnsi="Arial" w:cs="Arial"/>
          <w:sz w:val="22"/>
          <w:lang w:eastAsia="zh-CN"/>
        </w:rPr>
        <w:t>）</w:t>
      </w:r>
      <w:r>
        <w:rPr>
          <w:rFonts w:ascii="Arial" w:hAnsi="Arial" w:cs="Arial"/>
          <w:sz w:val="22"/>
        </w:rPr>
        <w:t>、《关于强化建设项目环境影响评价事中事后监管的实施意见》</w:t>
      </w:r>
      <w:r>
        <w:rPr>
          <w:rFonts w:hint="eastAsia" w:ascii="Arial" w:hAnsi="Arial" w:cs="Arial"/>
          <w:sz w:val="22"/>
          <w:lang w:eastAsia="zh-CN"/>
        </w:rPr>
        <w:t>（</w:t>
      </w:r>
      <w:r>
        <w:rPr>
          <w:rFonts w:ascii="Arial" w:hAnsi="Arial" w:cs="Arial"/>
          <w:sz w:val="22"/>
        </w:rPr>
        <w:t>2018年</w:t>
      </w:r>
      <w:r>
        <w:rPr>
          <w:rFonts w:hint="eastAsia" w:ascii="Arial" w:hAnsi="Arial" w:cs="Arial"/>
          <w:sz w:val="22"/>
          <w:lang w:eastAsia="zh-CN"/>
        </w:rPr>
        <w:t>）</w:t>
      </w:r>
      <w:r>
        <w:rPr>
          <w:rFonts w:ascii="Arial" w:hAnsi="Arial" w:cs="Arial"/>
          <w:sz w:val="22"/>
        </w:rPr>
        <w:t>、《环境监测技术路线》</w:t>
      </w:r>
      <w:r>
        <w:rPr>
          <w:rFonts w:hint="eastAsia" w:ascii="Arial" w:hAnsi="Arial" w:cs="Arial"/>
          <w:sz w:val="22"/>
          <w:lang w:eastAsia="zh-CN"/>
        </w:rPr>
        <w:t>（</w:t>
      </w:r>
      <w:r>
        <w:rPr>
          <w:rFonts w:ascii="Arial" w:hAnsi="Arial" w:cs="Arial"/>
          <w:sz w:val="22"/>
        </w:rPr>
        <w:t>2003年</w:t>
      </w:r>
      <w:r>
        <w:rPr>
          <w:rFonts w:hint="eastAsia" w:ascii="Arial" w:hAnsi="Arial" w:cs="Arial"/>
          <w:sz w:val="22"/>
          <w:lang w:eastAsia="zh-CN"/>
        </w:rPr>
        <w:t>）</w:t>
      </w:r>
      <w:r>
        <w:rPr>
          <w:rFonts w:ascii="Arial" w:hAnsi="Arial" w:cs="Arial"/>
          <w:sz w:val="22"/>
        </w:rPr>
        <w:t>、《“十四五”生态环境监测规划》</w:t>
      </w:r>
      <w:r>
        <w:rPr>
          <w:rFonts w:hint="eastAsia" w:ascii="Arial" w:hAnsi="Arial" w:cs="Arial"/>
          <w:sz w:val="22"/>
          <w:lang w:eastAsia="zh-CN"/>
        </w:rPr>
        <w:t>（</w:t>
      </w:r>
      <w:r>
        <w:rPr>
          <w:rFonts w:ascii="Arial" w:hAnsi="Arial" w:cs="Arial"/>
          <w:sz w:val="22"/>
        </w:rPr>
        <w:t>2021年</w:t>
      </w:r>
      <w:r>
        <w:rPr>
          <w:rFonts w:hint="eastAsia" w:ascii="Arial" w:hAnsi="Arial" w:cs="Arial"/>
          <w:sz w:val="22"/>
          <w:lang w:eastAsia="zh-CN"/>
        </w:rPr>
        <w:t>）</w:t>
      </w:r>
      <w:r>
        <w:rPr>
          <w:rFonts w:ascii="Arial" w:hAnsi="Arial" w:cs="Arial"/>
          <w:sz w:val="22"/>
        </w:rPr>
        <w:t>等；湖北省的《关于调整建设项目环境影响评价文件分级审批权限的通知》</w:t>
      </w:r>
      <w:r>
        <w:rPr>
          <w:rFonts w:hint="eastAsia" w:ascii="Arial" w:hAnsi="Arial" w:cs="Arial"/>
          <w:sz w:val="22"/>
          <w:lang w:eastAsia="zh-CN"/>
        </w:rPr>
        <w:t>（</w:t>
      </w:r>
      <w:r>
        <w:rPr>
          <w:rFonts w:ascii="Arial" w:hAnsi="Arial" w:cs="Arial"/>
          <w:sz w:val="22"/>
        </w:rPr>
        <w:t>2019年</w:t>
      </w:r>
      <w:r>
        <w:rPr>
          <w:rFonts w:hint="eastAsia" w:ascii="Arial" w:hAnsi="Arial" w:cs="Arial"/>
          <w:sz w:val="22"/>
          <w:lang w:eastAsia="zh-CN"/>
        </w:rPr>
        <w:t>）</w:t>
      </w:r>
      <w:r>
        <w:rPr>
          <w:rFonts w:ascii="Arial" w:hAnsi="Arial" w:cs="Arial"/>
          <w:sz w:val="22"/>
        </w:rPr>
        <w:t>、《关于进一步做好建设项目环境保护“三同时”及竣工环境保护自主验收监管工作的通知》</w:t>
      </w:r>
      <w:r>
        <w:rPr>
          <w:rFonts w:hint="eastAsia" w:ascii="Arial" w:hAnsi="Arial" w:cs="Arial"/>
          <w:sz w:val="22"/>
          <w:lang w:eastAsia="zh-CN"/>
        </w:rPr>
        <w:t>（</w:t>
      </w:r>
      <w:r>
        <w:rPr>
          <w:rFonts w:ascii="Arial" w:hAnsi="Arial" w:cs="Arial"/>
          <w:sz w:val="22"/>
        </w:rPr>
        <w:t>2022年</w:t>
      </w:r>
      <w:r>
        <w:rPr>
          <w:rFonts w:hint="eastAsia" w:ascii="Arial" w:hAnsi="Arial" w:cs="Arial"/>
          <w:sz w:val="22"/>
          <w:lang w:eastAsia="zh-CN"/>
        </w:rPr>
        <w:t>）</w:t>
      </w:r>
      <w:r>
        <w:rPr>
          <w:rFonts w:ascii="Arial" w:hAnsi="Arial" w:cs="Arial"/>
          <w:sz w:val="22"/>
        </w:rPr>
        <w:t>、《湖北省实施排污许可证暂行办法》</w:t>
      </w:r>
      <w:r>
        <w:rPr>
          <w:rFonts w:hint="eastAsia" w:ascii="Arial" w:hAnsi="Arial" w:cs="Arial"/>
          <w:sz w:val="22"/>
          <w:lang w:eastAsia="zh-CN"/>
        </w:rPr>
        <w:t>（</w:t>
      </w:r>
      <w:r>
        <w:rPr>
          <w:rFonts w:ascii="Arial" w:hAnsi="Arial" w:cs="Arial"/>
          <w:sz w:val="22"/>
        </w:rPr>
        <w:t>2018年</w:t>
      </w:r>
      <w:r>
        <w:rPr>
          <w:rFonts w:hint="eastAsia" w:ascii="Arial" w:hAnsi="Arial" w:cs="Arial"/>
          <w:sz w:val="22"/>
          <w:lang w:eastAsia="zh-CN"/>
        </w:rPr>
        <w:t>）</w:t>
      </w:r>
      <w:r>
        <w:rPr>
          <w:rFonts w:ascii="Arial" w:hAnsi="Arial" w:cs="Arial"/>
          <w:sz w:val="22"/>
        </w:rPr>
        <w:t>、《湖北省人民政府关于加快实施</w:t>
      </w:r>
      <w:r>
        <w:rPr>
          <w:rFonts w:hint="eastAsia" w:ascii="Arial" w:hAnsi="Arial" w:cs="Arial"/>
          <w:sz w:val="22"/>
          <w:lang w:eastAsia="zh-CN"/>
        </w:rPr>
        <w:t>“</w:t>
      </w:r>
      <w:r>
        <w:rPr>
          <w:rFonts w:ascii="Arial" w:hAnsi="Arial" w:cs="Arial"/>
          <w:sz w:val="22"/>
        </w:rPr>
        <w:t>三线一单</w:t>
      </w:r>
      <w:r>
        <w:rPr>
          <w:rFonts w:hint="eastAsia" w:ascii="Arial" w:hAnsi="Arial" w:cs="Arial"/>
          <w:sz w:val="22"/>
          <w:lang w:eastAsia="zh-CN"/>
        </w:rPr>
        <w:t>”</w:t>
      </w:r>
      <w:r>
        <w:rPr>
          <w:rFonts w:ascii="Arial" w:hAnsi="Arial" w:cs="Arial"/>
          <w:sz w:val="22"/>
        </w:rPr>
        <w:t>生态环境分区管控的意见》</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；湖南省的《建设项目环境影响评价文件审批程序规定》</w:t>
      </w:r>
      <w:r>
        <w:rPr>
          <w:rFonts w:hint="eastAsia" w:ascii="Arial" w:hAnsi="Arial" w:cs="Arial"/>
          <w:sz w:val="22"/>
          <w:lang w:eastAsia="zh-CN"/>
        </w:rPr>
        <w:t>（</w:t>
      </w:r>
      <w:r>
        <w:rPr>
          <w:rFonts w:ascii="Arial" w:hAnsi="Arial" w:cs="Arial"/>
          <w:sz w:val="22"/>
        </w:rPr>
        <w:t>2019年</w:t>
      </w:r>
      <w:r>
        <w:rPr>
          <w:rFonts w:hint="eastAsia" w:ascii="Arial" w:hAnsi="Arial" w:cs="Arial"/>
          <w:sz w:val="22"/>
          <w:lang w:eastAsia="zh-CN"/>
        </w:rPr>
        <w:t>）</w:t>
      </w:r>
      <w:r>
        <w:rPr>
          <w:rFonts w:ascii="Arial" w:hAnsi="Arial" w:cs="Arial"/>
          <w:sz w:val="22"/>
        </w:rPr>
        <w:t>、《关于加强排污许可证管理工作的通知》</w:t>
      </w:r>
      <w:r>
        <w:rPr>
          <w:rFonts w:hint="eastAsia" w:ascii="Arial" w:hAnsi="Arial" w:cs="Arial"/>
          <w:sz w:val="22"/>
          <w:lang w:eastAsia="zh-CN"/>
        </w:rPr>
        <w:t>（</w:t>
      </w:r>
      <w:r>
        <w:rPr>
          <w:rFonts w:ascii="Arial" w:hAnsi="Arial" w:cs="Arial"/>
          <w:sz w:val="22"/>
        </w:rPr>
        <w:t>2015年</w:t>
      </w:r>
      <w:r>
        <w:rPr>
          <w:rFonts w:hint="eastAsia" w:ascii="Arial" w:hAnsi="Arial" w:cs="Arial"/>
          <w:sz w:val="22"/>
          <w:lang w:eastAsia="zh-CN"/>
        </w:rPr>
        <w:t>）</w:t>
      </w:r>
      <w:r>
        <w:rPr>
          <w:rFonts w:ascii="Arial" w:hAnsi="Arial" w:cs="Arial"/>
          <w:sz w:val="22"/>
        </w:rPr>
        <w:t>、《湖南省环境保护行政主管部门审批环境影响评价文件的建设项目目录》</w:t>
      </w:r>
      <w:r>
        <w:rPr>
          <w:rFonts w:hint="eastAsia" w:ascii="Arial" w:hAnsi="Arial" w:cs="Arial"/>
          <w:sz w:val="22"/>
          <w:lang w:eastAsia="zh-CN"/>
        </w:rPr>
        <w:t>（</w:t>
      </w:r>
      <w:r>
        <w:rPr>
          <w:rFonts w:ascii="Arial" w:hAnsi="Arial" w:cs="Arial"/>
          <w:sz w:val="22"/>
        </w:rPr>
        <w:t>2017年</w:t>
      </w:r>
      <w:r>
        <w:rPr>
          <w:rFonts w:hint="eastAsia" w:ascii="Arial" w:hAnsi="Arial" w:cs="Arial"/>
          <w:sz w:val="22"/>
          <w:lang w:eastAsia="zh-CN"/>
        </w:rPr>
        <w:t>）</w:t>
      </w:r>
      <w:r>
        <w:rPr>
          <w:rFonts w:ascii="Arial" w:hAnsi="Arial" w:cs="Arial"/>
          <w:sz w:val="22"/>
        </w:rPr>
        <w:t>、《湖南省人民政府关于实施“三线一单”生态环境分区管控的意见》</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等。以上这些文件规定了建设项目选址空间管控、环评分级审批、排污许可监管等具体要求和程序，为建设项目环评和全过程环境管理提供了法规框架。</w:t>
      </w:r>
    </w:p>
    <w:p w14:paraId="7A7F1420">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sz w:val="22"/>
        </w:rPr>
        <w:tab/>
      </w:r>
      <w:r>
        <w:rPr>
          <w:rFonts w:ascii="Arial" w:hAnsi="Arial" w:cs="Arial"/>
          <w:b/>
          <w:bCs/>
          <w:color w:val="1F4E79" w:themeColor="accent5" w:themeShade="80"/>
          <w:sz w:val="22"/>
        </w:rPr>
        <w:t>实施机制</w:t>
      </w:r>
    </w:p>
    <w:p w14:paraId="78340E2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iCs/>
          <w:color w:val="000000" w:themeColor="text1"/>
          <w:sz w:val="22"/>
          <w14:textFill>
            <w14:solidFill>
              <w14:schemeClr w14:val="tx1"/>
            </w14:solidFill>
          </w14:textFill>
        </w:rPr>
        <w:t>环评分类管理：</w:t>
      </w:r>
      <w:r>
        <w:rPr>
          <w:rFonts w:ascii="Arial" w:hAnsi="Arial" w:cs="Arial"/>
          <w:sz w:val="22"/>
        </w:rPr>
        <w:t>中国制定了比较全面的建设项目环评分类管理名录，按照与风险水平相适应的原则，综合考虑建设项目的行业、性质、地点、规模、环境敏感性等因素，对建设项目进行环境影响分级，即可能造成重大影响、可能造成轻度影响、影响很小。据此，环评文件被相应地划分为三类，即环境影响报告书、环境影响报告表、环境影响登记表。本项目排除了环境影响报告书类活动之后，项目范围内农村生活污水收集与处理、农村生活垃圾转运、畜禽粪污处理与利用、水产养殖尾水治理等活动的环评分类将分属于下</w:t>
      </w:r>
      <w:r>
        <w:rPr>
          <w:rFonts w:ascii="Arial" w:hAnsi="Arial" w:cs="Arial"/>
          <w:b/>
          <w:bCs/>
          <w:sz w:val="22"/>
        </w:rPr>
        <w:t>表4</w:t>
      </w:r>
      <w:r>
        <w:rPr>
          <w:rFonts w:hint="eastAsia" w:ascii="Arial" w:hAnsi="Arial" w:cs="Arial"/>
          <w:b/>
          <w:bCs/>
          <w:sz w:val="22"/>
          <w:lang w:eastAsia="zh-CN"/>
        </w:rPr>
        <w:t>—</w:t>
      </w:r>
      <w:r>
        <w:rPr>
          <w:rFonts w:ascii="Arial" w:hAnsi="Arial" w:cs="Arial"/>
          <w:b/>
          <w:bCs/>
          <w:sz w:val="22"/>
        </w:rPr>
        <w:t>2</w:t>
      </w:r>
      <w:r>
        <w:rPr>
          <w:rFonts w:ascii="Arial" w:hAnsi="Arial" w:cs="Arial"/>
          <w:sz w:val="22"/>
        </w:rPr>
        <w:t>所示的报告表或登记表类别，其他项目活动（如农药化肥减量、秸秆综合利用</w:t>
      </w:r>
      <w:r>
        <w:rPr>
          <w:rFonts w:hint="eastAsia" w:ascii="Arial" w:hAnsi="Arial" w:cs="Arial"/>
          <w:sz w:val="22"/>
          <w:lang w:eastAsia="zh-CN"/>
        </w:rPr>
        <w:t>）对</w:t>
      </w:r>
      <w:r>
        <w:rPr>
          <w:rFonts w:ascii="Arial" w:hAnsi="Arial" w:cs="Arial"/>
          <w:sz w:val="22"/>
        </w:rPr>
        <w:t>环境影响较小，按国内规定没有要求开展环评。不过，</w:t>
      </w:r>
      <w:r>
        <w:rPr>
          <w:rFonts w:ascii="Arial" w:hAnsi="Arial" w:cs="Arial"/>
          <w:sz w:val="22"/>
          <w:lang w:val="en-GB"/>
        </w:rPr>
        <w:t>本报告仅针对总体情况做出初步判断，</w:t>
      </w:r>
      <w:r>
        <w:rPr>
          <w:rFonts w:ascii="Arial" w:hAnsi="Arial" w:cs="Arial"/>
          <w:sz w:val="22"/>
        </w:rPr>
        <w:t>每个项目活动的具体环评分类需在实施过程中由地方生态环境部门根据实际情况确定。</w:t>
      </w:r>
    </w:p>
    <w:p w14:paraId="0010CC9D">
      <w:pPr>
        <w:pStyle w:val="66"/>
        <w:adjustRightInd w:val="0"/>
        <w:snapToGrid w:val="0"/>
        <w:spacing w:before="120" w:after="120"/>
        <w:jc w:val="center"/>
        <w:rPr>
          <w:rFonts w:ascii="Arial" w:hAnsi="Arial" w:eastAsia="宋体" w:cs="Arial"/>
          <w:b/>
          <w:bCs/>
          <w:color w:val="1F4E79" w:themeColor="accent5" w:themeShade="80"/>
          <w:lang w:eastAsia="zh-CN"/>
        </w:rPr>
      </w:pPr>
      <w:r>
        <w:rPr>
          <w:rFonts w:ascii="Arial" w:hAnsi="Arial" w:eastAsia="宋体" w:cs="Arial"/>
          <w:b/>
          <w:bCs/>
          <w:color w:val="1F4E79" w:themeColor="accent5" w:themeShade="80"/>
          <w:lang w:eastAsia="zh-CN"/>
        </w:rPr>
        <w:t>表4</w:t>
      </w:r>
      <w:r>
        <w:rPr>
          <w:rFonts w:hint="eastAsia" w:ascii="Arial" w:hAnsi="Arial" w:eastAsia="宋体" w:cs="Arial"/>
          <w:b/>
          <w:bCs/>
          <w:color w:val="1F4E79" w:themeColor="accent5" w:themeShade="80"/>
          <w:lang w:eastAsia="zh-CN"/>
        </w:rPr>
        <w:t>—</w:t>
      </w:r>
      <w:r>
        <w:rPr>
          <w:rFonts w:ascii="Arial" w:hAnsi="Arial" w:eastAsia="宋体" w:cs="Arial"/>
          <w:b/>
          <w:bCs/>
          <w:color w:val="1F4E79" w:themeColor="accent5" w:themeShade="80"/>
          <w:lang w:eastAsia="zh-CN"/>
        </w:rPr>
        <w:t>2：本项目主要活动的环评分类管理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95"/>
        <w:gridCol w:w="1612"/>
        <w:gridCol w:w="2375"/>
        <w:gridCol w:w="2620"/>
        <w:gridCol w:w="1986"/>
      </w:tblGrid>
      <w:tr w14:paraId="0039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65" w:type="pct"/>
            <w:vMerge w:val="restart"/>
            <w:shd w:val="clear" w:color="auto" w:fill="auto"/>
          </w:tcPr>
          <w:p w14:paraId="1F8644AE">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典型</w:t>
            </w:r>
          </w:p>
          <w:p w14:paraId="7D05900A">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项目活动</w:t>
            </w:r>
          </w:p>
        </w:tc>
        <w:tc>
          <w:tcPr>
            <w:tcW w:w="832" w:type="pct"/>
            <w:vMerge w:val="restart"/>
            <w:shd w:val="clear" w:color="auto" w:fill="auto"/>
          </w:tcPr>
          <w:p w14:paraId="5973CC63">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类别</w:t>
            </w:r>
          </w:p>
        </w:tc>
        <w:tc>
          <w:tcPr>
            <w:tcW w:w="3603" w:type="pct"/>
            <w:gridSpan w:val="3"/>
            <w:shd w:val="clear" w:color="auto" w:fill="auto"/>
          </w:tcPr>
          <w:p w14:paraId="4A74DC70">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环评文件类别</w:t>
            </w:r>
          </w:p>
        </w:tc>
      </w:tr>
      <w:tr w14:paraId="763D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65" w:type="pct"/>
            <w:vMerge w:val="continue"/>
            <w:shd w:val="clear" w:color="auto" w:fill="auto"/>
          </w:tcPr>
          <w:p w14:paraId="3BC17B58">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832" w:type="pct"/>
            <w:vMerge w:val="continue"/>
            <w:shd w:val="clear" w:color="auto" w:fill="auto"/>
          </w:tcPr>
          <w:p w14:paraId="08A5B3A5">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1226" w:type="pct"/>
            <w:shd w:val="clear" w:color="auto" w:fill="auto"/>
          </w:tcPr>
          <w:p w14:paraId="57E9662E">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报告书</w:t>
            </w:r>
          </w:p>
        </w:tc>
        <w:tc>
          <w:tcPr>
            <w:tcW w:w="1352" w:type="pct"/>
            <w:shd w:val="clear" w:color="auto" w:fill="auto"/>
          </w:tcPr>
          <w:p w14:paraId="3001D71E">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报告表</w:t>
            </w:r>
          </w:p>
        </w:tc>
        <w:tc>
          <w:tcPr>
            <w:tcW w:w="1025" w:type="pct"/>
            <w:shd w:val="clear" w:color="auto" w:fill="auto"/>
          </w:tcPr>
          <w:p w14:paraId="51A65CA9">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登记表</w:t>
            </w:r>
          </w:p>
        </w:tc>
      </w:tr>
      <w:tr w14:paraId="4593C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33438EF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农村生活污水处理</w:t>
            </w:r>
          </w:p>
        </w:tc>
        <w:tc>
          <w:tcPr>
            <w:tcW w:w="832" w:type="pct"/>
            <w:shd w:val="clear" w:color="auto" w:fill="auto"/>
          </w:tcPr>
          <w:p w14:paraId="41CFA7E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污水处理及再生利用</w:t>
            </w:r>
          </w:p>
        </w:tc>
        <w:tc>
          <w:tcPr>
            <w:tcW w:w="1226" w:type="pct"/>
            <w:shd w:val="clear" w:color="auto" w:fill="auto"/>
          </w:tcPr>
          <w:p w14:paraId="5669993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新建、扩建日处理10万吨及以上城乡污水处理的</w:t>
            </w:r>
          </w:p>
        </w:tc>
        <w:tc>
          <w:tcPr>
            <w:tcW w:w="1352" w:type="pct"/>
            <w:shd w:val="clear" w:color="auto" w:fill="auto"/>
          </w:tcPr>
          <w:p w14:paraId="2C27D1B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新建、扩建日处理10万吨以下500吨及以上城乡污水处理的</w:t>
            </w:r>
          </w:p>
        </w:tc>
        <w:tc>
          <w:tcPr>
            <w:tcW w:w="1025" w:type="pct"/>
            <w:shd w:val="clear" w:color="auto" w:fill="auto"/>
          </w:tcPr>
          <w:p w14:paraId="0EA4065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其他（不含提标改造项目；不含化粪池及化粪池处理后中水处理回用；不含仅建设沉淀池处理的）</w:t>
            </w:r>
          </w:p>
        </w:tc>
      </w:tr>
      <w:tr w14:paraId="025B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51B7CF7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污水管网</w:t>
            </w:r>
          </w:p>
        </w:tc>
        <w:tc>
          <w:tcPr>
            <w:tcW w:w="832" w:type="pct"/>
            <w:shd w:val="clear" w:color="auto" w:fill="auto"/>
          </w:tcPr>
          <w:p w14:paraId="139ECDB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城市/镇管网及管廊建设</w:t>
            </w:r>
          </w:p>
        </w:tc>
        <w:tc>
          <w:tcPr>
            <w:tcW w:w="1226" w:type="pct"/>
            <w:shd w:val="clear" w:color="auto" w:fill="auto"/>
          </w:tcPr>
          <w:p w14:paraId="4E45C16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352" w:type="pct"/>
            <w:shd w:val="clear" w:color="auto" w:fill="auto"/>
          </w:tcPr>
          <w:p w14:paraId="6518D4B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新建涉及环境敏感区的</w:t>
            </w:r>
          </w:p>
        </w:tc>
        <w:tc>
          <w:tcPr>
            <w:tcW w:w="1025" w:type="pct"/>
            <w:shd w:val="clear" w:color="auto" w:fill="auto"/>
          </w:tcPr>
          <w:p w14:paraId="04A67EC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r>
      <w:tr w14:paraId="2328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030D611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水产养殖尾水治理</w:t>
            </w:r>
          </w:p>
        </w:tc>
        <w:tc>
          <w:tcPr>
            <w:tcW w:w="832" w:type="pct"/>
            <w:shd w:val="clear" w:color="auto" w:fill="auto"/>
          </w:tcPr>
          <w:p w14:paraId="335391F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其他水的处理、利用与分配</w:t>
            </w:r>
          </w:p>
        </w:tc>
        <w:tc>
          <w:tcPr>
            <w:tcW w:w="1226" w:type="pct"/>
            <w:shd w:val="clear" w:color="auto" w:fill="auto"/>
          </w:tcPr>
          <w:p w14:paraId="2814A2C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352" w:type="pct"/>
            <w:shd w:val="clear" w:color="auto" w:fill="auto"/>
          </w:tcPr>
          <w:p w14:paraId="3AB6430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全部</w:t>
            </w:r>
          </w:p>
        </w:tc>
        <w:tc>
          <w:tcPr>
            <w:tcW w:w="1025" w:type="pct"/>
            <w:shd w:val="clear" w:color="auto" w:fill="auto"/>
          </w:tcPr>
          <w:p w14:paraId="7D3631F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14:paraId="456A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6D0B399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畜禽粪污生产有机肥</w:t>
            </w:r>
          </w:p>
        </w:tc>
        <w:tc>
          <w:tcPr>
            <w:tcW w:w="832" w:type="pct"/>
            <w:shd w:val="clear" w:color="auto" w:fill="auto"/>
          </w:tcPr>
          <w:p w14:paraId="62AD1F6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肥料制造</w:t>
            </w:r>
          </w:p>
        </w:tc>
        <w:tc>
          <w:tcPr>
            <w:tcW w:w="1226" w:type="pct"/>
            <w:shd w:val="clear" w:color="auto" w:fill="auto"/>
          </w:tcPr>
          <w:p w14:paraId="269BCD8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化学方法生产氮肥、磷肥、复混肥的</w:t>
            </w:r>
          </w:p>
        </w:tc>
        <w:tc>
          <w:tcPr>
            <w:tcW w:w="1352" w:type="pct"/>
            <w:shd w:val="clear" w:color="auto" w:fill="auto"/>
          </w:tcPr>
          <w:p w14:paraId="4229671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c>
          <w:tcPr>
            <w:tcW w:w="1025" w:type="pct"/>
            <w:shd w:val="clear" w:color="auto" w:fill="auto"/>
          </w:tcPr>
          <w:p w14:paraId="496511D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14:paraId="56D2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3246CCD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畜禽粪污生产沼气</w:t>
            </w:r>
          </w:p>
        </w:tc>
        <w:tc>
          <w:tcPr>
            <w:tcW w:w="832" w:type="pct"/>
            <w:shd w:val="clear" w:color="auto" w:fill="auto"/>
          </w:tcPr>
          <w:p w14:paraId="612CF4E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生物质燃气生产和供应业</w:t>
            </w:r>
          </w:p>
        </w:tc>
        <w:tc>
          <w:tcPr>
            <w:tcW w:w="1226" w:type="pct"/>
            <w:shd w:val="clear" w:color="auto" w:fill="auto"/>
          </w:tcPr>
          <w:p w14:paraId="14BCF10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352" w:type="pct"/>
            <w:shd w:val="clear" w:color="auto" w:fill="auto"/>
          </w:tcPr>
          <w:p w14:paraId="2F76831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全部</w:t>
            </w:r>
          </w:p>
        </w:tc>
        <w:tc>
          <w:tcPr>
            <w:tcW w:w="1025" w:type="pct"/>
            <w:shd w:val="clear" w:color="auto" w:fill="auto"/>
          </w:tcPr>
          <w:p w14:paraId="708FC70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r w14:paraId="7039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766C526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秸秆综合利用</w:t>
            </w:r>
          </w:p>
        </w:tc>
        <w:tc>
          <w:tcPr>
            <w:tcW w:w="832" w:type="pct"/>
            <w:shd w:val="clear" w:color="auto" w:fill="auto"/>
          </w:tcPr>
          <w:p w14:paraId="34A1AF1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生物质燃料加工</w:t>
            </w:r>
          </w:p>
        </w:tc>
        <w:tc>
          <w:tcPr>
            <w:tcW w:w="1226" w:type="pct"/>
            <w:shd w:val="clear" w:color="auto" w:fill="auto"/>
          </w:tcPr>
          <w:p w14:paraId="39C669B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生物质液体燃料生产</w:t>
            </w:r>
          </w:p>
        </w:tc>
        <w:tc>
          <w:tcPr>
            <w:tcW w:w="1352" w:type="pct"/>
            <w:shd w:val="clear" w:color="auto" w:fill="auto"/>
          </w:tcPr>
          <w:p w14:paraId="0BD21D9F">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生物质致密成型燃料加工</w:t>
            </w:r>
          </w:p>
        </w:tc>
        <w:tc>
          <w:tcPr>
            <w:tcW w:w="1025" w:type="pct"/>
            <w:shd w:val="clear" w:color="auto" w:fill="auto"/>
          </w:tcPr>
          <w:p w14:paraId="16C72093">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w:t>
            </w:r>
          </w:p>
        </w:tc>
      </w:tr>
      <w:tr w14:paraId="7BC1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65" w:type="pct"/>
            <w:shd w:val="clear" w:color="auto" w:fill="auto"/>
          </w:tcPr>
          <w:p w14:paraId="659681E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生活垃圾转运</w:t>
            </w:r>
          </w:p>
        </w:tc>
        <w:tc>
          <w:tcPr>
            <w:tcW w:w="832" w:type="pct"/>
            <w:shd w:val="clear" w:color="auto" w:fill="auto"/>
          </w:tcPr>
          <w:p w14:paraId="5A03811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生活垃圾</w:t>
            </w:r>
            <w:r>
              <w:rPr>
                <w:rFonts w:hint="eastAsia" w:ascii="Arial" w:hAnsi="Arial" w:cs="Arial"/>
                <w:color w:val="000000" w:themeColor="text1"/>
                <w:sz w:val="20"/>
                <w:szCs w:val="20"/>
                <w:lang w:val="en-GB" w:eastAsia="zh-CN"/>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含餐厨废弃物</w:t>
            </w:r>
            <w:r>
              <w:rPr>
                <w:rFonts w:hint="eastAsia" w:ascii="Arial" w:hAnsi="Arial" w:cs="Arial"/>
                <w:color w:val="000000" w:themeColor="text1"/>
                <w:sz w:val="20"/>
                <w:szCs w:val="20"/>
                <w:lang w:val="en-GB"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转运站</w:t>
            </w:r>
          </w:p>
        </w:tc>
        <w:tc>
          <w:tcPr>
            <w:tcW w:w="1226" w:type="pct"/>
            <w:shd w:val="clear" w:color="auto" w:fill="auto"/>
          </w:tcPr>
          <w:p w14:paraId="537B61C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c>
          <w:tcPr>
            <w:tcW w:w="1352" w:type="pct"/>
            <w:shd w:val="clear" w:color="auto" w:fill="auto"/>
          </w:tcPr>
          <w:p w14:paraId="3F642CF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日转运能力150吨及以上的</w:t>
            </w:r>
          </w:p>
        </w:tc>
        <w:tc>
          <w:tcPr>
            <w:tcW w:w="1025" w:type="pct"/>
            <w:shd w:val="clear" w:color="auto" w:fill="auto"/>
          </w:tcPr>
          <w:p w14:paraId="011E201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p>
        </w:tc>
      </w:tr>
    </w:tbl>
    <w:p w14:paraId="46A6659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环评编制</w:t>
      </w:r>
      <w:r>
        <w:rPr>
          <w:rFonts w:ascii="Arial" w:hAnsi="Arial" w:cs="Arial"/>
          <w:sz w:val="22"/>
        </w:rPr>
        <w:t>：建设单位对项目环评文件的内容和结论负责，接受委托编制环评文件的技术单位也承担相应责任。对于环评文件编制，中国采取了全国统一的环评工程师资质制度，即负责编制环评文件的主要技术人员必须通过国家的资质考试并取得注册环评工程师的资质。</w:t>
      </w:r>
    </w:p>
    <w:p w14:paraId="789565C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环评技术审查</w:t>
      </w:r>
      <w:r>
        <w:rPr>
          <w:rFonts w:ascii="Arial" w:hAnsi="Arial" w:cs="Arial"/>
          <w:sz w:val="22"/>
        </w:rPr>
        <w:t>：环评文件应通过技术审查才能批复。技术审查一般由评估中心组织开展。环境影响报告书的技术审查一般由独立的专家组进行，每个项目至少需要3名专家，从生态环境部门的专家库中随机抽取。环境影响报告表的技术审查，由专家组评审或由生态环境部门自行审查。</w:t>
      </w:r>
    </w:p>
    <w:p w14:paraId="166EFF3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iCs/>
          <w:color w:val="000000" w:themeColor="text1"/>
          <w:sz w:val="22"/>
          <w14:textFill>
            <w14:solidFill>
              <w14:schemeClr w14:val="tx1"/>
            </w14:solidFill>
          </w14:textFill>
        </w:rPr>
        <w:t>环评分级审批</w:t>
      </w:r>
      <w:r>
        <w:rPr>
          <w:rFonts w:ascii="Arial" w:hAnsi="Arial" w:cs="Arial"/>
          <w:bCs/>
          <w:iCs/>
          <w:color w:val="000000" w:themeColor="text1"/>
          <w:sz w:val="22"/>
          <w14:textFill>
            <w14:solidFill>
              <w14:schemeClr w14:val="tx1"/>
            </w14:solidFill>
          </w14:textFill>
        </w:rPr>
        <w:t>：</w:t>
      </w:r>
      <w:r>
        <w:rPr>
          <w:rFonts w:ascii="Arial" w:hAnsi="Arial" w:cs="Arial"/>
          <w:sz w:val="22"/>
          <w:lang w:val="en-GB"/>
        </w:rPr>
        <w:t>环境影响报告书和报告表提交有审批权的生态环境部门审批，登记表实行网上备案。</w:t>
      </w:r>
      <w:r>
        <w:rPr>
          <w:rFonts w:ascii="Arial" w:hAnsi="Arial" w:cs="Arial"/>
          <w:sz w:val="22"/>
        </w:rPr>
        <w:t>根据</w:t>
      </w:r>
      <w:r>
        <w:rPr>
          <w:rFonts w:ascii="Arial" w:hAnsi="Arial" w:cs="Arial"/>
          <w:sz w:val="22"/>
          <w:lang w:val="en-GB"/>
        </w:rPr>
        <w:t>项目</w:t>
      </w:r>
      <w:r>
        <w:rPr>
          <w:rFonts w:ascii="Arial" w:hAnsi="Arial" w:cs="Arial"/>
          <w:sz w:val="22"/>
        </w:rPr>
        <w:t>立项部门、投资规模、环境影响程度、环境敏感性等因素，环评文件由不同级别的生态环境部门审批。</w:t>
      </w:r>
    </w:p>
    <w:p w14:paraId="3B413B7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iCs/>
          <w:color w:val="000000" w:themeColor="text1"/>
          <w:sz w:val="22"/>
          <w14:textFill>
            <w14:solidFill>
              <w14:schemeClr w14:val="tx1"/>
            </w14:solidFill>
          </w14:textFill>
        </w:rPr>
        <w:t>公众参与和信息披露</w:t>
      </w:r>
      <w:r>
        <w:rPr>
          <w:rFonts w:ascii="Arial" w:hAnsi="Arial" w:cs="Arial"/>
          <w:bCs/>
          <w:iCs/>
          <w:color w:val="1F4E79" w:themeColor="accent5" w:themeShade="80"/>
          <w:sz w:val="22"/>
        </w:rPr>
        <w:t>：</w:t>
      </w:r>
      <w:r>
        <w:rPr>
          <w:rFonts w:ascii="Arial" w:hAnsi="Arial" w:cs="Arial"/>
          <w:sz w:val="22"/>
        </w:rPr>
        <w:t>环评文件准备期间，原则上建设单位（可通过环评单位）应按要求开展公众参与，一般可通过访谈、会议、问卷调查等方式进行。本项目不包括法规要求必须开展公众参与的报告书类项目。对于项目范围内需要编制报告表的项目，法律法规没有强制要求开展公众参与，但在实际操作中针对可能对周边敏感点产生影响（比如粪污处理设施产生恶臭）的报告表项目，地方生态环境部门一般会要求或建议建设单位开展公众参与活动。除此之外，所有建设项目都须按要求对环评文件及审批情况进行公开。</w:t>
      </w:r>
    </w:p>
    <w:p w14:paraId="509237D0">
      <w:pPr>
        <w:pStyle w:val="48"/>
        <w:widowControl w:val="0"/>
        <w:numPr>
          <w:ilvl w:val="0"/>
          <w:numId w:val="5"/>
        </w:numPr>
        <w:tabs>
          <w:tab w:val="left" w:pos="851"/>
          <w:tab w:val="left" w:pos="1134"/>
        </w:tabs>
        <w:adjustRightInd w:val="0"/>
        <w:snapToGrid w:val="0"/>
        <w:spacing w:before="120" w:after="120"/>
        <w:ind w:left="0" w:firstLine="0" w:firstLineChars="0"/>
        <w:jc w:val="both"/>
        <w:rPr>
          <w:rFonts w:ascii="Arial" w:hAnsi="Arial" w:cs="Arial"/>
          <w:sz w:val="22"/>
        </w:rPr>
      </w:pPr>
      <w:r>
        <w:rPr>
          <w:rFonts w:ascii="Arial" w:hAnsi="Arial" w:cs="Arial"/>
          <w:b/>
          <w:bCs/>
          <w:sz w:val="22"/>
        </w:rPr>
        <w:t>环保“三同时”</w:t>
      </w:r>
      <w:r>
        <w:rPr>
          <w:rFonts w:ascii="Arial" w:hAnsi="Arial" w:cs="Arial"/>
          <w:sz w:val="22"/>
        </w:rPr>
        <w:t>：建设项目需配套建设的环保设施，必须与主体工程同时设计、同时施工、同时投产使用。建设项目初步设计应编制环境保护篇章，落实防治环境污染和生态破坏的措施以及环保设施投资估算。建设单位应将环保设施建设纳入施工合同，保证其建设进度和资金预算，并在建设过程中同时实施环评文件及批复中提出的环境保护措施。环保设施经验收合格方可投入生产或使用；未经验收或者验收不合格的不得投入生产或者使用。</w:t>
      </w:r>
    </w:p>
    <w:p w14:paraId="147417A2">
      <w:pPr>
        <w:pStyle w:val="48"/>
        <w:widowControl w:val="0"/>
        <w:numPr>
          <w:ilvl w:val="0"/>
          <w:numId w:val="5"/>
        </w:numPr>
        <w:tabs>
          <w:tab w:val="left" w:pos="851"/>
          <w:tab w:val="left" w:pos="1134"/>
        </w:tabs>
        <w:adjustRightInd w:val="0"/>
        <w:snapToGrid w:val="0"/>
        <w:spacing w:before="120" w:after="120"/>
        <w:ind w:left="0" w:firstLine="0" w:firstLineChars="0"/>
        <w:jc w:val="both"/>
        <w:rPr>
          <w:rFonts w:ascii="Arial" w:hAnsi="Arial" w:cs="Arial"/>
          <w:color w:val="000000" w:themeColor="text1"/>
          <w:sz w:val="22"/>
          <w14:textFill>
            <w14:solidFill>
              <w14:schemeClr w14:val="tx1"/>
            </w14:solidFill>
          </w14:textFill>
        </w:rPr>
      </w:pPr>
      <w:r>
        <w:rPr>
          <w:rFonts w:ascii="Arial" w:hAnsi="Arial" w:cs="Arial"/>
          <w:b/>
          <w:bCs/>
          <w:color w:val="000000" w:themeColor="text1"/>
          <w:sz w:val="22"/>
          <w:lang w:val="en-GB"/>
          <w14:textFill>
            <w14:solidFill>
              <w14:schemeClr w14:val="tx1"/>
            </w14:solidFill>
          </w14:textFill>
        </w:rPr>
        <w:t>施工期环境管理</w:t>
      </w:r>
      <w:r>
        <w:rPr>
          <w:rFonts w:ascii="Arial" w:hAnsi="Arial" w:cs="Arial"/>
          <w:sz w:val="22"/>
          <w:lang w:val="en-GB"/>
        </w:rPr>
        <w:t>：</w:t>
      </w:r>
      <w:r>
        <w:rPr>
          <w:rFonts w:ascii="Arial" w:hAnsi="Arial" w:cs="Arial"/>
          <w:color w:val="000000" w:themeColor="text1"/>
          <w:sz w:val="22"/>
          <w14:textFill>
            <w14:solidFill>
              <w14:schemeClr w14:val="tx1"/>
            </w14:solidFill>
          </w14:textFill>
        </w:rPr>
        <w:t>建设项目施工单位负责施工期间环保措施的实施。国家《标准施工招标文件》要求招标文件中包括环境保护篇章，将环评文件中的环保措施纳入其中。标准施工合同均设有环境保护专章，明确提出落实环保措施等环境保护要求。施工合同签订后，施工单位需要制定具体的施工组织方案，其中必须包括环境保护方案，建设单位和监理公司在开工前对施工组织设计方案进行审查。施工过程中，建设单位和监理单位对施工单位的环境保护工作情况进行监督。</w:t>
      </w:r>
    </w:p>
    <w:p w14:paraId="44BB5900">
      <w:pPr>
        <w:pStyle w:val="48"/>
        <w:widowControl w:val="0"/>
        <w:numPr>
          <w:ilvl w:val="0"/>
          <w:numId w:val="5"/>
        </w:numPr>
        <w:tabs>
          <w:tab w:val="left" w:pos="851"/>
          <w:tab w:val="left" w:pos="1134"/>
        </w:tabs>
        <w:adjustRightInd w:val="0"/>
        <w:snapToGrid w:val="0"/>
        <w:spacing w:before="120" w:after="120"/>
        <w:ind w:left="0" w:firstLine="0" w:firstLineChars="0"/>
        <w:jc w:val="both"/>
        <w:rPr>
          <w:rFonts w:ascii="Arial" w:hAnsi="Arial" w:cs="Arial"/>
          <w:sz w:val="22"/>
        </w:rPr>
      </w:pPr>
      <w:r>
        <w:rPr>
          <w:rFonts w:ascii="Arial" w:hAnsi="Arial" w:cs="Arial"/>
          <w:b/>
          <w:bCs/>
          <w:sz w:val="22"/>
        </w:rPr>
        <w:t>环保验收</w:t>
      </w:r>
      <w:r>
        <w:rPr>
          <w:rFonts w:ascii="Arial" w:hAnsi="Arial" w:cs="Arial"/>
          <w:sz w:val="22"/>
        </w:rPr>
        <w:t>：项目完工时，建设单位（或委托有能力的技术机构）开展项目竣工环保验收，编制验收监测或调查报告，聘请专家提出验收意见。建设单位应在验收报告编制完成后5个工作日内公开验收报告，公示期限不得少于20个工作日。验收报告公示期满后5个工作日内，建设单位应登录全国建设项目竣工环境保护验收信息平台，填报建设项目基本情况、环保验收意见等信息，生态环境部门对上述信息予以公开，并采取“双随机、一公开”的方式进行监督性检查。</w:t>
      </w:r>
    </w:p>
    <w:p w14:paraId="625222D9">
      <w:pPr>
        <w:pStyle w:val="48"/>
        <w:numPr>
          <w:ilvl w:val="0"/>
          <w:numId w:val="5"/>
        </w:numPr>
        <w:adjustRightInd w:val="0"/>
        <w:snapToGrid w:val="0"/>
        <w:spacing w:before="120" w:after="120"/>
        <w:ind w:left="0" w:firstLine="0" w:firstLineChars="0"/>
        <w:jc w:val="both"/>
        <w:rPr>
          <w:rFonts w:ascii="Arial" w:hAnsi="Arial" w:cs="Arial"/>
          <w:sz w:val="22"/>
          <w:lang w:val="en-GB"/>
        </w:rPr>
      </w:pPr>
      <w:r>
        <w:rPr>
          <w:rFonts w:ascii="Arial" w:hAnsi="Arial" w:cs="Arial"/>
          <w:color w:val="000000" w:themeColor="text1"/>
          <w:sz w:val="22"/>
          <w:lang w:val="en-GB"/>
          <w14:textFill>
            <w14:solidFill>
              <w14:schemeClr w14:val="tx1"/>
            </w14:solidFill>
          </w14:textFill>
        </w:rPr>
        <w:tab/>
      </w:r>
      <w:r>
        <w:rPr>
          <w:rFonts w:ascii="Arial" w:hAnsi="Arial" w:cs="Arial"/>
          <w:b/>
          <w:iCs/>
          <w:color w:val="000000" w:themeColor="text1"/>
          <w:sz w:val="22"/>
          <w14:textFill>
            <w14:solidFill>
              <w14:schemeClr w14:val="tx1"/>
            </w14:solidFill>
          </w14:textFill>
        </w:rPr>
        <w:t>事中事后监管：</w:t>
      </w:r>
      <w:r>
        <w:rPr>
          <w:rFonts w:ascii="Arial" w:hAnsi="Arial" w:cs="Arial"/>
          <w:color w:val="000000" w:themeColor="text1"/>
          <w:sz w:val="22"/>
          <w:lang w:val="en-GB"/>
          <w14:textFill>
            <w14:solidFill>
              <w14:schemeClr w14:val="tx1"/>
            </w14:solidFill>
          </w14:textFill>
        </w:rPr>
        <w:t>事中监管是检查生态环境部门环评审批行为和程序的合法性以及审批结果的合规性；检查技术评估机构的评估能力、评估意见的合理性；检查环评单位环评文件的真实、正确、科学、可信情况；检查建设单位依法履行环评程序、开展公众参与情况。</w:t>
      </w:r>
      <w:r>
        <w:rPr>
          <w:rFonts w:ascii="Arial" w:hAnsi="Arial" w:cs="Arial"/>
          <w:sz w:val="22"/>
          <w:lang w:val="en-GB"/>
        </w:rPr>
        <w:t>事后监管是检查生态环境部门对建设项目环保“三同时”监督检查情况；检查建设单位落实环评文件和批复要求以及在项目设计、施工、验收、投入生产或使用中落实环保“三同时”及各项环境管理规定的情况。</w:t>
      </w:r>
    </w:p>
    <w:p w14:paraId="040FD479">
      <w:pPr>
        <w:pStyle w:val="48"/>
        <w:widowControl w:val="0"/>
        <w:numPr>
          <w:ilvl w:val="0"/>
          <w:numId w:val="5"/>
        </w:numPr>
        <w:adjustRightInd w:val="0"/>
        <w:snapToGrid w:val="0"/>
        <w:spacing w:before="120" w:after="120"/>
        <w:ind w:left="0" w:firstLine="0" w:firstLineChars="0"/>
        <w:jc w:val="both"/>
        <w:rPr>
          <w:rFonts w:ascii="Arial" w:hAnsi="Arial" w:cs="Arial"/>
          <w:color w:val="000000" w:themeColor="text1"/>
          <w:sz w:val="22"/>
          <w14:textFill>
            <w14:solidFill>
              <w14:schemeClr w14:val="tx1"/>
            </w14:solidFill>
          </w14:textFill>
        </w:rPr>
      </w:pPr>
      <w:r>
        <w:rPr>
          <w:rFonts w:ascii="Arial" w:hAnsi="Arial" w:cs="Arial"/>
          <w:color w:val="000000" w:themeColor="text1"/>
          <w:sz w:val="22"/>
          <w14:textFill>
            <w14:solidFill>
              <w14:schemeClr w14:val="tx1"/>
            </w14:solidFill>
          </w14:textFill>
        </w:rPr>
        <w:tab/>
      </w:r>
      <w:r>
        <w:rPr>
          <w:rFonts w:ascii="Arial" w:hAnsi="Arial" w:cs="Arial"/>
          <w:b/>
          <w:iCs/>
          <w:color w:val="000000" w:themeColor="text1"/>
          <w:sz w:val="22"/>
          <w14:textFill>
            <w14:solidFill>
              <w14:schemeClr w14:val="tx1"/>
            </w14:solidFill>
          </w14:textFill>
        </w:rPr>
        <w:t>排污许可分类管理</w:t>
      </w:r>
      <w:r>
        <w:rPr>
          <w:rFonts w:ascii="Arial" w:hAnsi="Arial" w:cs="Arial"/>
          <w:bCs/>
          <w:iCs/>
          <w:color w:val="000000" w:themeColor="text1"/>
          <w:sz w:val="22"/>
          <w14:textFill>
            <w14:solidFill>
              <w14:schemeClr w14:val="tx1"/>
            </w14:solidFill>
          </w14:textFill>
        </w:rPr>
        <w:t>：</w:t>
      </w:r>
      <w:r>
        <w:rPr>
          <w:rFonts w:ascii="Arial" w:hAnsi="Arial" w:cs="Arial"/>
          <w:color w:val="000000" w:themeColor="text1"/>
          <w:sz w:val="22"/>
          <w14:textFill>
            <w14:solidFill>
              <w14:schemeClr w14:val="tx1"/>
            </w14:solidFill>
          </w14:textFill>
        </w:rPr>
        <w:t>根据污染物产生量、排放量、对环境的影响程度等因素，对排污单位实行排污许可分类管理：</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1</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 xml:space="preserve"> 污染物产生量、排放量或者对环境的影响程度较大的排污单位，实行排污许可重点管理；</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2</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 xml:space="preserve"> 污染物产生量、排放量和对环境的影响程度都较小的排污单位，实行排污许可简化管理；</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3</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 xml:space="preserve"> 污染物产生量、排放量和对环境的影响程度很小的排污单位，实行排污登记管理（不需要申请取得排污许可证，但应在全国排污许可证管理信息平台上备案等）。按要求取得排污许可证的排污单位应按排污许可证规定排放污染物，开展自行监测，建立环境管理台账记录，并向审批部门提交排污许可证执行报告。实行排污许可重点管理的排污单位，还应依法安装、使用、维护污染物排放自动监测设备，并与生态环境部门的监控设备联网。</w:t>
      </w:r>
      <w:r>
        <w:rPr>
          <w:rFonts w:ascii="Arial" w:hAnsi="Arial" w:cs="Arial"/>
          <w:sz w:val="22"/>
        </w:rPr>
        <w:t>本项目下乡镇生活污水处理、生活垃圾转运、粪污资源化利用（有机肥加工）等活动的排污许可分类情况如下</w:t>
      </w:r>
      <w:r>
        <w:rPr>
          <w:rFonts w:ascii="Arial" w:hAnsi="Arial" w:cs="Arial"/>
          <w:b/>
          <w:bCs/>
          <w:sz w:val="22"/>
        </w:rPr>
        <w:t>表4</w:t>
      </w:r>
      <w:r>
        <w:rPr>
          <w:rFonts w:hint="eastAsia" w:ascii="Arial" w:hAnsi="Arial" w:cs="Arial"/>
          <w:b/>
          <w:bCs/>
          <w:sz w:val="22"/>
          <w:lang w:eastAsia="zh-CN"/>
        </w:rPr>
        <w:t>—</w:t>
      </w:r>
      <w:r>
        <w:rPr>
          <w:rFonts w:ascii="Arial" w:hAnsi="Arial" w:cs="Arial"/>
          <w:b/>
          <w:bCs/>
          <w:sz w:val="22"/>
        </w:rPr>
        <w:t>3</w:t>
      </w:r>
      <w:r>
        <w:rPr>
          <w:rFonts w:ascii="Arial" w:hAnsi="Arial" w:cs="Arial"/>
          <w:sz w:val="22"/>
        </w:rPr>
        <w:t>所示，其他项目活动环境影响较小，按国内规定没有纳入排污许可管理。不过，</w:t>
      </w:r>
      <w:r>
        <w:rPr>
          <w:rFonts w:ascii="Arial" w:hAnsi="Arial" w:cs="Arial"/>
          <w:sz w:val="22"/>
          <w:lang w:val="en-GB"/>
        </w:rPr>
        <w:t>本报告仅针对总体情况做出初步判断，</w:t>
      </w:r>
      <w:r>
        <w:rPr>
          <w:rFonts w:ascii="Arial" w:hAnsi="Arial" w:cs="Arial"/>
          <w:sz w:val="22"/>
        </w:rPr>
        <w:t>每个项目活动的具体排污许可分类需在实施过程中由地方生态环境部门根据实际情况确定。</w:t>
      </w:r>
    </w:p>
    <w:p w14:paraId="6E56E02C">
      <w:pPr>
        <w:pStyle w:val="66"/>
        <w:adjustRightInd w:val="0"/>
        <w:snapToGrid w:val="0"/>
        <w:spacing w:before="120" w:after="120"/>
        <w:jc w:val="center"/>
        <w:rPr>
          <w:rFonts w:ascii="Arial" w:hAnsi="Arial" w:eastAsia="宋体" w:cs="Arial"/>
          <w:b/>
          <w:bCs/>
          <w:color w:val="1F4E79" w:themeColor="accent5" w:themeShade="80"/>
          <w:lang w:eastAsia="zh-CN"/>
        </w:rPr>
      </w:pPr>
      <w:r>
        <w:rPr>
          <w:rFonts w:ascii="Arial" w:hAnsi="Arial" w:eastAsia="宋体" w:cs="Arial"/>
          <w:b/>
          <w:bCs/>
          <w:color w:val="1F4E79" w:themeColor="accent5" w:themeShade="80"/>
          <w:lang w:eastAsia="zh-CN"/>
        </w:rPr>
        <w:t>表4</w:t>
      </w:r>
      <w:r>
        <w:rPr>
          <w:rFonts w:hint="eastAsia" w:ascii="Arial" w:hAnsi="Arial" w:eastAsia="宋体" w:cs="Arial"/>
          <w:b/>
          <w:bCs/>
          <w:color w:val="1F4E79" w:themeColor="accent5" w:themeShade="80"/>
          <w:lang w:eastAsia="zh-CN"/>
        </w:rPr>
        <w:t>—</w:t>
      </w:r>
      <w:r>
        <w:rPr>
          <w:rFonts w:ascii="Arial" w:hAnsi="Arial" w:eastAsia="宋体" w:cs="Arial"/>
          <w:b/>
          <w:bCs/>
          <w:color w:val="1F4E79" w:themeColor="accent5" w:themeShade="80"/>
          <w:lang w:eastAsia="zh-CN"/>
        </w:rPr>
        <w:t>3：本项目主要活动的排污许可分类管理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89"/>
        <w:gridCol w:w="1285"/>
        <w:gridCol w:w="2002"/>
        <w:gridCol w:w="3424"/>
        <w:gridCol w:w="1988"/>
      </w:tblGrid>
      <w:tr w14:paraId="48A3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11" w:type="pct"/>
            <w:vMerge w:val="restart"/>
            <w:shd w:val="clear" w:color="auto" w:fill="auto"/>
          </w:tcPr>
          <w:p w14:paraId="15E2FD5C">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典型项目活动</w:t>
            </w:r>
          </w:p>
        </w:tc>
        <w:tc>
          <w:tcPr>
            <w:tcW w:w="663" w:type="pct"/>
            <w:vMerge w:val="restart"/>
            <w:shd w:val="clear" w:color="auto" w:fill="auto"/>
          </w:tcPr>
          <w:p w14:paraId="401E7230">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项目类别</w:t>
            </w:r>
          </w:p>
        </w:tc>
        <w:tc>
          <w:tcPr>
            <w:tcW w:w="3826" w:type="pct"/>
            <w:gridSpan w:val="3"/>
            <w:shd w:val="clear" w:color="auto" w:fill="auto"/>
          </w:tcPr>
          <w:p w14:paraId="6B0F6504">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排污许可类别</w:t>
            </w:r>
          </w:p>
        </w:tc>
      </w:tr>
      <w:tr w14:paraId="1202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511" w:type="pct"/>
            <w:vMerge w:val="continue"/>
            <w:shd w:val="clear" w:color="auto" w:fill="auto"/>
          </w:tcPr>
          <w:p w14:paraId="37D64A6C">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663" w:type="pct"/>
            <w:vMerge w:val="continue"/>
            <w:shd w:val="clear" w:color="auto" w:fill="auto"/>
          </w:tcPr>
          <w:p w14:paraId="32F1E1DC">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1033" w:type="pct"/>
            <w:shd w:val="clear" w:color="auto" w:fill="auto"/>
          </w:tcPr>
          <w:p w14:paraId="0472797C">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重点管理</w:t>
            </w:r>
          </w:p>
        </w:tc>
        <w:tc>
          <w:tcPr>
            <w:tcW w:w="1767" w:type="pct"/>
            <w:shd w:val="clear" w:color="auto" w:fill="auto"/>
          </w:tcPr>
          <w:p w14:paraId="36AB453E">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简化管理</w:t>
            </w:r>
          </w:p>
        </w:tc>
        <w:tc>
          <w:tcPr>
            <w:tcW w:w="1026" w:type="pct"/>
            <w:shd w:val="clear" w:color="auto" w:fill="auto"/>
          </w:tcPr>
          <w:p w14:paraId="638C2207">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登记管理</w:t>
            </w:r>
          </w:p>
        </w:tc>
      </w:tr>
      <w:tr w14:paraId="1EB1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00BC641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畜禽粪污生产有机肥</w:t>
            </w:r>
          </w:p>
        </w:tc>
        <w:tc>
          <w:tcPr>
            <w:tcW w:w="663" w:type="pct"/>
            <w:shd w:val="clear" w:color="auto" w:fill="auto"/>
          </w:tcPr>
          <w:p w14:paraId="56591A1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肥料制造</w:t>
            </w:r>
          </w:p>
        </w:tc>
        <w:tc>
          <w:tcPr>
            <w:tcW w:w="1033" w:type="pct"/>
            <w:shd w:val="clear" w:color="auto" w:fill="auto"/>
          </w:tcPr>
          <w:p w14:paraId="334B3D6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氮肥制造，磷肥制造，复混肥料制造，以上均不含单纯混合或者分装的</w:t>
            </w:r>
          </w:p>
        </w:tc>
        <w:tc>
          <w:tcPr>
            <w:tcW w:w="1767" w:type="pct"/>
            <w:shd w:val="clear" w:color="auto" w:fill="auto"/>
          </w:tcPr>
          <w:p w14:paraId="688045B4">
            <w:pPr>
              <w:adjustRightInd w:val="0"/>
              <w:snapToGrid w:val="0"/>
              <w:rPr>
                <w:rFonts w:hint="eastAsia" w:ascii="Arial" w:hAnsi="Arial" w:eastAsia="宋体" w:cs="Arial"/>
                <w:color w:val="000000" w:themeColor="text1"/>
                <w:sz w:val="20"/>
                <w:szCs w:val="20"/>
                <w:lang w:eastAsia="zh-CN"/>
                <w14:textFill>
                  <w14:solidFill>
                    <w14:schemeClr w14:val="tx1"/>
                  </w14:solidFill>
                </w14:textFill>
              </w:rPr>
            </w:pPr>
            <w:r>
              <w:rPr>
                <w:rFonts w:ascii="Arial" w:hAnsi="Arial" w:cs="Arial"/>
                <w:color w:val="000000" w:themeColor="text1"/>
                <w:sz w:val="20"/>
                <w:szCs w:val="20"/>
                <w14:textFill>
                  <w14:solidFill>
                    <w14:schemeClr w14:val="tx1"/>
                  </w14:solidFill>
                </w14:textFill>
              </w:rPr>
              <w:t>钾肥制造，有机肥料及微生物肥料制造，其他肥料制造，以上均不含单纯混合或者分装的；氮肥制造</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单纯混合或者分装的</w:t>
            </w:r>
            <w:r>
              <w:rPr>
                <w:rFonts w:hint="eastAsia" w:ascii="Arial" w:hAnsi="Arial" w:cs="Arial"/>
                <w:color w:val="000000" w:themeColor="text1"/>
                <w:sz w:val="20"/>
                <w:szCs w:val="20"/>
                <w:lang w:eastAsia="zh-CN"/>
                <w14:textFill>
                  <w14:solidFill>
                    <w14:schemeClr w14:val="tx1"/>
                  </w14:solidFill>
                </w14:textFill>
              </w:rPr>
              <w:t>）</w:t>
            </w:r>
          </w:p>
        </w:tc>
        <w:tc>
          <w:tcPr>
            <w:tcW w:w="1026" w:type="pct"/>
            <w:shd w:val="clear" w:color="auto" w:fill="auto"/>
          </w:tcPr>
          <w:p w14:paraId="1BFEF2B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r>
      <w:tr w14:paraId="7598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1190231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畜禽粪污生产沼气</w:t>
            </w:r>
          </w:p>
        </w:tc>
        <w:tc>
          <w:tcPr>
            <w:tcW w:w="663" w:type="pct"/>
            <w:shd w:val="clear" w:color="auto" w:fill="auto"/>
          </w:tcPr>
          <w:p w14:paraId="619F3FE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生物质燃气生产和供应业</w:t>
            </w:r>
          </w:p>
        </w:tc>
        <w:tc>
          <w:tcPr>
            <w:tcW w:w="1033" w:type="pct"/>
            <w:shd w:val="clear" w:color="auto" w:fill="auto"/>
          </w:tcPr>
          <w:p w14:paraId="3562BE1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涉及通用工序重点管理的</w:t>
            </w:r>
          </w:p>
        </w:tc>
        <w:tc>
          <w:tcPr>
            <w:tcW w:w="1767" w:type="pct"/>
            <w:shd w:val="clear" w:color="auto" w:fill="auto"/>
          </w:tcPr>
          <w:p w14:paraId="2823049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涉及通用工序简化管理的</w:t>
            </w:r>
          </w:p>
        </w:tc>
        <w:tc>
          <w:tcPr>
            <w:tcW w:w="1026" w:type="pct"/>
            <w:shd w:val="clear" w:color="auto" w:fill="auto"/>
          </w:tcPr>
          <w:p w14:paraId="62731FD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r>
      <w:tr w14:paraId="0657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7576548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秸秆综合利用</w:t>
            </w:r>
          </w:p>
        </w:tc>
        <w:tc>
          <w:tcPr>
            <w:tcW w:w="663" w:type="pct"/>
            <w:shd w:val="clear" w:color="auto" w:fill="auto"/>
          </w:tcPr>
          <w:p w14:paraId="5794F53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生物质燃料加工</w:t>
            </w:r>
          </w:p>
        </w:tc>
        <w:tc>
          <w:tcPr>
            <w:tcW w:w="1033" w:type="pct"/>
            <w:shd w:val="clear" w:color="auto" w:fill="auto"/>
          </w:tcPr>
          <w:p w14:paraId="0891024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涉及通用工序重点管理的</w:t>
            </w:r>
          </w:p>
        </w:tc>
        <w:tc>
          <w:tcPr>
            <w:tcW w:w="1767" w:type="pct"/>
            <w:shd w:val="clear" w:color="auto" w:fill="auto"/>
          </w:tcPr>
          <w:p w14:paraId="3E11EEF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涉及通用工序简化管理的</w:t>
            </w:r>
          </w:p>
        </w:tc>
        <w:tc>
          <w:tcPr>
            <w:tcW w:w="1026" w:type="pct"/>
            <w:shd w:val="clear" w:color="auto" w:fill="auto"/>
          </w:tcPr>
          <w:p w14:paraId="5109F71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r>
      <w:tr w14:paraId="59B8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78F281E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农村生活污水处理</w:t>
            </w:r>
          </w:p>
        </w:tc>
        <w:tc>
          <w:tcPr>
            <w:tcW w:w="663" w:type="pct"/>
            <w:shd w:val="clear" w:color="auto" w:fill="auto"/>
          </w:tcPr>
          <w:p w14:paraId="0A6F87E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污水处理及再生利用</w:t>
            </w:r>
          </w:p>
        </w:tc>
        <w:tc>
          <w:tcPr>
            <w:tcW w:w="1033" w:type="pct"/>
            <w:shd w:val="clear" w:color="auto" w:fill="auto"/>
          </w:tcPr>
          <w:p w14:paraId="73BCF63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工业废水集中处理场所，日处理能力2万吨及以上的城乡污水集中处理场所</w:t>
            </w:r>
          </w:p>
        </w:tc>
        <w:tc>
          <w:tcPr>
            <w:tcW w:w="1767" w:type="pct"/>
            <w:shd w:val="clear" w:color="auto" w:fill="auto"/>
          </w:tcPr>
          <w:p w14:paraId="333D90C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日处理能力500吨及以上2万吨以下的城乡污水集中处理场所</w:t>
            </w:r>
          </w:p>
        </w:tc>
        <w:tc>
          <w:tcPr>
            <w:tcW w:w="1026" w:type="pct"/>
            <w:shd w:val="clear" w:color="auto" w:fill="auto"/>
          </w:tcPr>
          <w:p w14:paraId="5BE7767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日处理能力500吨以下的城乡污水集中处理场所</w:t>
            </w:r>
          </w:p>
        </w:tc>
      </w:tr>
      <w:tr w14:paraId="6889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10CAB0A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农村生活垃圾转运</w:t>
            </w:r>
          </w:p>
        </w:tc>
        <w:tc>
          <w:tcPr>
            <w:tcW w:w="663" w:type="pct"/>
            <w:shd w:val="clear" w:color="auto" w:fill="auto"/>
          </w:tcPr>
          <w:p w14:paraId="4AE6CE8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环境卫生管理</w:t>
            </w:r>
          </w:p>
        </w:tc>
        <w:tc>
          <w:tcPr>
            <w:tcW w:w="1033" w:type="pct"/>
            <w:shd w:val="clear" w:color="auto" w:fill="auto"/>
          </w:tcPr>
          <w:p w14:paraId="138DFA2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生活垃圾</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含餐厨废弃物</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、生活污水处理污泥集中焚烧、填埋</w:t>
            </w:r>
          </w:p>
        </w:tc>
        <w:tc>
          <w:tcPr>
            <w:tcW w:w="1767" w:type="pct"/>
            <w:shd w:val="clear" w:color="auto" w:fill="auto"/>
          </w:tcPr>
          <w:p w14:paraId="48C3176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生活垃圾</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含餐厨废弃物</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、生活污水处理污泥集中处理</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除焚烧、填埋以外的</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，日处理能力50吨及以上的城镇粪便集中处理，日转运能力150吨及以上的垃圾转运站</w:t>
            </w:r>
          </w:p>
        </w:tc>
        <w:tc>
          <w:tcPr>
            <w:tcW w:w="1026" w:type="pct"/>
            <w:shd w:val="clear" w:color="auto" w:fill="auto"/>
          </w:tcPr>
          <w:p w14:paraId="7F65340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日处理能力50吨以下的城镇粪便集中处理，日转运能力150吨以下的垃圾转运站</w:t>
            </w:r>
          </w:p>
        </w:tc>
      </w:tr>
      <w:tr w14:paraId="2AD5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511" w:type="pct"/>
            <w:shd w:val="clear" w:color="auto" w:fill="auto"/>
          </w:tcPr>
          <w:p w14:paraId="761D9E7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水产养殖尾水治理</w:t>
            </w:r>
          </w:p>
        </w:tc>
        <w:tc>
          <w:tcPr>
            <w:tcW w:w="663" w:type="pct"/>
            <w:shd w:val="clear" w:color="auto" w:fill="auto"/>
          </w:tcPr>
          <w:p w14:paraId="6955B12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其他水的处理、利用与 分配</w:t>
            </w:r>
          </w:p>
        </w:tc>
        <w:tc>
          <w:tcPr>
            <w:tcW w:w="1033" w:type="pct"/>
            <w:shd w:val="clear" w:color="auto" w:fill="auto"/>
          </w:tcPr>
          <w:p w14:paraId="1779B7F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涉及通用工序重点管理的</w:t>
            </w:r>
          </w:p>
        </w:tc>
        <w:tc>
          <w:tcPr>
            <w:tcW w:w="1767" w:type="pct"/>
            <w:shd w:val="clear" w:color="auto" w:fill="auto"/>
          </w:tcPr>
          <w:p w14:paraId="3393BC0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涉及通用工序简化管理的</w:t>
            </w:r>
          </w:p>
        </w:tc>
        <w:tc>
          <w:tcPr>
            <w:tcW w:w="1026" w:type="pct"/>
            <w:shd w:val="clear" w:color="auto" w:fill="auto"/>
          </w:tcPr>
          <w:p w14:paraId="45A01F1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其他</w:t>
            </w:r>
          </w:p>
        </w:tc>
      </w:tr>
    </w:tbl>
    <w:p w14:paraId="6629C385">
      <w:pPr>
        <w:pStyle w:val="48"/>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b/>
          <w:bCs/>
          <w:color w:val="000000" w:themeColor="text1"/>
          <w:sz w:val="22"/>
          <w:lang w:val="en-GB"/>
          <w14:textFill>
            <w14:solidFill>
              <w14:schemeClr w14:val="tx1"/>
            </w14:solidFill>
          </w14:textFill>
        </w:rPr>
        <w:t>环境监测</w:t>
      </w:r>
      <w:r>
        <w:rPr>
          <w:rFonts w:ascii="Arial" w:hAnsi="Arial" w:cs="Arial"/>
          <w:b/>
          <w:iCs/>
          <w:color w:val="000000" w:themeColor="text1"/>
          <w:sz w:val="22"/>
          <w14:textFill>
            <w14:solidFill>
              <w14:schemeClr w14:val="tx1"/>
            </w14:solidFill>
          </w14:textFill>
        </w:rPr>
        <w:t>：</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环境质量监测：深入开展空气、水、土壤、海洋、声、生态等监测工作，建立统一的监测网络和评估制度；</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污染源监测：排污许可发证单位自行监测并公开信息</w:t>
      </w:r>
      <w:r>
        <w:rPr>
          <w:rFonts w:ascii="Arial" w:hAnsi="Arial" w:cs="Arial"/>
          <w:color w:val="000000" w:themeColor="text1"/>
          <w:sz w:val="22"/>
          <w:lang w:val="en-GB"/>
          <w14:textFill>
            <w14:solidFill>
              <w14:schemeClr w14:val="tx1"/>
            </w14:solidFill>
          </w14:textFill>
        </w:rPr>
        <w:t>，生态环境部门按照“双随机”模式联合开展执法监测</w:t>
      </w:r>
      <w:r>
        <w:rPr>
          <w:rFonts w:ascii="Arial" w:hAnsi="Arial" w:cs="Arial"/>
          <w:sz w:val="22"/>
        </w:rPr>
        <w:t>；</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环境应急监测：设立区域性应急监测基地，形成跨省区应急监测支援体系；</w:t>
      </w:r>
      <w:r>
        <w:rPr>
          <w:rFonts w:hint="eastAsia" w:ascii="Arial" w:hAnsi="Arial" w:cs="Arial"/>
          <w:sz w:val="22"/>
          <w:lang w:val="en-GB" w:eastAsia="zh-CN"/>
        </w:rPr>
        <w:t>（</w:t>
      </w:r>
      <w:r>
        <w:rPr>
          <w:rFonts w:ascii="Arial" w:hAnsi="Arial" w:cs="Arial"/>
          <w:sz w:val="22"/>
          <w:lang w:val="en-GB"/>
        </w:rPr>
        <w:t>4</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其他环境监测活动：为环境状况调查和评价等环境管理活动提供监测数据</w:t>
      </w:r>
      <w:r>
        <w:rPr>
          <w:rFonts w:ascii="Arial" w:hAnsi="Arial" w:cs="Arial"/>
          <w:sz w:val="22"/>
          <w:lang w:val="en-GB"/>
        </w:rPr>
        <w:t>。</w:t>
      </w:r>
    </w:p>
    <w:p w14:paraId="6B3EBE8C">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 xml:space="preserve"> </w:t>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6120FD0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环评与事中事后监管系统的行业主管部门是各级生态环境部门。</w:t>
      </w:r>
      <w:r>
        <w:rPr>
          <w:rFonts w:hint="eastAsia" w:ascii="Arial" w:hAnsi="Arial" w:cs="Arial"/>
          <w:sz w:val="22"/>
          <w:lang w:eastAsia="zh-CN"/>
        </w:rPr>
        <w:t>生态环境部</w:t>
      </w:r>
      <w:r>
        <w:rPr>
          <w:rFonts w:ascii="Arial" w:hAnsi="Arial" w:cs="Arial"/>
          <w:bCs/>
          <w:sz w:val="22"/>
        </w:rPr>
        <w:t>“环境影响评价与排放管理司”</w:t>
      </w:r>
      <w:r>
        <w:rPr>
          <w:rFonts w:ascii="Arial" w:hAnsi="Arial" w:cs="Arial"/>
          <w:sz w:val="22"/>
        </w:rPr>
        <w:t>负责从国家层面总体把关项目环评及全过程环境管理。</w:t>
      </w:r>
    </w:p>
    <w:p w14:paraId="49975B8B">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省生态环境厅</w:t>
      </w:r>
      <w:r>
        <w:rPr>
          <w:rFonts w:ascii="Arial" w:hAnsi="Arial" w:cs="Arial"/>
          <w:sz w:val="22"/>
        </w:rPr>
        <w:t>均设有环境影响评价与排放管理处（4</w:t>
      </w:r>
      <w:r>
        <w:rPr>
          <w:rFonts w:hint="eastAsia" w:ascii="Arial" w:hAnsi="Arial" w:cs="Arial"/>
          <w:sz w:val="22"/>
          <w:lang w:eastAsia="zh-CN"/>
        </w:rPr>
        <w:t>—</w:t>
      </w:r>
      <w:r>
        <w:rPr>
          <w:rFonts w:ascii="Arial" w:hAnsi="Arial" w:cs="Arial"/>
          <w:sz w:val="22"/>
        </w:rPr>
        <w:t>5人），承担规划或政策环评审批、建设项目环评审批、排污许可协调管理、污染防控监管、拟定省级环境准入清单并组织实施等工作</w:t>
      </w:r>
      <w:r>
        <w:rPr>
          <w:rFonts w:ascii="Arial" w:hAnsi="Arial" w:cs="Arial"/>
          <w:sz w:val="22"/>
          <w:lang w:val="en-GB"/>
        </w:rPr>
        <w:t>。按湖南和湖北两省环评分级审批目录规定，</w:t>
      </w:r>
      <w:r>
        <w:rPr>
          <w:rFonts w:hint="eastAsia" w:ascii="Arial" w:hAnsi="Arial" w:cs="Arial"/>
          <w:sz w:val="22"/>
          <w:lang w:val="en-GB" w:eastAsia="zh-CN"/>
        </w:rPr>
        <w:t>省生态环境厅</w:t>
      </w:r>
      <w:r>
        <w:rPr>
          <w:rFonts w:ascii="Arial" w:hAnsi="Arial" w:cs="Arial"/>
          <w:sz w:val="22"/>
          <w:lang w:val="en-GB"/>
        </w:rPr>
        <w:t>负责审批省内大型项目及跨市（州）行政区域或跨流域的建设项目的环评文件，多为水利、水电、火电、风电、石化、交通、核与辐射等重点行业大型项目；同时承担规划、政策的环评审批以及排污许可综合协调管理等工作。省厅下设的评估中心（约20人），为省厅开展建设项目环评文件审批提供技术支持服务。省厅下设环境执法局（40人左右）负责对下级生态环境部门的事中事后监管进行监督和指导，协调省际环境污染纠纷，组织跨市/州重大环境问题的调查处理等。省生态环境厅设有监测处，承担生态环境监测网建设和管理工作；下设生态环境监测中心站，负责组织实施全省生态环境质量监测，为污染源监测提供技术支撑，承担环境执法监测任务，负责全省生态环境监测数据管理，为全省生态环境监测系统提供技术指导和培训等。</w:t>
      </w:r>
    </w:p>
    <w:p w14:paraId="4E9FBC3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市生态环境局</w:t>
      </w:r>
      <w:r>
        <w:rPr>
          <w:rFonts w:ascii="Arial" w:hAnsi="Arial" w:cs="Arial"/>
          <w:sz w:val="22"/>
        </w:rPr>
        <w:t>设有行政审批科（4</w:t>
      </w:r>
      <w:r>
        <w:rPr>
          <w:rFonts w:hint="eastAsia" w:ascii="Arial" w:hAnsi="Arial" w:cs="Arial"/>
          <w:sz w:val="22"/>
          <w:lang w:eastAsia="zh-CN"/>
        </w:rPr>
        <w:t>—</w:t>
      </w:r>
      <w:r>
        <w:rPr>
          <w:rFonts w:ascii="Arial" w:hAnsi="Arial" w:cs="Arial"/>
          <w:sz w:val="22"/>
        </w:rPr>
        <w:t>5人），负责省厅审批权限之外其他省级政府立项、核准、备案的项目，市州级政府立项、核准、备案的项目，县市区级政府立项、核准、备案且需编制报告书的项目，以及跨县市区行政区域的项目。市局设有环境监测科室（2</w:t>
      </w:r>
      <w:r>
        <w:rPr>
          <w:rFonts w:hint="eastAsia" w:ascii="Arial" w:hAnsi="Arial" w:cs="Arial"/>
          <w:sz w:val="22"/>
          <w:lang w:eastAsia="zh-CN"/>
        </w:rPr>
        <w:t>—</w:t>
      </w:r>
      <w:r>
        <w:rPr>
          <w:rFonts w:ascii="Arial" w:hAnsi="Arial" w:cs="Arial"/>
          <w:sz w:val="22"/>
        </w:rPr>
        <w:t>5人），负责规划生态环境质量监测站点设置，组织开展环境执法监测、污染源监督性监测、应急监测等工作；下设生态环境监测站（20人左右），实行垂直管理，负责开展全市环境监测与调查等工作。</w:t>
      </w:r>
    </w:p>
    <w:p w14:paraId="61043FD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县市区级生态环境局</w:t>
      </w:r>
      <w:r>
        <w:rPr>
          <w:rFonts w:ascii="Arial" w:hAnsi="Arial" w:cs="Arial"/>
          <w:sz w:val="22"/>
        </w:rPr>
        <w:t>为</w:t>
      </w:r>
      <w:r>
        <w:rPr>
          <w:rFonts w:hint="eastAsia" w:ascii="Arial" w:hAnsi="Arial" w:cs="Arial"/>
          <w:sz w:val="22"/>
          <w:lang w:eastAsia="zh-CN"/>
        </w:rPr>
        <w:t>市生态环境局</w:t>
      </w:r>
      <w:r>
        <w:rPr>
          <w:rFonts w:ascii="Arial" w:hAnsi="Arial" w:cs="Arial"/>
          <w:sz w:val="22"/>
        </w:rPr>
        <w:t>的分局，设有审批环评文件的相关股室（</w:t>
      </w:r>
      <w:r>
        <w:rPr>
          <w:rFonts w:hint="eastAsia" w:ascii="Arial" w:hAnsi="Arial" w:cs="Arial"/>
          <w:sz w:val="22"/>
          <w:lang w:eastAsia="zh-CN"/>
        </w:rPr>
        <w:t>1～5人</w:t>
      </w:r>
      <w:r>
        <w:rPr>
          <w:rFonts w:ascii="Arial" w:hAnsi="Arial" w:cs="Arial"/>
          <w:sz w:val="22"/>
        </w:rPr>
        <w:t>），主要</w:t>
      </w:r>
      <w:r>
        <w:rPr>
          <w:rFonts w:ascii="Arial" w:hAnsi="Arial" w:cs="Arial"/>
          <w:bCs/>
          <w:sz w:val="22"/>
        </w:rPr>
        <w:t>负责审批县</w:t>
      </w:r>
      <w:r>
        <w:rPr>
          <w:rFonts w:ascii="Arial" w:hAnsi="Arial" w:cs="Arial"/>
          <w:sz w:val="22"/>
        </w:rPr>
        <w:t>市区级政府立项、核准、备案且需编制环境影响报告表的建设项目，并开展排污许可或登记管理。比如湖南省澧县生态环境局的行政审批办（4人）近两年共审批了219个环境影响报告书或表、办理了301个环评登记备案，这些项目均包括畜禽养殖、农村生活污水处理等类别的活动。此外，县市区级生态环境局还下设</w:t>
      </w:r>
      <w:r>
        <w:rPr>
          <w:rFonts w:ascii="Arial" w:hAnsi="Arial" w:cs="Arial"/>
          <w:bCs/>
          <w:sz w:val="22"/>
        </w:rPr>
        <w:t>综合执法队伍（一般5</w:t>
      </w:r>
      <w:r>
        <w:rPr>
          <w:rFonts w:hint="eastAsia" w:ascii="Arial" w:hAnsi="Arial" w:cs="Arial"/>
          <w:bCs/>
          <w:sz w:val="22"/>
          <w:lang w:eastAsia="zh-CN"/>
        </w:rPr>
        <w:t>—</w:t>
      </w:r>
      <w:r>
        <w:rPr>
          <w:rFonts w:ascii="Arial" w:hAnsi="Arial" w:cs="Arial"/>
          <w:bCs/>
          <w:sz w:val="22"/>
        </w:rPr>
        <w:t>42人），一般采取随机抽查、专项检查、突击检查等方式，利用无人机、第三方服务、二维地图、信访等手段，对建设项目施工污染防治、环保“三同时”、环保验收、排污许可等情况进行监管。比如湖南省慈利县生态环境局的综合执法大队自2021年以来对全县18家规模较大的畜禽养殖场、3家污水处理厂等企业的环境管理工作开展了抽查，并检查了7家企业的排污许可制度执行情况、15家企业的环评及“三同时”制度执行情况。部分</w:t>
      </w:r>
      <w:r>
        <w:rPr>
          <w:rFonts w:ascii="Arial" w:hAnsi="Arial" w:cs="Arial"/>
          <w:sz w:val="22"/>
        </w:rPr>
        <w:t>县市区级生态环境局也设有环境监测站，负责辖区内的环境监测并协助市级环境监测机构开展工作。</w:t>
      </w:r>
      <w:r>
        <w:rPr>
          <w:rFonts w:ascii="Arial" w:hAnsi="Arial" w:cs="Arial"/>
          <w:bCs/>
          <w:sz w:val="22"/>
        </w:rPr>
        <w:t>此外，各</w:t>
      </w:r>
      <w:r>
        <w:rPr>
          <w:rFonts w:ascii="Arial" w:hAnsi="Arial" w:cs="Arial"/>
          <w:sz w:val="22"/>
        </w:rPr>
        <w:t>乡镇政府也设有1</w:t>
      </w:r>
      <w:r>
        <w:rPr>
          <w:rFonts w:hint="eastAsia" w:ascii="Arial" w:hAnsi="Arial" w:cs="Arial"/>
          <w:sz w:val="22"/>
          <w:lang w:eastAsia="zh-CN"/>
        </w:rPr>
        <w:t>—</w:t>
      </w:r>
      <w:r>
        <w:rPr>
          <w:rFonts w:ascii="Arial" w:hAnsi="Arial" w:cs="Arial"/>
          <w:sz w:val="22"/>
        </w:rPr>
        <w:t>2名环境专职干部，负责对接上级生态环境部门的管理工作。</w:t>
      </w:r>
    </w:p>
    <w:p w14:paraId="7B127F0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各级生态环境部门还开通多种渠道，如“环境影响评价信息公示平台</w:t>
      </w:r>
      <w:r>
        <w:rPr>
          <w:rFonts w:hint="eastAsia" w:ascii="Arial" w:hAnsi="Arial" w:cs="Arial"/>
          <w:sz w:val="22"/>
          <w:lang w:eastAsia="zh-CN"/>
        </w:rPr>
        <w:t>”“</w:t>
      </w:r>
      <w:r>
        <w:rPr>
          <w:rFonts w:ascii="Arial" w:hAnsi="Arial" w:cs="Arial"/>
          <w:sz w:val="22"/>
        </w:rPr>
        <w:t>全国排污许可证管理信息平台</w:t>
      </w:r>
      <w:r>
        <w:rPr>
          <w:rFonts w:hint="eastAsia" w:ascii="Arial" w:hAnsi="Arial" w:cs="Arial"/>
          <w:sz w:val="22"/>
          <w:lang w:eastAsia="zh-CN"/>
        </w:rPr>
        <w:t>”“</w:t>
      </w:r>
      <w:r>
        <w:rPr>
          <w:rFonts w:ascii="Arial" w:hAnsi="Arial" w:cs="Arial"/>
          <w:sz w:val="22"/>
        </w:rPr>
        <w:t>污染源监控中心”等，为公众提供环评、污染物排放等信息查询；设置了“全国生态环境投诉举报平台”、部长信箱、12369环保投诉热线、市长热线等方式，便于公众进行环境投诉举报、跟踪查询、发表意见。此外，两省还分别建立了“湖北省污染源监测信息与共享平台</w:t>
      </w:r>
      <w:r>
        <w:rPr>
          <w:rFonts w:hint="eastAsia" w:ascii="Arial" w:hAnsi="Arial" w:cs="Arial"/>
          <w:sz w:val="22"/>
          <w:lang w:eastAsia="zh-CN"/>
        </w:rPr>
        <w:t>”“</w:t>
      </w:r>
      <w:r>
        <w:rPr>
          <w:rFonts w:ascii="Arial" w:hAnsi="Arial" w:cs="Arial"/>
          <w:sz w:val="22"/>
        </w:rPr>
        <w:t>湖南环评与排污许可信息网”，不仅为排污企业申报排污许可、提交监测资料提供了方便的平台，还为公众获取各类生产活动的环评、环保验收、排污情况、公众参与等提供了渠道。</w:t>
      </w:r>
    </w:p>
    <w:p w14:paraId="0FA06B3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现场调研期间，世行团队对一些样本活动（农村生活污水处理、农村生活垃圾转运、畜禽粪污处理、有机肥加工等）的环境管理工作记录进行了收集和查看。总体来看，需要开展环评及后续环境管理工作的项目活动基本都履行了要求。比如，湖南省衡南县牛妈妈养猪场（含粪污堆肥设施）于2017年和2019年分别针对一期设施（年出栏生猪12000头）和二期设施（年出栏生猪30000头）编制了环境影响报告书并获得了衡南县生态环境局的审批，养殖场内的干湿分离设施、沼气池、干粪棚、污水处理站等粪污处理设施均通过了验收，开展了废水、臭气、噪声等常规监测，样本显示能够达标排放。再如，湖北</w:t>
      </w:r>
      <w:r>
        <w:rPr>
          <w:rFonts w:hint="eastAsia" w:ascii="Arial" w:hAnsi="Arial" w:cs="Arial"/>
          <w:sz w:val="22"/>
          <w:lang w:val="en-US" w:eastAsia="zh-CN"/>
        </w:rPr>
        <w:t>省</w:t>
      </w:r>
      <w:r>
        <w:rPr>
          <w:rFonts w:ascii="Arial" w:hAnsi="Arial" w:cs="Arial"/>
          <w:sz w:val="22"/>
        </w:rPr>
        <w:t>仙桃市胡场镇污水处理厂设计规模3000</w:t>
      </w:r>
      <w:r>
        <w:rPr>
          <w:rFonts w:ascii="Arial" w:hAnsi="Arial" w:cs="Arial"/>
          <w:sz w:val="22"/>
          <w:lang w:val="en-GB"/>
        </w:rPr>
        <w:t>m</w:t>
      </w:r>
      <w:r>
        <w:rPr>
          <w:rFonts w:ascii="Arial" w:hAnsi="Arial" w:cs="Arial"/>
          <w:sz w:val="22"/>
          <w:vertAlign w:val="superscript"/>
          <w:lang w:val="en-GB"/>
        </w:rPr>
        <w:t>3</w:t>
      </w:r>
      <w:r>
        <w:rPr>
          <w:rFonts w:ascii="Arial" w:hAnsi="Arial" w:cs="Arial"/>
          <w:sz w:val="22"/>
        </w:rPr>
        <w:t>/天，服务范围包括胡场镇镇区及两个村屯，于2016年编制了环境影响报告表并通过了仙桃市生态环境局的审批，2020年办理了排污许可证，并依此开展进出水水质、臭气等常规监测，通过“湖北省污染源监测信息与共享平台”和生态环境部门进行数据共享。</w:t>
      </w:r>
    </w:p>
    <w:p w14:paraId="183EDD74">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综合评价</w:t>
      </w:r>
    </w:p>
    <w:p w14:paraId="3EC259E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330" w:name="_Toc66694840"/>
      <w:bookmarkStart w:id="331" w:name="_Toc79939256"/>
      <w:r>
        <w:rPr>
          <w:rFonts w:ascii="Arial" w:hAnsi="Arial" w:cs="Arial"/>
          <w:sz w:val="22"/>
        </w:rPr>
        <w:t>上述环评、环保“三同时”、环保验收、排污许可、环境质量与污染物监测等机制在中国已经实施了几十年，并经过不断改革，正逐步向更加完善的全过程监管发展。现场调研发现，本项目同类活动基本都能按要求开展环评及后续环境管理</w:t>
      </w:r>
      <w:r>
        <w:rPr>
          <w:rFonts w:ascii="Arial" w:hAnsi="Arial" w:cs="Arial"/>
          <w:sz w:val="22"/>
          <w:lang w:val="en-GB"/>
        </w:rPr>
        <w:t>，各级生态环境部门通过多种形式的事中事后检查，监督建设项目的不利环境影响尽可能得到</w:t>
      </w:r>
      <w:r>
        <w:rPr>
          <w:rFonts w:ascii="Arial" w:hAnsi="Arial" w:cs="Arial"/>
          <w:sz w:val="22"/>
        </w:rPr>
        <w:t>避免、减少或缓解</w:t>
      </w:r>
      <w:r>
        <w:rPr>
          <w:rFonts w:ascii="Arial" w:hAnsi="Arial" w:cs="Arial"/>
          <w:sz w:val="22"/>
          <w:lang w:val="en-GB"/>
        </w:rPr>
        <w:t>，该系统</w:t>
      </w:r>
      <w:r>
        <w:rPr>
          <w:rFonts w:ascii="Arial" w:hAnsi="Arial" w:cs="Arial"/>
          <w:sz w:val="22"/>
        </w:rPr>
        <w:t>满足世行核心原则的要求。</w:t>
      </w:r>
    </w:p>
    <w:p w14:paraId="40FF8D38">
      <w:pPr>
        <w:pStyle w:val="3"/>
        <w:tabs>
          <w:tab w:val="left" w:pos="851"/>
        </w:tabs>
        <w:rPr>
          <w:color w:val="1F4E79" w:themeColor="accent5" w:themeShade="80"/>
          <w:sz w:val="24"/>
        </w:rPr>
      </w:pPr>
      <w:bookmarkStart w:id="332" w:name="_Toc107747436"/>
      <w:bookmarkStart w:id="333" w:name="_Toc119937284"/>
      <w:r>
        <w:rPr>
          <w:color w:val="1F4E79" w:themeColor="accent5" w:themeShade="80"/>
          <w:sz w:val="24"/>
        </w:rPr>
        <w:t>4.3</w:t>
      </w:r>
      <w:r>
        <w:rPr>
          <w:color w:val="1F4E79" w:themeColor="accent5" w:themeShade="80"/>
          <w:sz w:val="24"/>
        </w:rPr>
        <w:tab/>
      </w:r>
      <w:r>
        <w:rPr>
          <w:color w:val="1F4E79" w:themeColor="accent5" w:themeShade="80"/>
          <w:sz w:val="24"/>
        </w:rPr>
        <w:t>污染防治系统</w:t>
      </w:r>
      <w:bookmarkEnd w:id="332"/>
      <w:bookmarkEnd w:id="333"/>
    </w:p>
    <w:p w14:paraId="26D96DD2">
      <w:pPr>
        <w:pStyle w:val="48"/>
        <w:widowControl w:val="0"/>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本项目活动所产生的环境污染影响，总体上依据国家综合性污染防治法律规章及</w:t>
      </w:r>
      <w:r>
        <w:rPr>
          <w:rFonts w:hint="eastAsia" w:ascii="Arial" w:hAnsi="Arial" w:cs="Arial"/>
          <w:sz w:val="22"/>
          <w:lang w:eastAsia="zh-CN"/>
        </w:rPr>
        <w:t>地方性法规</w:t>
      </w:r>
      <w:r>
        <w:rPr>
          <w:rFonts w:ascii="Arial" w:hAnsi="Arial" w:cs="Arial"/>
          <w:sz w:val="22"/>
        </w:rPr>
        <w:t>进行管理（见</w:t>
      </w:r>
      <w:r>
        <w:rPr>
          <w:rFonts w:ascii="Arial" w:hAnsi="Arial" w:cs="Arial"/>
          <w:b/>
          <w:bCs/>
          <w:sz w:val="22"/>
        </w:rPr>
        <w:t>表4</w:t>
      </w:r>
      <w:r>
        <w:rPr>
          <w:rFonts w:hint="eastAsia" w:ascii="Arial" w:hAnsi="Arial" w:cs="Arial"/>
          <w:b/>
          <w:bCs/>
          <w:sz w:val="22"/>
          <w:lang w:eastAsia="zh-CN"/>
        </w:rPr>
        <w:t>—</w:t>
      </w:r>
      <w:r>
        <w:rPr>
          <w:rFonts w:ascii="Arial" w:hAnsi="Arial" w:cs="Arial"/>
          <w:b/>
          <w:bCs/>
          <w:sz w:val="22"/>
        </w:rPr>
        <w:t>4</w:t>
      </w:r>
      <w:r>
        <w:rPr>
          <w:rFonts w:ascii="Arial" w:hAnsi="Arial" w:cs="Arial"/>
          <w:sz w:val="22"/>
        </w:rPr>
        <w:t>）。此外，本项目每个独立的污染防治系统（化肥、农药、畜禽粪污、水产养殖、农村生活污水、农村生活垃圾、污染土地等）还具有专门的法规、规章、规范、导则等所制定的细则，来指导污染防治措施的实施和监管，将在以下各节进行介绍。</w:t>
      </w:r>
    </w:p>
    <w:p w14:paraId="7E56C7E9">
      <w:pPr>
        <w:rPr>
          <w:rFonts w:ascii="Arial" w:hAnsi="Arial" w:cs="Arial"/>
          <w:b/>
          <w:bCs/>
          <w:color w:val="1F4E79" w:themeColor="accent5" w:themeShade="80"/>
          <w:sz w:val="22"/>
          <w:szCs w:val="22"/>
        </w:rPr>
      </w:pPr>
      <w:r>
        <w:rPr>
          <w:rFonts w:ascii="Arial" w:hAnsi="Arial" w:cs="Arial"/>
          <w:b/>
          <w:bCs/>
          <w:color w:val="1F4E79" w:themeColor="accent5" w:themeShade="80"/>
          <w:sz w:val="22"/>
          <w:szCs w:val="22"/>
        </w:rPr>
        <w:br w:type="page"/>
      </w:r>
    </w:p>
    <w:p w14:paraId="62401F71">
      <w:pPr>
        <w:jc w:val="center"/>
        <w:rPr>
          <w:rFonts w:ascii="Arial" w:hAnsi="Arial" w:cs="Arial"/>
          <w:b/>
          <w:bCs/>
          <w:color w:val="1F4E79" w:themeColor="accent5" w:themeShade="80"/>
          <w:sz w:val="22"/>
          <w:szCs w:val="22"/>
        </w:rPr>
      </w:pPr>
      <w:r>
        <w:rPr>
          <w:rFonts w:ascii="Arial" w:hAnsi="Arial" w:cs="Arial"/>
          <w:b/>
          <w:bCs/>
          <w:color w:val="1F4E79" w:themeColor="accent5" w:themeShade="80"/>
          <w:sz w:val="22"/>
          <w:szCs w:val="22"/>
        </w:rPr>
        <w:t>表4</w:t>
      </w:r>
      <w:r>
        <w:rPr>
          <w:rFonts w:hint="eastAsia" w:ascii="Arial" w:hAnsi="Arial" w:cs="Arial"/>
          <w:b/>
          <w:bCs/>
          <w:color w:val="1F4E79" w:themeColor="accent5" w:themeShade="80"/>
          <w:sz w:val="22"/>
          <w:szCs w:val="22"/>
          <w:lang w:eastAsia="zh-CN"/>
        </w:rPr>
        <w:t>—</w:t>
      </w:r>
      <w:r>
        <w:rPr>
          <w:rFonts w:ascii="Arial" w:hAnsi="Arial" w:cs="Arial"/>
          <w:b/>
          <w:bCs/>
          <w:color w:val="1F4E79" w:themeColor="accent5" w:themeShade="80"/>
          <w:sz w:val="22"/>
          <w:szCs w:val="22"/>
        </w:rPr>
        <w:t>4：综合性污染防治法律法规制度</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7E6E6" w:themeFill="background2"/>
        <w:tblLayout w:type="fixed"/>
        <w:tblCellMar>
          <w:top w:w="0" w:type="dxa"/>
          <w:left w:w="28" w:type="dxa"/>
          <w:bottom w:w="0" w:type="dxa"/>
          <w:right w:w="28" w:type="dxa"/>
        </w:tblCellMar>
      </w:tblPr>
      <w:tblGrid>
        <w:gridCol w:w="7083"/>
        <w:gridCol w:w="1417"/>
        <w:gridCol w:w="1122"/>
      </w:tblGrid>
      <w:tr w14:paraId="6E2F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7E6E6" w:themeFill="background2"/>
          <w:tblCellMar>
            <w:top w:w="0" w:type="dxa"/>
            <w:left w:w="28" w:type="dxa"/>
            <w:bottom w:w="0" w:type="dxa"/>
            <w:right w:w="28" w:type="dxa"/>
          </w:tblCellMar>
        </w:tblPrEx>
        <w:trPr>
          <w:tblHeader/>
        </w:trPr>
        <w:tc>
          <w:tcPr>
            <w:tcW w:w="7083" w:type="dxa"/>
            <w:tcBorders>
              <w:bottom w:val="single" w:color="auto" w:sz="4" w:space="0"/>
            </w:tcBorders>
            <w:shd w:val="clear" w:color="auto" w:fill="E7E6E6" w:themeFill="background2"/>
          </w:tcPr>
          <w:p w14:paraId="51031E2C">
            <w:pPr>
              <w:pStyle w:val="48"/>
              <w:tabs>
                <w:tab w:val="left" w:pos="709"/>
              </w:tabs>
              <w:adjustRightInd w:val="0"/>
              <w:snapToGrid w:val="0"/>
              <w:ind w:firstLine="0" w:firstLineChars="0"/>
              <w:jc w:val="center"/>
              <w:rPr>
                <w:rFonts w:ascii="Arial" w:hAnsi="Arial" w:cs="Arial"/>
                <w:b/>
                <w:sz w:val="20"/>
                <w:szCs w:val="20"/>
              </w:rPr>
            </w:pPr>
            <w:r>
              <w:rPr>
                <w:rFonts w:ascii="Arial" w:hAnsi="Arial" w:cs="Arial"/>
                <w:b/>
                <w:sz w:val="20"/>
                <w:szCs w:val="20"/>
              </w:rPr>
              <w:t>国家层面</w:t>
            </w:r>
          </w:p>
        </w:tc>
        <w:tc>
          <w:tcPr>
            <w:tcW w:w="1417" w:type="dxa"/>
            <w:tcBorders>
              <w:bottom w:val="single" w:color="auto" w:sz="4" w:space="0"/>
            </w:tcBorders>
            <w:shd w:val="clear" w:color="auto" w:fill="E7E6E6" w:themeFill="background2"/>
          </w:tcPr>
          <w:p w14:paraId="7FA95BF1">
            <w:pPr>
              <w:pStyle w:val="48"/>
              <w:tabs>
                <w:tab w:val="left" w:pos="709"/>
              </w:tabs>
              <w:adjustRightInd w:val="0"/>
              <w:snapToGrid w:val="0"/>
              <w:ind w:firstLine="0" w:firstLineChars="0"/>
              <w:jc w:val="center"/>
              <w:rPr>
                <w:rFonts w:ascii="Arial" w:hAnsi="Arial" w:cs="Arial"/>
                <w:b/>
                <w:sz w:val="20"/>
                <w:szCs w:val="20"/>
              </w:rPr>
            </w:pPr>
            <w:r>
              <w:rPr>
                <w:rFonts w:ascii="Arial" w:hAnsi="Arial" w:cs="Arial"/>
                <w:b/>
                <w:sz w:val="20"/>
                <w:szCs w:val="20"/>
              </w:rPr>
              <w:t>湖南</w:t>
            </w:r>
          </w:p>
        </w:tc>
        <w:tc>
          <w:tcPr>
            <w:tcW w:w="1122" w:type="dxa"/>
            <w:tcBorders>
              <w:bottom w:val="single" w:color="auto" w:sz="4" w:space="0"/>
            </w:tcBorders>
            <w:shd w:val="clear" w:color="auto" w:fill="E7E6E6" w:themeFill="background2"/>
          </w:tcPr>
          <w:p w14:paraId="1F392437">
            <w:pPr>
              <w:pStyle w:val="48"/>
              <w:tabs>
                <w:tab w:val="left" w:pos="709"/>
              </w:tabs>
              <w:adjustRightInd w:val="0"/>
              <w:snapToGrid w:val="0"/>
              <w:ind w:firstLine="0" w:firstLineChars="0"/>
              <w:jc w:val="center"/>
              <w:rPr>
                <w:rFonts w:ascii="Arial" w:hAnsi="Arial" w:cs="Arial"/>
                <w:b/>
                <w:sz w:val="20"/>
                <w:szCs w:val="20"/>
              </w:rPr>
            </w:pPr>
            <w:r>
              <w:rPr>
                <w:rFonts w:ascii="Arial" w:hAnsi="Arial" w:cs="Arial"/>
                <w:b/>
                <w:sz w:val="20"/>
                <w:szCs w:val="20"/>
              </w:rPr>
              <w:t>湖北</w:t>
            </w:r>
          </w:p>
        </w:tc>
      </w:tr>
      <w:tr w14:paraId="3232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1D69E5BF">
            <w:pPr>
              <w:pStyle w:val="48"/>
              <w:tabs>
                <w:tab w:val="left" w:pos="709"/>
              </w:tabs>
              <w:adjustRightInd w:val="0"/>
              <w:snapToGrid w:val="0"/>
              <w:ind w:firstLine="0" w:firstLineChars="0"/>
              <w:rPr>
                <w:rFonts w:ascii="Arial" w:hAnsi="Arial" w:cs="Arial"/>
                <w:sz w:val="20"/>
                <w:szCs w:val="20"/>
              </w:rPr>
            </w:pPr>
            <w:r>
              <w:rPr>
                <w:rFonts w:ascii="Arial" w:hAnsi="Arial" w:cs="Arial"/>
                <w:b/>
                <w:bCs/>
                <w:sz w:val="20"/>
                <w:szCs w:val="20"/>
              </w:rPr>
              <w:t>《</w:t>
            </w:r>
            <w:r>
              <w:rPr>
                <w:rFonts w:hint="eastAsia" w:ascii="Arial" w:hAnsi="Arial" w:cs="Arial"/>
                <w:b/>
                <w:bCs/>
                <w:sz w:val="20"/>
                <w:szCs w:val="20"/>
                <w:lang w:eastAsia="zh-CN"/>
              </w:rPr>
              <w:t>中华人民共和国水污染防治法</w:t>
            </w:r>
            <w:r>
              <w:rPr>
                <w:rFonts w:ascii="Arial" w:hAnsi="Arial" w:cs="Arial"/>
                <w:b/>
                <w:bCs/>
                <w:sz w:val="20"/>
                <w:szCs w:val="20"/>
              </w:rPr>
              <w:t>》</w:t>
            </w:r>
            <w:r>
              <w:rPr>
                <w:rFonts w:hint="eastAsia" w:ascii="Arial" w:hAnsi="Arial" w:cs="Arial"/>
                <w:bCs/>
                <w:sz w:val="20"/>
                <w:szCs w:val="20"/>
                <w:lang w:eastAsia="zh-CN"/>
              </w:rPr>
              <w:t>（</w:t>
            </w:r>
            <w:r>
              <w:rPr>
                <w:rFonts w:ascii="Arial" w:hAnsi="Arial" w:cs="Arial"/>
                <w:sz w:val="20"/>
                <w:szCs w:val="20"/>
              </w:rPr>
              <w:t>2017年修订</w:t>
            </w:r>
            <w:r>
              <w:rPr>
                <w:rFonts w:hint="eastAsia" w:ascii="Arial" w:hAnsi="Arial" w:cs="Arial"/>
                <w:bCs/>
                <w:sz w:val="20"/>
                <w:szCs w:val="20"/>
                <w:lang w:eastAsia="zh-CN"/>
              </w:rPr>
              <w:t>）</w:t>
            </w:r>
            <w:r>
              <w:rPr>
                <w:rFonts w:ascii="Arial" w:hAnsi="Arial" w:cs="Arial"/>
                <w:sz w:val="20"/>
                <w:szCs w:val="20"/>
              </w:rPr>
              <w:t>：要求统筹规划建设农村污水、垃圾处理设施并保障其正常运行；要求指导农业生产者科学、合理地施用化肥和农药；要求畜禽养殖场、养殖小区建设畜禽粪便、废水的综合利用或者无害化处理设施，并保证设施正常运转，保证污水达标排放；从事水产养殖应当保护水域生态环境，科学确定养殖密度，合理投饵和使用药物，防止污染水环境。</w:t>
            </w:r>
          </w:p>
        </w:tc>
        <w:tc>
          <w:tcPr>
            <w:tcW w:w="1417" w:type="dxa"/>
            <w:shd w:val="clear" w:color="auto" w:fill="auto"/>
          </w:tcPr>
          <w:p w14:paraId="029F9626">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《湖南省湘江流域水污染防治条例》</w:t>
            </w:r>
            <w:r>
              <w:rPr>
                <w:rFonts w:hint="eastAsia" w:ascii="Arial" w:hAnsi="Arial" w:cs="Arial"/>
                <w:bCs/>
                <w:sz w:val="20"/>
                <w:szCs w:val="20"/>
                <w:lang w:val="en-GB" w:eastAsia="zh-CN"/>
              </w:rPr>
              <w:t>（</w:t>
            </w:r>
            <w:r>
              <w:rPr>
                <w:rFonts w:ascii="Arial" w:hAnsi="Arial" w:cs="Arial"/>
                <w:bCs/>
                <w:sz w:val="20"/>
                <w:szCs w:val="20"/>
                <w:lang w:val="en-GB"/>
              </w:rPr>
              <w:t>2014年</w:t>
            </w:r>
            <w:r>
              <w:rPr>
                <w:rFonts w:hint="eastAsia" w:ascii="Arial" w:hAnsi="Arial" w:cs="Arial"/>
                <w:bCs/>
                <w:sz w:val="20"/>
                <w:szCs w:val="20"/>
                <w:lang w:val="en-GB" w:eastAsia="zh-CN"/>
              </w:rPr>
              <w:t>）</w:t>
            </w:r>
          </w:p>
        </w:tc>
        <w:tc>
          <w:tcPr>
            <w:tcW w:w="1122" w:type="dxa"/>
            <w:shd w:val="clear" w:color="auto" w:fill="auto"/>
          </w:tcPr>
          <w:p w14:paraId="3F4FE767">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《湖北省水污染防治条例》</w:t>
            </w:r>
            <w:r>
              <w:rPr>
                <w:rFonts w:hint="eastAsia" w:ascii="Arial" w:hAnsi="Arial" w:cs="Arial"/>
                <w:bCs/>
                <w:sz w:val="20"/>
                <w:szCs w:val="20"/>
                <w:lang w:val="en-GB" w:eastAsia="zh-CN"/>
              </w:rPr>
              <w:t>（</w:t>
            </w:r>
            <w:r>
              <w:rPr>
                <w:rFonts w:ascii="Arial" w:hAnsi="Arial" w:cs="Arial"/>
                <w:bCs/>
                <w:sz w:val="20"/>
                <w:szCs w:val="20"/>
                <w:lang w:val="en-GB"/>
              </w:rPr>
              <w:t>2022年</w:t>
            </w:r>
            <w:r>
              <w:rPr>
                <w:rFonts w:hint="eastAsia" w:ascii="Arial" w:hAnsi="Arial" w:cs="Arial"/>
                <w:bCs/>
                <w:sz w:val="20"/>
                <w:szCs w:val="20"/>
                <w:lang w:val="en-GB" w:eastAsia="zh-CN"/>
              </w:rPr>
              <w:t>）</w:t>
            </w:r>
          </w:p>
          <w:p w14:paraId="776D2BB7">
            <w:pPr>
              <w:pStyle w:val="48"/>
              <w:tabs>
                <w:tab w:val="left" w:pos="709"/>
              </w:tabs>
              <w:adjustRightInd w:val="0"/>
              <w:snapToGrid w:val="0"/>
              <w:ind w:firstLine="0" w:firstLineChars="0"/>
              <w:rPr>
                <w:rFonts w:ascii="Arial" w:hAnsi="Arial" w:cs="Arial"/>
                <w:bCs/>
                <w:sz w:val="20"/>
                <w:szCs w:val="20"/>
                <w:lang w:val="en-GB"/>
              </w:rPr>
            </w:pPr>
          </w:p>
        </w:tc>
      </w:tr>
      <w:tr w14:paraId="1F56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697C9F87">
            <w:pPr>
              <w:pStyle w:val="48"/>
              <w:tabs>
                <w:tab w:val="left" w:pos="709"/>
              </w:tabs>
              <w:adjustRightInd w:val="0"/>
              <w:snapToGrid w:val="0"/>
              <w:ind w:firstLine="0" w:firstLineChars="0"/>
              <w:rPr>
                <w:rFonts w:ascii="Arial" w:hAnsi="Arial" w:cs="Arial"/>
                <w:sz w:val="20"/>
                <w:szCs w:val="20"/>
                <w:lang w:val="en-GB"/>
              </w:rPr>
            </w:pPr>
            <w:r>
              <w:rPr>
                <w:rFonts w:ascii="Arial" w:hAnsi="Arial" w:cs="Arial"/>
                <w:b/>
                <w:bCs/>
                <w:sz w:val="20"/>
                <w:szCs w:val="20"/>
              </w:rPr>
              <w:t>《</w:t>
            </w:r>
            <w:r>
              <w:rPr>
                <w:rFonts w:hint="eastAsia" w:ascii="Arial" w:hAnsi="Arial" w:cs="Arial"/>
                <w:b/>
                <w:bCs/>
                <w:sz w:val="20"/>
                <w:szCs w:val="20"/>
                <w:lang w:eastAsia="zh-CN"/>
              </w:rPr>
              <w:t>中华人民共和国土壤污染防治法</w:t>
            </w:r>
            <w:r>
              <w:rPr>
                <w:rFonts w:ascii="Arial" w:hAnsi="Arial" w:cs="Arial"/>
                <w:b/>
                <w:bCs/>
                <w:sz w:val="20"/>
                <w:szCs w:val="20"/>
              </w:rPr>
              <w:t>》</w:t>
            </w:r>
            <w:r>
              <w:rPr>
                <w:rFonts w:hint="eastAsia" w:ascii="Arial" w:hAnsi="Arial" w:cs="Arial"/>
                <w:sz w:val="20"/>
                <w:szCs w:val="20"/>
                <w:lang w:val="en-GB" w:eastAsia="zh-CN"/>
              </w:rPr>
              <w:t>（</w:t>
            </w:r>
            <w:r>
              <w:rPr>
                <w:rFonts w:ascii="Arial" w:hAnsi="Arial" w:cs="Arial"/>
                <w:sz w:val="20"/>
                <w:szCs w:val="20"/>
                <w:lang w:val="en-GB"/>
              </w:rPr>
              <w:t>2019年</w:t>
            </w:r>
            <w:r>
              <w:rPr>
                <w:rFonts w:hint="eastAsia" w:ascii="Arial" w:hAnsi="Arial" w:cs="Arial"/>
                <w:sz w:val="20"/>
                <w:szCs w:val="20"/>
                <w:lang w:val="en-GB" w:eastAsia="zh-CN"/>
              </w:rPr>
              <w:t>）</w:t>
            </w:r>
            <w:r>
              <w:rPr>
                <w:rFonts w:ascii="Arial" w:hAnsi="Arial" w:cs="Arial"/>
                <w:sz w:val="20"/>
                <w:szCs w:val="20"/>
                <w:lang w:val="en-GB"/>
              </w:rPr>
              <w:t>：加强农药、肥料登记，组织开展农药、肥料对土壤环境影响的安全性评价；加强农用地农药、化肥使用指导和使用总量控制；加强对畜禽粪便、沼渣、沼液等收集、贮存、利用、处置的监督管理；禁止向农用地排放重金属或者其他有毒有害物质含量超标的污水、污泥；禁止将重金属或者其他有毒有害物质含量超标的工业固体废物、生活垃圾或者污染土壤用于土地复垦。</w:t>
            </w:r>
          </w:p>
        </w:tc>
        <w:tc>
          <w:tcPr>
            <w:tcW w:w="1417" w:type="dxa"/>
            <w:shd w:val="clear" w:color="auto" w:fill="auto"/>
          </w:tcPr>
          <w:p w14:paraId="6D00F613">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湖南省实施《中华人民共和国土壤污染防治法&gt;办法》</w:t>
            </w:r>
            <w:r>
              <w:rPr>
                <w:rFonts w:hint="eastAsia" w:ascii="Arial" w:hAnsi="Arial" w:cs="Arial"/>
                <w:bCs/>
                <w:sz w:val="20"/>
                <w:szCs w:val="20"/>
                <w:lang w:val="en-GB" w:eastAsia="zh-CN"/>
              </w:rPr>
              <w:t>（</w:t>
            </w:r>
            <w:r>
              <w:rPr>
                <w:rFonts w:ascii="Arial" w:hAnsi="Arial" w:cs="Arial"/>
                <w:bCs/>
                <w:sz w:val="20"/>
                <w:szCs w:val="20"/>
                <w:lang w:val="en-GB"/>
              </w:rPr>
              <w:t>2020年</w:t>
            </w:r>
            <w:r>
              <w:rPr>
                <w:rFonts w:hint="eastAsia" w:ascii="Arial" w:hAnsi="Arial" w:cs="Arial"/>
                <w:bCs/>
                <w:sz w:val="20"/>
                <w:szCs w:val="20"/>
                <w:lang w:val="en-GB" w:eastAsia="zh-CN"/>
              </w:rPr>
              <w:t>）</w:t>
            </w:r>
          </w:p>
        </w:tc>
        <w:tc>
          <w:tcPr>
            <w:tcW w:w="1122" w:type="dxa"/>
            <w:shd w:val="clear" w:color="auto" w:fill="auto"/>
          </w:tcPr>
          <w:p w14:paraId="58ED36A7">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《湖北省土壤污染防治条例》</w:t>
            </w:r>
            <w:r>
              <w:rPr>
                <w:rFonts w:hint="eastAsia" w:ascii="Arial" w:hAnsi="Arial" w:cs="Arial"/>
                <w:bCs/>
                <w:sz w:val="20"/>
                <w:szCs w:val="20"/>
                <w:lang w:val="en-GB" w:eastAsia="zh-CN"/>
              </w:rPr>
              <w:t>（</w:t>
            </w:r>
            <w:r>
              <w:rPr>
                <w:rFonts w:ascii="Arial" w:hAnsi="Arial" w:cs="Arial"/>
                <w:bCs/>
                <w:sz w:val="20"/>
                <w:szCs w:val="20"/>
                <w:lang w:val="en-GB"/>
              </w:rPr>
              <w:t>2019年</w:t>
            </w:r>
            <w:r>
              <w:rPr>
                <w:rFonts w:hint="eastAsia" w:ascii="Arial" w:hAnsi="Arial" w:cs="Arial"/>
                <w:bCs/>
                <w:sz w:val="20"/>
                <w:szCs w:val="20"/>
                <w:lang w:val="en-GB" w:eastAsia="zh-CN"/>
              </w:rPr>
              <w:t>）</w:t>
            </w:r>
          </w:p>
        </w:tc>
      </w:tr>
      <w:tr w14:paraId="22B9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58452499">
            <w:pPr>
              <w:pStyle w:val="48"/>
              <w:tabs>
                <w:tab w:val="left" w:pos="709"/>
              </w:tabs>
              <w:adjustRightInd w:val="0"/>
              <w:snapToGrid w:val="0"/>
              <w:ind w:firstLine="0" w:firstLineChars="0"/>
              <w:rPr>
                <w:rFonts w:ascii="Arial" w:hAnsi="Arial" w:cs="Arial"/>
                <w:b/>
                <w:sz w:val="20"/>
                <w:szCs w:val="20"/>
              </w:rPr>
            </w:pPr>
            <w:r>
              <w:rPr>
                <w:rFonts w:ascii="Arial" w:hAnsi="Arial" w:cs="Arial"/>
                <w:b/>
                <w:sz w:val="20"/>
                <w:szCs w:val="20"/>
              </w:rPr>
              <w:t>《</w:t>
            </w:r>
            <w:r>
              <w:rPr>
                <w:rFonts w:hint="eastAsia" w:ascii="Arial" w:hAnsi="Arial" w:cs="Arial"/>
                <w:b/>
                <w:sz w:val="20"/>
                <w:szCs w:val="20"/>
                <w:lang w:eastAsia="zh-CN"/>
              </w:rPr>
              <w:t>中华人民共和国大气污染防治法</w:t>
            </w:r>
            <w:r>
              <w:rPr>
                <w:rFonts w:ascii="Arial" w:hAnsi="Arial" w:cs="Arial"/>
                <w:b/>
                <w:sz w:val="20"/>
                <w:szCs w:val="20"/>
              </w:rPr>
              <w:t>》</w:t>
            </w:r>
            <w:r>
              <w:rPr>
                <w:rFonts w:hint="eastAsia" w:ascii="Arial" w:hAnsi="Arial" w:cs="Arial"/>
                <w:bCs/>
                <w:sz w:val="20"/>
                <w:szCs w:val="20"/>
                <w:lang w:eastAsia="zh-CN"/>
              </w:rPr>
              <w:t>（</w:t>
            </w:r>
            <w:r>
              <w:rPr>
                <w:rFonts w:ascii="Arial" w:hAnsi="Arial" w:cs="Arial"/>
                <w:sz w:val="20"/>
                <w:szCs w:val="20"/>
              </w:rPr>
              <w:t>2018年修订</w:t>
            </w:r>
            <w:r>
              <w:rPr>
                <w:rFonts w:hint="eastAsia" w:ascii="Arial" w:hAnsi="Arial" w:cs="Arial"/>
                <w:bCs/>
                <w:sz w:val="20"/>
                <w:szCs w:val="20"/>
                <w:lang w:eastAsia="zh-CN"/>
              </w:rPr>
              <w:t>）</w:t>
            </w:r>
            <w:r>
              <w:rPr>
                <w:rFonts w:ascii="Arial" w:hAnsi="Arial" w:cs="Arial"/>
                <w:sz w:val="20"/>
                <w:szCs w:val="20"/>
              </w:rPr>
              <w:t>：要求农业生产经营者改进施肥方式，科学合理施用化肥并按照国家有关规定使用农药，减少氨、挥发性有机物等大气污染物的排放；畜禽养殖场、养殖小区应当及时对污水、畜禽粪便和尸体等进行收集、贮存、清运和无害化处理，防止排放恶臭气体；划定区域，禁止露天焚烧秸秆、落叶等产生烟尘污染的物质；采用先进适用技术，对秸秆、落叶等进行肥料化、饲料化、能源化、工业原料化、食用菌基料化等综合利用。</w:t>
            </w:r>
          </w:p>
        </w:tc>
        <w:tc>
          <w:tcPr>
            <w:tcW w:w="1417" w:type="dxa"/>
            <w:shd w:val="clear" w:color="auto" w:fill="auto"/>
          </w:tcPr>
          <w:p w14:paraId="6F99EFCD">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《湖南省大气污染防治条例》</w:t>
            </w:r>
            <w:r>
              <w:rPr>
                <w:rFonts w:hint="eastAsia" w:ascii="Arial" w:hAnsi="Arial" w:cs="Arial"/>
                <w:bCs/>
                <w:sz w:val="20"/>
                <w:szCs w:val="20"/>
                <w:lang w:val="en-GB" w:eastAsia="zh-CN"/>
              </w:rPr>
              <w:t>（</w:t>
            </w:r>
            <w:r>
              <w:rPr>
                <w:rFonts w:ascii="Arial" w:hAnsi="Arial" w:cs="Arial"/>
                <w:bCs/>
                <w:sz w:val="20"/>
                <w:szCs w:val="20"/>
                <w:lang w:val="en-GB"/>
              </w:rPr>
              <w:t>2017年</w:t>
            </w:r>
            <w:r>
              <w:rPr>
                <w:rFonts w:hint="eastAsia" w:ascii="Arial" w:hAnsi="Arial" w:cs="Arial"/>
                <w:bCs/>
                <w:sz w:val="20"/>
                <w:szCs w:val="20"/>
                <w:lang w:val="en-GB" w:eastAsia="zh-CN"/>
              </w:rPr>
              <w:t>）</w:t>
            </w:r>
          </w:p>
          <w:p w14:paraId="7F916CBA">
            <w:pPr>
              <w:pStyle w:val="48"/>
              <w:tabs>
                <w:tab w:val="left" w:pos="709"/>
              </w:tabs>
              <w:adjustRightInd w:val="0"/>
              <w:snapToGrid w:val="0"/>
              <w:ind w:firstLine="0" w:firstLineChars="0"/>
              <w:rPr>
                <w:rFonts w:ascii="Arial" w:hAnsi="Arial" w:cs="Arial"/>
                <w:bCs/>
                <w:sz w:val="20"/>
                <w:szCs w:val="20"/>
                <w:lang w:val="en-GB"/>
              </w:rPr>
            </w:pPr>
          </w:p>
        </w:tc>
        <w:tc>
          <w:tcPr>
            <w:tcW w:w="1122" w:type="dxa"/>
            <w:shd w:val="clear" w:color="auto" w:fill="auto"/>
          </w:tcPr>
          <w:p w14:paraId="09051316">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《湖北省大气污染防治条例》</w:t>
            </w:r>
            <w:r>
              <w:rPr>
                <w:rFonts w:hint="eastAsia" w:ascii="Arial" w:hAnsi="Arial" w:cs="Arial"/>
                <w:bCs/>
                <w:sz w:val="20"/>
                <w:szCs w:val="20"/>
                <w:lang w:val="en-GB" w:eastAsia="zh-CN"/>
              </w:rPr>
              <w:t>（</w:t>
            </w:r>
            <w:r>
              <w:rPr>
                <w:rFonts w:ascii="Arial" w:hAnsi="Arial" w:cs="Arial"/>
                <w:bCs/>
                <w:sz w:val="20"/>
                <w:szCs w:val="20"/>
                <w:lang w:val="en-GB"/>
              </w:rPr>
              <w:t>2018年修订</w:t>
            </w:r>
            <w:r>
              <w:rPr>
                <w:rFonts w:hint="eastAsia" w:ascii="Arial" w:hAnsi="Arial" w:cs="Arial"/>
                <w:bCs/>
                <w:sz w:val="20"/>
                <w:szCs w:val="20"/>
                <w:lang w:val="en-GB" w:eastAsia="zh-CN"/>
              </w:rPr>
              <w:t>）</w:t>
            </w:r>
          </w:p>
        </w:tc>
      </w:tr>
      <w:tr w14:paraId="565A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4F2D6DE3">
            <w:pPr>
              <w:pStyle w:val="48"/>
              <w:tabs>
                <w:tab w:val="left" w:pos="709"/>
              </w:tabs>
              <w:adjustRightInd w:val="0"/>
              <w:snapToGrid w:val="0"/>
              <w:ind w:firstLine="0" w:firstLineChars="0"/>
              <w:rPr>
                <w:rFonts w:ascii="Arial" w:hAnsi="Arial" w:cs="Arial"/>
                <w:b/>
                <w:bCs/>
                <w:sz w:val="20"/>
                <w:szCs w:val="20"/>
              </w:rPr>
            </w:pPr>
            <w:r>
              <w:rPr>
                <w:rFonts w:ascii="Arial" w:hAnsi="Arial" w:cs="Arial"/>
                <w:b/>
                <w:sz w:val="20"/>
                <w:szCs w:val="20"/>
              </w:rPr>
              <w:t>《</w:t>
            </w:r>
            <w:r>
              <w:rPr>
                <w:rFonts w:hint="eastAsia" w:ascii="Arial" w:hAnsi="Arial" w:cs="Arial"/>
                <w:b/>
                <w:sz w:val="20"/>
                <w:szCs w:val="20"/>
                <w:lang w:eastAsia="zh-CN"/>
              </w:rPr>
              <w:t>中华人民共和国固体废物污染环境防治法</w:t>
            </w:r>
            <w:r>
              <w:rPr>
                <w:rFonts w:ascii="Arial" w:hAnsi="Arial" w:cs="Arial"/>
                <w:b/>
                <w:sz w:val="20"/>
                <w:szCs w:val="20"/>
              </w:rPr>
              <w:t>》</w:t>
            </w:r>
            <w:r>
              <w:rPr>
                <w:rFonts w:hint="eastAsia" w:ascii="Arial" w:hAnsi="Arial" w:cs="Arial"/>
                <w:bCs/>
                <w:sz w:val="20"/>
                <w:szCs w:val="20"/>
                <w:lang w:eastAsia="zh-CN"/>
              </w:rPr>
              <w:t>（</w:t>
            </w:r>
            <w:r>
              <w:rPr>
                <w:rFonts w:ascii="Arial" w:hAnsi="Arial" w:cs="Arial"/>
                <w:bCs/>
                <w:sz w:val="20"/>
                <w:szCs w:val="20"/>
              </w:rPr>
              <w:t>2020年修订</w:t>
            </w:r>
            <w:r>
              <w:rPr>
                <w:rFonts w:hint="eastAsia" w:ascii="Arial" w:hAnsi="Arial" w:cs="Arial"/>
                <w:bCs/>
                <w:sz w:val="20"/>
                <w:szCs w:val="20"/>
                <w:lang w:eastAsia="zh-CN"/>
              </w:rPr>
              <w:t>）</w:t>
            </w:r>
            <w:r>
              <w:rPr>
                <w:rFonts w:ascii="Arial" w:hAnsi="Arial" w:cs="Arial"/>
                <w:bCs/>
                <w:sz w:val="20"/>
                <w:szCs w:val="20"/>
              </w:rPr>
              <w:t>：</w:t>
            </w:r>
            <w:r>
              <w:rPr>
                <w:rFonts w:ascii="Arial" w:hAnsi="Arial" w:cs="Arial"/>
                <w:sz w:val="20"/>
                <w:szCs w:val="20"/>
              </w:rPr>
              <w:t>产生、收集、贮存、运输、利用、处置固体废物的单位，应当依法及时公开固体废物污染环境防治信息；建立生活垃圾分类投放、分类收集、分类运输、分类处理的生活垃圾管理系统；产生秸秆等农业固体废物的单位和其他生产经营者，应当采取回收利用和其他防止污染环境的措施；从事畜禽规模养殖应当及时收集、贮存、利用或者处置养殖过程中产生的畜禽粪污等固体废物。</w:t>
            </w:r>
          </w:p>
        </w:tc>
        <w:tc>
          <w:tcPr>
            <w:tcW w:w="1417" w:type="dxa"/>
            <w:shd w:val="clear" w:color="auto" w:fill="auto"/>
          </w:tcPr>
          <w:p w14:paraId="1CDD88D7">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w:t>
            </w:r>
            <w:r>
              <w:rPr>
                <w:rFonts w:hint="eastAsia" w:ascii="Arial" w:hAnsi="Arial" w:cs="Arial"/>
                <w:bCs/>
                <w:sz w:val="20"/>
                <w:szCs w:val="20"/>
                <w:lang w:val="en-GB" w:eastAsia="zh-CN"/>
              </w:rPr>
              <w:t>湖南省实施〈中华人民共和国固体废物污染环境防治法〉办法</w:t>
            </w:r>
            <w:r>
              <w:rPr>
                <w:rFonts w:ascii="Arial" w:hAnsi="Arial" w:cs="Arial"/>
                <w:bCs/>
                <w:sz w:val="20"/>
                <w:szCs w:val="20"/>
                <w:lang w:val="en-GB"/>
              </w:rPr>
              <w:t>》</w:t>
            </w:r>
            <w:r>
              <w:rPr>
                <w:rFonts w:hint="eastAsia" w:ascii="Arial" w:hAnsi="Arial" w:cs="Arial"/>
                <w:bCs/>
                <w:sz w:val="20"/>
                <w:szCs w:val="20"/>
                <w:lang w:val="en-GB" w:eastAsia="zh-CN"/>
              </w:rPr>
              <w:t>（</w:t>
            </w:r>
            <w:r>
              <w:rPr>
                <w:rFonts w:ascii="Arial" w:hAnsi="Arial" w:cs="Arial"/>
                <w:bCs/>
                <w:sz w:val="20"/>
                <w:szCs w:val="20"/>
                <w:lang w:val="en-GB"/>
              </w:rPr>
              <w:t>2020年修订</w:t>
            </w:r>
            <w:r>
              <w:rPr>
                <w:rFonts w:hint="eastAsia" w:ascii="Arial" w:hAnsi="Arial" w:cs="Arial"/>
                <w:bCs/>
                <w:sz w:val="20"/>
                <w:szCs w:val="20"/>
                <w:lang w:val="en-GB" w:eastAsia="zh-CN"/>
              </w:rPr>
              <w:t>）</w:t>
            </w:r>
          </w:p>
        </w:tc>
        <w:tc>
          <w:tcPr>
            <w:tcW w:w="1122" w:type="dxa"/>
            <w:shd w:val="clear" w:color="auto" w:fill="auto"/>
          </w:tcPr>
          <w:p w14:paraId="79D75EBE">
            <w:pPr>
              <w:pStyle w:val="48"/>
              <w:tabs>
                <w:tab w:val="left" w:pos="709"/>
              </w:tabs>
              <w:adjustRightInd w:val="0"/>
              <w:snapToGrid w:val="0"/>
              <w:ind w:firstLine="0" w:firstLineChars="0"/>
              <w:rPr>
                <w:rFonts w:ascii="Arial" w:hAnsi="Arial" w:cs="Arial"/>
                <w:bCs/>
                <w:sz w:val="20"/>
                <w:szCs w:val="20"/>
                <w:lang w:val="en-GB"/>
              </w:rPr>
            </w:pPr>
            <w:r>
              <w:rPr>
                <w:rFonts w:ascii="Arial" w:hAnsi="Arial" w:cs="Arial"/>
                <w:bCs/>
                <w:sz w:val="20"/>
                <w:szCs w:val="20"/>
                <w:lang w:val="en-GB"/>
              </w:rPr>
              <w:t>无</w:t>
            </w:r>
          </w:p>
        </w:tc>
      </w:tr>
      <w:tr w14:paraId="1632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6CC0CFA5">
            <w:pPr>
              <w:pStyle w:val="48"/>
              <w:tabs>
                <w:tab w:val="left" w:pos="709"/>
              </w:tabs>
              <w:adjustRightInd w:val="0"/>
              <w:snapToGrid w:val="0"/>
              <w:ind w:firstLine="0" w:firstLineChars="0"/>
              <w:rPr>
                <w:rFonts w:ascii="Arial" w:hAnsi="Arial" w:cs="Arial"/>
                <w:sz w:val="20"/>
                <w:szCs w:val="20"/>
                <w:lang w:val="en-GB"/>
              </w:rPr>
            </w:pPr>
            <w:r>
              <w:rPr>
                <w:rFonts w:ascii="Arial" w:hAnsi="Arial" w:cs="Arial"/>
                <w:b/>
                <w:bCs/>
                <w:sz w:val="20"/>
                <w:szCs w:val="20"/>
              </w:rPr>
              <w:t>《</w:t>
            </w:r>
            <w:r>
              <w:rPr>
                <w:rFonts w:hint="eastAsia" w:ascii="Arial" w:hAnsi="Arial" w:cs="Arial"/>
                <w:b/>
                <w:bCs/>
                <w:sz w:val="20"/>
                <w:szCs w:val="20"/>
                <w:lang w:eastAsia="zh-CN"/>
              </w:rPr>
              <w:t>中华人民共和国农业法</w:t>
            </w:r>
            <w:r>
              <w:rPr>
                <w:rFonts w:ascii="Arial" w:hAnsi="Arial" w:cs="Arial"/>
                <w:b/>
                <w:bCs/>
                <w:sz w:val="20"/>
                <w:szCs w:val="20"/>
              </w:rPr>
              <w:t>》</w:t>
            </w:r>
            <w:r>
              <w:rPr>
                <w:rFonts w:hint="eastAsia" w:ascii="Arial" w:hAnsi="Arial" w:cs="Arial"/>
                <w:bCs/>
                <w:sz w:val="20"/>
                <w:szCs w:val="20"/>
                <w:lang w:eastAsia="zh-CN"/>
              </w:rPr>
              <w:t>（</w:t>
            </w:r>
            <w:r>
              <w:rPr>
                <w:rFonts w:ascii="Arial" w:hAnsi="Arial" w:cs="Arial"/>
                <w:sz w:val="20"/>
                <w:szCs w:val="20"/>
              </w:rPr>
              <w:t>2012年修订</w:t>
            </w:r>
            <w:r>
              <w:rPr>
                <w:rFonts w:hint="eastAsia" w:ascii="Arial" w:hAnsi="Arial" w:cs="Arial"/>
                <w:bCs/>
                <w:sz w:val="20"/>
                <w:szCs w:val="20"/>
                <w:lang w:eastAsia="zh-CN"/>
              </w:rPr>
              <w:t>）</w:t>
            </w:r>
            <w:r>
              <w:rPr>
                <w:rFonts w:ascii="Arial" w:hAnsi="Arial" w:cs="Arial"/>
                <w:sz w:val="20"/>
                <w:szCs w:val="20"/>
              </w:rPr>
              <w:t>：要求肥料的生产经营依照相关法律、行政法规的规定实行登记或者许可制度；合理使用化肥、农药，增加使用有机肥料，防止农用地的污染、破坏和地力衰退；秸秆及其他剩余物质应当综合利用，妥善处理，防止造成环境污染和生态破坏；从事畜禽等动物规模养殖的单位和个人应当对粪便、废水及其他废弃物进行无害化处理或者综合利用；从事水产养殖的单位和个人应当合理投饵、施肥、使用药物，防止造成环境污染和生态破坏。</w:t>
            </w:r>
          </w:p>
        </w:tc>
        <w:tc>
          <w:tcPr>
            <w:tcW w:w="1417" w:type="dxa"/>
            <w:shd w:val="clear" w:color="auto" w:fill="auto"/>
          </w:tcPr>
          <w:p w14:paraId="3BEAD398">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w:t>
            </w:r>
            <w:r>
              <w:rPr>
                <w:rFonts w:hint="eastAsia" w:ascii="Arial" w:hAnsi="Arial" w:cs="Arial"/>
                <w:bCs/>
                <w:sz w:val="20"/>
                <w:szCs w:val="20"/>
                <w:lang w:val="en-GB" w:eastAsia="zh-CN"/>
              </w:rPr>
              <w:t>湖南省农业环境保护条例</w:t>
            </w:r>
            <w:r>
              <w:rPr>
                <w:rFonts w:ascii="Arial" w:hAnsi="Arial" w:cs="Arial"/>
                <w:bCs/>
                <w:sz w:val="20"/>
                <w:szCs w:val="20"/>
                <w:lang w:val="en-GB"/>
              </w:rPr>
              <w:t>》</w:t>
            </w:r>
            <w:r>
              <w:rPr>
                <w:rFonts w:hint="eastAsia" w:ascii="Arial" w:hAnsi="Arial" w:cs="Arial"/>
                <w:bCs/>
                <w:sz w:val="20"/>
                <w:szCs w:val="20"/>
                <w:lang w:val="en-GB" w:eastAsia="zh-CN"/>
              </w:rPr>
              <w:t>（</w:t>
            </w:r>
            <w:r>
              <w:rPr>
                <w:rFonts w:ascii="Arial" w:hAnsi="Arial" w:cs="Arial"/>
                <w:bCs/>
                <w:sz w:val="20"/>
                <w:szCs w:val="20"/>
                <w:lang w:val="en-GB"/>
              </w:rPr>
              <w:t>2013年修订</w:t>
            </w:r>
            <w:r>
              <w:rPr>
                <w:rFonts w:hint="eastAsia" w:ascii="Arial" w:hAnsi="Arial" w:cs="Arial"/>
                <w:bCs/>
                <w:sz w:val="20"/>
                <w:szCs w:val="20"/>
                <w:lang w:val="en-GB" w:eastAsia="zh-CN"/>
              </w:rPr>
              <w:t>）</w:t>
            </w:r>
          </w:p>
        </w:tc>
        <w:tc>
          <w:tcPr>
            <w:tcW w:w="1122" w:type="dxa"/>
            <w:shd w:val="clear" w:color="auto" w:fill="auto"/>
          </w:tcPr>
          <w:p w14:paraId="3AC4425D">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《湖北省农业生态环境保护条例》</w:t>
            </w:r>
            <w:r>
              <w:rPr>
                <w:rFonts w:hint="eastAsia" w:ascii="Arial" w:hAnsi="Arial" w:cs="Arial"/>
                <w:bCs/>
                <w:sz w:val="20"/>
                <w:szCs w:val="20"/>
                <w:lang w:val="en-GB" w:eastAsia="zh-CN"/>
              </w:rPr>
              <w:t>（</w:t>
            </w:r>
            <w:r>
              <w:rPr>
                <w:rFonts w:ascii="Arial" w:hAnsi="Arial" w:cs="Arial"/>
                <w:bCs/>
                <w:sz w:val="20"/>
                <w:szCs w:val="20"/>
                <w:lang w:val="en-GB"/>
              </w:rPr>
              <w:t>2020年</w:t>
            </w:r>
            <w:r>
              <w:rPr>
                <w:rFonts w:hint="eastAsia" w:ascii="Arial" w:hAnsi="Arial" w:cs="Arial"/>
                <w:bCs/>
                <w:sz w:val="20"/>
                <w:szCs w:val="20"/>
                <w:lang w:val="en-GB" w:eastAsia="zh-CN"/>
              </w:rPr>
              <w:t>）</w:t>
            </w:r>
          </w:p>
        </w:tc>
      </w:tr>
      <w:tr w14:paraId="34D3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083" w:type="dxa"/>
            <w:shd w:val="clear" w:color="auto" w:fill="auto"/>
          </w:tcPr>
          <w:p w14:paraId="346DC3F6">
            <w:pPr>
              <w:pStyle w:val="48"/>
              <w:tabs>
                <w:tab w:val="left" w:pos="709"/>
              </w:tabs>
              <w:adjustRightInd w:val="0"/>
              <w:snapToGrid w:val="0"/>
              <w:spacing w:after="120"/>
              <w:ind w:firstLine="0" w:firstLineChars="0"/>
              <w:rPr>
                <w:rFonts w:ascii="Arial" w:hAnsi="Arial" w:cs="Arial"/>
                <w:bCs/>
                <w:color w:val="000000"/>
                <w:sz w:val="20"/>
                <w:szCs w:val="20"/>
              </w:rPr>
            </w:pPr>
            <w:r>
              <w:rPr>
                <w:rFonts w:ascii="Arial" w:hAnsi="Arial" w:cs="Arial"/>
                <w:b/>
                <w:color w:val="000000"/>
                <w:sz w:val="20"/>
                <w:szCs w:val="20"/>
              </w:rPr>
              <w:t>《</w:t>
            </w:r>
            <w:r>
              <w:rPr>
                <w:rFonts w:hint="eastAsia" w:ascii="Arial" w:hAnsi="Arial" w:cs="Arial"/>
                <w:b/>
                <w:color w:val="000000"/>
                <w:sz w:val="20"/>
                <w:szCs w:val="20"/>
                <w:lang w:eastAsia="zh-CN"/>
              </w:rPr>
              <w:t>中华人民共和国乡村振兴促进法</w:t>
            </w:r>
            <w:r>
              <w:rPr>
                <w:rFonts w:ascii="Arial" w:hAnsi="Arial" w:cs="Arial"/>
                <w:b/>
                <w:color w:val="000000"/>
                <w:sz w:val="20"/>
                <w:szCs w:val="20"/>
              </w:rPr>
              <w:t>》</w:t>
            </w:r>
            <w:r>
              <w:rPr>
                <w:rFonts w:hint="eastAsia" w:ascii="Arial" w:hAnsi="Arial" w:cs="Arial"/>
                <w:bCs/>
                <w:sz w:val="20"/>
                <w:szCs w:val="20"/>
                <w:lang w:eastAsia="zh-CN"/>
              </w:rPr>
              <w:t>（</w:t>
            </w:r>
            <w:r>
              <w:rPr>
                <w:rFonts w:ascii="Arial" w:hAnsi="Arial" w:cs="Arial"/>
                <w:bCs/>
                <w:color w:val="000000"/>
                <w:sz w:val="20"/>
                <w:szCs w:val="20"/>
              </w:rPr>
              <w:t>2021年</w:t>
            </w:r>
            <w:r>
              <w:rPr>
                <w:rFonts w:hint="eastAsia" w:ascii="Arial" w:hAnsi="Arial" w:cs="Arial"/>
                <w:bCs/>
                <w:sz w:val="20"/>
                <w:szCs w:val="20"/>
                <w:lang w:eastAsia="zh-CN"/>
              </w:rPr>
              <w:t>）</w:t>
            </w:r>
            <w:r>
              <w:rPr>
                <w:rFonts w:ascii="Arial" w:hAnsi="Arial" w:cs="Arial"/>
                <w:bCs/>
                <w:color w:val="000000"/>
                <w:sz w:val="20"/>
                <w:szCs w:val="20"/>
              </w:rPr>
              <w:t>：乡村振兴活动应开展生态保护，包括资源节约（如节水、节能）、农业面源污染防治（如节肥、节药）、农村人居环境整治（如</w:t>
            </w:r>
            <w:r>
              <w:rPr>
                <w:rFonts w:hint="eastAsia" w:ascii="Arial" w:hAnsi="Arial" w:cs="Arial"/>
                <w:bCs/>
                <w:color w:val="000000"/>
                <w:sz w:val="20"/>
                <w:szCs w:val="20"/>
                <w:lang w:eastAsia="zh-CN"/>
              </w:rPr>
              <w:t>建设</w:t>
            </w:r>
            <w:r>
              <w:rPr>
                <w:rFonts w:ascii="Arial" w:hAnsi="Arial" w:cs="Arial"/>
                <w:bCs/>
                <w:color w:val="000000"/>
                <w:sz w:val="20"/>
                <w:szCs w:val="20"/>
              </w:rPr>
              <w:t>卫生厕所、农村垃圾和生活污水治理）、农业投入品安全（如禁用限用高毒高残留农药）、农业农村环境保护（如推进秸秆和畜禽粪污资源化利用）等。</w:t>
            </w:r>
          </w:p>
        </w:tc>
        <w:tc>
          <w:tcPr>
            <w:tcW w:w="1417" w:type="dxa"/>
            <w:shd w:val="clear" w:color="auto" w:fill="auto"/>
          </w:tcPr>
          <w:p w14:paraId="72038C7B">
            <w:pPr>
              <w:pStyle w:val="48"/>
              <w:tabs>
                <w:tab w:val="left" w:pos="709"/>
              </w:tabs>
              <w:adjustRightInd w:val="0"/>
              <w:snapToGrid w:val="0"/>
              <w:ind w:firstLine="0" w:firstLineChars="0"/>
              <w:rPr>
                <w:rFonts w:ascii="Arial" w:hAnsi="Arial" w:cs="Arial"/>
                <w:bCs/>
                <w:sz w:val="20"/>
                <w:szCs w:val="20"/>
                <w:lang w:val="en-GB"/>
              </w:rPr>
            </w:pPr>
            <w:r>
              <w:rPr>
                <w:rFonts w:ascii="Arial" w:hAnsi="Arial" w:cs="Arial"/>
                <w:bCs/>
                <w:sz w:val="20"/>
                <w:szCs w:val="20"/>
                <w:lang w:val="en-GB"/>
              </w:rPr>
              <w:t>无</w:t>
            </w:r>
          </w:p>
        </w:tc>
        <w:tc>
          <w:tcPr>
            <w:tcW w:w="1122" w:type="dxa"/>
            <w:shd w:val="clear" w:color="auto" w:fill="auto"/>
          </w:tcPr>
          <w:p w14:paraId="0D313BE7">
            <w:pPr>
              <w:pStyle w:val="48"/>
              <w:tabs>
                <w:tab w:val="left" w:pos="709"/>
              </w:tabs>
              <w:adjustRightInd w:val="0"/>
              <w:snapToGrid w:val="0"/>
              <w:ind w:firstLine="0" w:firstLineChars="0"/>
              <w:rPr>
                <w:rFonts w:hint="eastAsia" w:ascii="Arial" w:hAnsi="Arial" w:eastAsia="宋体" w:cs="Arial"/>
                <w:bCs/>
                <w:sz w:val="20"/>
                <w:szCs w:val="20"/>
                <w:lang w:val="en-GB" w:eastAsia="zh-CN"/>
              </w:rPr>
            </w:pPr>
            <w:r>
              <w:rPr>
                <w:rFonts w:ascii="Arial" w:hAnsi="Arial" w:cs="Arial"/>
                <w:bCs/>
                <w:sz w:val="20"/>
                <w:szCs w:val="20"/>
                <w:lang w:val="en-GB"/>
              </w:rPr>
              <w:t>《湖北省乡村振兴促进条例》</w:t>
            </w:r>
            <w:r>
              <w:rPr>
                <w:rFonts w:hint="eastAsia" w:ascii="Arial" w:hAnsi="Arial" w:cs="Arial"/>
                <w:bCs/>
                <w:sz w:val="20"/>
                <w:szCs w:val="20"/>
                <w:lang w:val="en-GB" w:eastAsia="zh-CN"/>
              </w:rPr>
              <w:t>（</w:t>
            </w:r>
            <w:r>
              <w:rPr>
                <w:rFonts w:ascii="Arial" w:hAnsi="Arial" w:cs="Arial"/>
                <w:bCs/>
                <w:sz w:val="20"/>
                <w:szCs w:val="20"/>
                <w:lang w:val="en-GB"/>
              </w:rPr>
              <w:t>2020年</w:t>
            </w:r>
            <w:r>
              <w:rPr>
                <w:rFonts w:hint="eastAsia" w:ascii="Arial" w:hAnsi="Arial" w:cs="Arial"/>
                <w:bCs/>
                <w:sz w:val="20"/>
                <w:szCs w:val="20"/>
                <w:lang w:val="en-GB" w:eastAsia="zh-CN"/>
              </w:rPr>
              <w:t>）</w:t>
            </w:r>
          </w:p>
        </w:tc>
      </w:tr>
      <w:bookmarkEnd w:id="330"/>
      <w:bookmarkEnd w:id="331"/>
    </w:tbl>
    <w:p w14:paraId="3D2F15D8">
      <w:pPr>
        <w:pStyle w:val="4"/>
        <w:adjustRightInd w:val="0"/>
        <w:snapToGrid w:val="0"/>
        <w:spacing w:before="120" w:after="120" w:line="240" w:lineRule="auto"/>
        <w:rPr>
          <w:rFonts w:ascii="Arial" w:hAnsi="Arial" w:cs="Arial"/>
          <w:color w:val="1F4E79" w:themeColor="accent5" w:themeShade="80"/>
          <w:lang w:val="en-GB"/>
        </w:rPr>
      </w:pPr>
      <w:bookmarkStart w:id="334" w:name="_Toc107747437"/>
      <w:bookmarkStart w:id="335" w:name="_Toc66694842"/>
      <w:bookmarkStart w:id="336" w:name="_Toc79939258"/>
      <w:bookmarkStart w:id="337" w:name="_Toc119937285"/>
      <w:r>
        <w:rPr>
          <w:rFonts w:ascii="Arial" w:hAnsi="Arial" w:cs="Arial"/>
          <w:color w:val="1F4E79" w:themeColor="accent5" w:themeShade="80"/>
          <w:sz w:val="24"/>
          <w:szCs w:val="24"/>
          <w:lang w:val="en-GB"/>
        </w:rPr>
        <w:t>4.3.1</w:t>
      </w:r>
      <w:r>
        <w:rPr>
          <w:rFonts w:ascii="Arial" w:hAnsi="Arial" w:cs="Arial"/>
          <w:color w:val="1F4E79" w:themeColor="accent5" w:themeShade="80"/>
          <w:sz w:val="24"/>
          <w:szCs w:val="24"/>
          <w:lang w:val="en-GB"/>
        </w:rPr>
        <w:tab/>
      </w:r>
      <w:bookmarkEnd w:id="334"/>
      <w:r>
        <w:rPr>
          <w:rFonts w:ascii="Arial" w:hAnsi="Arial" w:cs="Arial"/>
          <w:color w:val="1F4E79" w:themeColor="accent5" w:themeShade="80"/>
          <w:sz w:val="24"/>
          <w:szCs w:val="24"/>
          <w:lang w:val="en-GB"/>
        </w:rPr>
        <w:t>化肥</w:t>
      </w:r>
      <w:bookmarkEnd w:id="335"/>
      <w:bookmarkEnd w:id="336"/>
      <w:r>
        <w:rPr>
          <w:rFonts w:ascii="Arial" w:hAnsi="Arial" w:cs="Arial"/>
          <w:color w:val="1F4E79" w:themeColor="accent5" w:themeShade="80"/>
          <w:sz w:val="24"/>
          <w:szCs w:val="24"/>
          <w:lang w:val="en-GB"/>
        </w:rPr>
        <w:t>管理</w:t>
      </w:r>
      <w:bookmarkEnd w:id="337"/>
    </w:p>
    <w:p w14:paraId="2637D56D">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47038F3D">
      <w:pPr>
        <w:pStyle w:val="48"/>
        <w:numPr>
          <w:ilvl w:val="0"/>
          <w:numId w:val="5"/>
        </w:numPr>
        <w:tabs>
          <w:tab w:val="left" w:pos="709"/>
        </w:tabs>
        <w:adjustRightInd w:val="0"/>
        <w:snapToGrid w:val="0"/>
        <w:spacing w:before="120" w:after="120"/>
        <w:ind w:left="0" w:firstLine="0" w:firstLineChars="0"/>
        <w:rPr>
          <w:rFonts w:ascii="Arial" w:hAnsi="Arial" w:cs="Arial"/>
          <w:sz w:val="22"/>
        </w:rPr>
      </w:pPr>
      <w:bookmarkStart w:id="338" w:name="OLE_LINK1"/>
      <w:bookmarkStart w:id="339" w:name="OLE_LINK2"/>
      <w:r>
        <w:rPr>
          <w:rFonts w:ascii="Arial" w:hAnsi="Arial" w:cs="Arial"/>
          <w:b/>
          <w:bCs/>
          <w:sz w:val="22"/>
        </w:rPr>
        <w:t>《肥料登记管理办法》</w:t>
      </w:r>
      <w:r>
        <w:rPr>
          <w:rFonts w:hint="eastAsia" w:ascii="Arial" w:hAnsi="Arial" w:cs="Arial"/>
          <w:sz w:val="22"/>
          <w:lang w:eastAsia="zh-CN"/>
        </w:rPr>
        <w:t>（</w:t>
      </w:r>
      <w:r>
        <w:rPr>
          <w:rFonts w:ascii="Arial" w:hAnsi="Arial" w:cs="Arial"/>
          <w:sz w:val="22"/>
        </w:rPr>
        <w:t>2017年</w:t>
      </w:r>
      <w:r>
        <w:rPr>
          <w:rFonts w:hint="eastAsia" w:ascii="Arial" w:hAnsi="Arial" w:cs="Arial"/>
          <w:sz w:val="22"/>
          <w:lang w:eastAsia="zh-CN"/>
        </w:rPr>
        <w:t>）</w:t>
      </w:r>
      <w:r>
        <w:rPr>
          <w:rFonts w:ascii="Arial" w:hAnsi="Arial" w:cs="Arial"/>
          <w:sz w:val="22"/>
        </w:rPr>
        <w:t>：适用于生产、经营、使用和宣传肥料产品。国家实行肥料产品登记管理制度，未经登记的肥料产品不得进口、生产、销售和使用，不得进行广告宣传。</w:t>
      </w:r>
    </w:p>
    <w:p w14:paraId="6E9AEC6D">
      <w:pPr>
        <w:pStyle w:val="48"/>
        <w:numPr>
          <w:ilvl w:val="0"/>
          <w:numId w:val="5"/>
        </w:numPr>
        <w:tabs>
          <w:tab w:val="left" w:pos="709"/>
          <w:tab w:val="left" w:pos="993"/>
        </w:tabs>
        <w:adjustRightInd w:val="0"/>
        <w:snapToGrid w:val="0"/>
        <w:spacing w:before="120" w:after="120"/>
        <w:ind w:left="0" w:firstLine="0" w:firstLineChars="0"/>
        <w:rPr>
          <w:rFonts w:ascii="Arial" w:hAnsi="Arial" w:cs="Arial"/>
          <w:sz w:val="22"/>
        </w:rPr>
      </w:pPr>
      <w:r>
        <w:rPr>
          <w:rFonts w:ascii="Arial" w:hAnsi="Arial" w:cs="Arial"/>
          <w:b/>
          <w:bCs/>
          <w:sz w:val="22"/>
        </w:rPr>
        <w:t>《化肥使用环境安全技术导则》</w:t>
      </w:r>
      <w:r>
        <w:rPr>
          <w:rFonts w:hint="eastAsia" w:ascii="Arial" w:hAnsi="Arial" w:cs="Arial"/>
          <w:sz w:val="22"/>
          <w:lang w:eastAsia="zh-CN"/>
        </w:rPr>
        <w:t>（</w:t>
      </w:r>
      <w:r>
        <w:rPr>
          <w:rFonts w:ascii="Arial" w:hAnsi="Arial" w:cs="Arial"/>
          <w:sz w:val="22"/>
        </w:rPr>
        <w:t>2010年</w:t>
      </w:r>
      <w:r>
        <w:rPr>
          <w:rFonts w:hint="eastAsia" w:ascii="Arial" w:hAnsi="Arial" w:cs="Arial"/>
          <w:sz w:val="22"/>
          <w:lang w:eastAsia="zh-CN"/>
        </w:rPr>
        <w:t>）</w:t>
      </w:r>
      <w:r>
        <w:rPr>
          <w:rFonts w:ascii="Arial" w:hAnsi="Arial" w:cs="Arial"/>
          <w:sz w:val="22"/>
        </w:rPr>
        <w:t>：要求提高化肥利用率，从源头、田间管理、末端拦截三个环节控制化肥的流失，降低对环境的污染风险。</w:t>
      </w:r>
    </w:p>
    <w:p w14:paraId="486D068F">
      <w:pPr>
        <w:pStyle w:val="48"/>
        <w:numPr>
          <w:ilvl w:val="0"/>
          <w:numId w:val="5"/>
        </w:numPr>
        <w:tabs>
          <w:tab w:val="left" w:pos="851"/>
          <w:tab w:val="left" w:pos="993"/>
        </w:tabs>
        <w:adjustRightInd w:val="0"/>
        <w:snapToGrid w:val="0"/>
        <w:spacing w:before="120" w:after="120"/>
        <w:ind w:left="0" w:firstLine="0" w:firstLineChars="0"/>
        <w:jc w:val="both"/>
        <w:rPr>
          <w:rFonts w:ascii="Arial" w:hAnsi="Arial" w:cs="Arial"/>
          <w:sz w:val="22"/>
        </w:rPr>
      </w:pPr>
      <w:r>
        <w:rPr>
          <w:rFonts w:ascii="Arial" w:hAnsi="Arial" w:cs="Arial"/>
          <w:sz w:val="22"/>
        </w:rPr>
        <w:t xml:space="preserve">近年来，中国政府大力推进化肥减量行动，2015年出台《到2020年化肥使用量零增长行动方案》后，各省相继落实并实现了预定目标。2022年生态环境部、农业农村部、住房和城乡建设部、水利部、国家乡村振兴局又联合印发了《农业农村污染治理攻坚战行动方案 </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》，据此湖南和湖北两省分别发布了各自的《农业农村污染治理攻坚战实施方案</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》，要求到2025年测土配方施肥技术覆盖率稳定在90%以上。</w:t>
      </w:r>
    </w:p>
    <w:bookmarkEnd w:id="338"/>
    <w:bookmarkEnd w:id="339"/>
    <w:p w14:paraId="19A18A9F">
      <w:pPr>
        <w:pStyle w:val="48"/>
        <w:tabs>
          <w:tab w:val="left" w:pos="851"/>
          <w:tab w:val="left" w:pos="890"/>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B.</w:t>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654FB41A">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化肥登记管理</w:t>
      </w:r>
      <w:r>
        <w:rPr>
          <w:rFonts w:ascii="Arial" w:hAnsi="Arial" w:cs="Arial"/>
          <w:sz w:val="22"/>
        </w:rPr>
        <w:t>：肥料生产者申请肥料登记前，须在中国境内进行规范的田间试验。登记申请由省级农业农村部门初审、国家农业农村部门审批。经登记的肥料产品，在登记有效期（五年）内改变使用范围、商品名称、企业名称的，应申请变更登记；改变成分、剂型的，应重新申请登记。化肥的生产和销售没有类似农药的许可证制度。化肥的经营销售已经市场化，生产和经营企业自主进行购销活动；化肥的使用由农民自行负责。</w:t>
      </w:r>
    </w:p>
    <w:p w14:paraId="3DBD2815">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化肥品种选择</w:t>
      </w:r>
      <w:r>
        <w:rPr>
          <w:rFonts w:ascii="Arial" w:hAnsi="Arial" w:cs="Arial"/>
          <w:sz w:val="22"/>
        </w:rPr>
        <w:t xml:space="preserve">：根据土壤供肥性能、作物营养特性、肥料特性及生态环境特点，合理选择化肥品种，提倡配方施肥、复合肥料、缓释肥料、水溶性肥料等高效新型肥料。 </w:t>
      </w:r>
    </w:p>
    <w:p w14:paraId="1CB770EB">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化肥用量控制</w:t>
      </w:r>
      <w:r>
        <w:rPr>
          <w:rFonts w:ascii="Arial" w:hAnsi="Arial" w:cs="Arial"/>
          <w:sz w:val="22"/>
        </w:rPr>
        <w:t>：综合考虑作物种类、产量目标、土壤养分状况、环境敏感程度等，通过土壤测试确定化肥使用量。同时，通过有机肥、秸秆还田、绿肥等替代化肥，以及土壤改良提升地力等方式减少化肥用量。</w:t>
      </w:r>
    </w:p>
    <w:p w14:paraId="44739F31">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化肥施用方式</w:t>
      </w:r>
      <w:r>
        <w:rPr>
          <w:rFonts w:ascii="Arial" w:hAnsi="Arial" w:cs="Arial"/>
          <w:sz w:val="22"/>
        </w:rPr>
        <w:t>：推进机械施肥、水肥一体化、适期施肥技术来提高肥料效率。同时，采用合理的耕作方式、灌溉方式、轮作制度；在靠近饮用水水源保护区、强淋溶土壤、土壤侵蚀严重、地下水位较高等地区尽量少施或不施化肥，防止化肥流失和环境污染。</w:t>
      </w:r>
    </w:p>
    <w:p w14:paraId="22AF0101">
      <w:pPr>
        <w:pStyle w:val="48"/>
        <w:tabs>
          <w:tab w:val="left" w:pos="851"/>
          <w:tab w:val="left" w:pos="890"/>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2EC653EA">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农业农村部门是肥料管理的行业主管部门。</w:t>
      </w:r>
      <w:r>
        <w:rPr>
          <w:rFonts w:hint="eastAsia" w:ascii="Arial" w:hAnsi="Arial" w:cs="Arial"/>
          <w:sz w:val="22"/>
          <w:lang w:eastAsia="zh-CN"/>
        </w:rPr>
        <w:t>省农业农村厅</w:t>
      </w:r>
      <w:r>
        <w:rPr>
          <w:rFonts w:ascii="Arial" w:hAnsi="Arial" w:cs="Arial"/>
          <w:sz w:val="22"/>
        </w:rPr>
        <w:t>主要负责全省层面的规划和指导。县级以上农业农村部门负责本行政区域内的肥料监督管理工作，通过综合执法局对辖区内的肥料生产、经营和使用单位的肥料进行定期或不定期监督、检查，对质量不合格的产品要求限期改进，对质量连续不合格的产品</w:t>
      </w:r>
      <w:r>
        <w:rPr>
          <w:rFonts w:hint="eastAsia" w:ascii="Arial" w:hAnsi="Arial" w:cs="Arial"/>
          <w:sz w:val="22"/>
          <w:lang w:eastAsia="zh-CN"/>
        </w:rPr>
        <w:t>，在</w:t>
      </w:r>
      <w:r>
        <w:rPr>
          <w:rFonts w:ascii="Arial" w:hAnsi="Arial" w:cs="Arial"/>
          <w:sz w:val="22"/>
        </w:rPr>
        <w:t>肥料登记证有效期满后不予续展，并通过县或乡镇农业推广站、土肥站、植保站、农民培训学校等机构对农户提供培训和技术指导。</w:t>
      </w:r>
    </w:p>
    <w:p w14:paraId="098DF59A">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湖南和湖北两省的样本县农业农村局都设有种植业股（约4人）负责化肥减量增效工作，并通过下属机构植保站或土肥站（2</w:t>
      </w:r>
      <w:r>
        <w:rPr>
          <w:rFonts w:hint="eastAsia" w:ascii="Arial" w:hAnsi="Arial" w:cs="Arial"/>
          <w:sz w:val="22"/>
          <w:lang w:eastAsia="zh-CN"/>
        </w:rPr>
        <w:t>—</w:t>
      </w:r>
      <w:r>
        <w:rPr>
          <w:rFonts w:ascii="Arial" w:hAnsi="Arial" w:cs="Arial"/>
          <w:sz w:val="22"/>
        </w:rPr>
        <w:t>24人）开展具体活动</w:t>
      </w:r>
      <w:bookmarkStart w:id="340" w:name="_Toc66694843"/>
      <w:r>
        <w:rPr>
          <w:rFonts w:ascii="Arial" w:hAnsi="Arial" w:cs="Arial"/>
          <w:sz w:val="22"/>
        </w:rPr>
        <w:t>。比如，湖北省洪湖市农业农村局2021年共开展农户施肥调查380个，完成田间肥料试验25个，培训和指导农民及合作社负责人5000多人次；全年化肥使用量比上年减少0.42%。再如，湖南省澧县农业农村局通过发放施肥建议卡、安装湖南省测土配方施肥手机APP等措施，2021年推广测土配方施肥技术230万亩、发展绿肥生产示范7.46万亩、采购196.8万元商品有机肥发放到葡萄等产业基地、举办20多次化肥减量技术培训累计培训人员3000多人次。调查中也发现，个别项目县技术推广应用还有一定难度，需要提供更多的培训，以加强农民对科学施肥的意识和知识。</w:t>
      </w:r>
    </w:p>
    <w:p w14:paraId="2613D443">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61C2D479">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bookmarkStart w:id="341" w:name="_Toc107747438"/>
      <w:bookmarkStart w:id="342" w:name="_Toc105711475"/>
      <w:r>
        <w:rPr>
          <w:rFonts w:ascii="Arial" w:hAnsi="Arial" w:cs="Arial"/>
          <w:sz w:val="22"/>
        </w:rPr>
        <w:tab/>
      </w:r>
      <w:r>
        <w:rPr>
          <w:rFonts w:ascii="Arial" w:hAnsi="Arial" w:cs="Arial"/>
          <w:sz w:val="22"/>
        </w:rPr>
        <w:t>中国以及湖南和湖北两省在化肥管理方面具有完善的法规体系和机构设置，能够持续开展化肥减量增效、防治可能的面源污染，符合世行核心原则要求。</w:t>
      </w:r>
    </w:p>
    <w:p w14:paraId="0A5E0066">
      <w:pPr>
        <w:pStyle w:val="4"/>
        <w:adjustRightInd w:val="0"/>
        <w:snapToGrid w:val="0"/>
        <w:spacing w:before="120" w:after="120" w:line="240" w:lineRule="auto"/>
        <w:rPr>
          <w:rFonts w:ascii="Arial" w:hAnsi="Arial" w:cs="Arial"/>
          <w:color w:val="1F4E79" w:themeColor="accent5" w:themeShade="80"/>
          <w:sz w:val="24"/>
          <w:szCs w:val="24"/>
          <w:lang w:val="en-GB"/>
        </w:rPr>
      </w:pPr>
      <w:bookmarkStart w:id="343" w:name="_Toc119937286"/>
      <w:r>
        <w:rPr>
          <w:rFonts w:ascii="Arial" w:hAnsi="Arial" w:cs="Arial"/>
          <w:color w:val="1F4E79" w:themeColor="accent5" w:themeShade="80"/>
          <w:sz w:val="24"/>
          <w:szCs w:val="24"/>
          <w:lang w:val="en-GB"/>
        </w:rPr>
        <w:t>4.3.2</w:t>
      </w:r>
      <w:r>
        <w:rPr>
          <w:rFonts w:ascii="Arial" w:hAnsi="Arial" w:cs="Arial"/>
          <w:color w:val="1F4E79" w:themeColor="accent5" w:themeShade="80"/>
          <w:sz w:val="24"/>
          <w:szCs w:val="24"/>
          <w:lang w:val="en-GB"/>
        </w:rPr>
        <w:tab/>
      </w:r>
      <w:bookmarkEnd w:id="341"/>
      <w:bookmarkEnd w:id="342"/>
      <w:r>
        <w:rPr>
          <w:rFonts w:ascii="Arial" w:hAnsi="Arial" w:cs="Arial"/>
          <w:color w:val="1F4E79" w:themeColor="accent5" w:themeShade="80"/>
          <w:sz w:val="24"/>
          <w:szCs w:val="24"/>
          <w:lang w:val="en-GB"/>
        </w:rPr>
        <w:t>农药管理</w:t>
      </w:r>
      <w:bookmarkEnd w:id="343"/>
    </w:p>
    <w:p w14:paraId="26E34F2C">
      <w:pPr>
        <w:pStyle w:val="48"/>
        <w:tabs>
          <w:tab w:val="left" w:pos="750"/>
          <w:tab w:val="left" w:pos="890"/>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79611C34">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rPr>
        <w:t>《农药管理条例》</w:t>
      </w:r>
      <w:r>
        <w:rPr>
          <w:rFonts w:hint="eastAsia" w:ascii="Arial" w:hAnsi="Arial" w:cs="Arial"/>
          <w:sz w:val="22"/>
          <w:lang w:eastAsia="zh-CN"/>
        </w:rPr>
        <w:t>（</w:t>
      </w:r>
      <w:r>
        <w:rPr>
          <w:rFonts w:ascii="Arial" w:hAnsi="Arial" w:cs="Arial"/>
          <w:sz w:val="22"/>
        </w:rPr>
        <w:t>2022年修订</w:t>
      </w:r>
      <w:r>
        <w:rPr>
          <w:rFonts w:hint="eastAsia" w:ascii="Arial" w:hAnsi="Arial" w:cs="Arial"/>
          <w:sz w:val="22"/>
          <w:lang w:eastAsia="zh-CN"/>
        </w:rPr>
        <w:t>）</w:t>
      </w:r>
      <w:r>
        <w:rPr>
          <w:rFonts w:ascii="Arial" w:hAnsi="Arial" w:cs="Arial"/>
          <w:sz w:val="22"/>
        </w:rPr>
        <w:t>：规定农药生产企业、农药经营者应当对其生产、 经营的农药的安全性、有效性负责，自觉接受政府监管和社会监督。推广生物防治、物理防治、先进施药器械等措施，逐步减少农药使用量。农药生产和研制实行农药登记制度，农药生产和经营实行许可制度，农药使用者按要求使用农药，农业农村部门定期调查统计农药生产、销售、使用情况。</w:t>
      </w:r>
    </w:p>
    <w:p w14:paraId="1D83F333">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lang w:val="en-GB"/>
        </w:rPr>
        <w:t>《农作物病虫害防治条例》</w:t>
      </w:r>
      <w:r>
        <w:rPr>
          <w:rFonts w:hint="eastAsia" w:ascii="Arial" w:hAnsi="Arial" w:cs="Arial"/>
          <w:sz w:val="22"/>
          <w:lang w:eastAsia="zh-CN"/>
        </w:rPr>
        <w:t>（</w:t>
      </w:r>
      <w:r>
        <w:rPr>
          <w:rFonts w:ascii="Arial" w:hAnsi="Arial" w:cs="Arial"/>
          <w:sz w:val="22"/>
        </w:rPr>
        <w:t>2020年修订</w:t>
      </w:r>
      <w:r>
        <w:rPr>
          <w:rFonts w:hint="eastAsia" w:ascii="Arial" w:hAnsi="Arial" w:cs="Arial"/>
          <w:sz w:val="22"/>
          <w:lang w:eastAsia="zh-CN"/>
        </w:rPr>
        <w:t>）</w:t>
      </w:r>
      <w:r>
        <w:rPr>
          <w:rFonts w:ascii="Arial" w:hAnsi="Arial" w:cs="Arial"/>
          <w:sz w:val="22"/>
        </w:rPr>
        <w:t>：普及应用信息技术、生物技术，推进农作物病虫害防治的智能化、专业化、绿色化。鼓励和支持使用生态治理、健康栽培、生物防治、物理防治等绿色防控技术和先进施药机械以及安全、高效、经济的农药。</w:t>
      </w:r>
    </w:p>
    <w:p w14:paraId="6A15AC30">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此外，其他一些法规规范也包含了农药管理的规定，如《</w:t>
      </w:r>
      <w:r>
        <w:rPr>
          <w:rFonts w:hint="eastAsia" w:ascii="Arial" w:hAnsi="Arial" w:cs="Arial"/>
          <w:sz w:val="22"/>
          <w:lang w:eastAsia="zh-CN"/>
        </w:rPr>
        <w:t>中华人民共和国土壤污染防治法》《中华人民共和国水污染防治法》《中华人民共和国农产品质量安全法》《中华人民共和国食品安全法》《</w:t>
      </w:r>
      <w:r>
        <w:rPr>
          <w:rFonts w:ascii="Arial" w:hAnsi="Arial" w:cs="Arial"/>
          <w:sz w:val="22"/>
        </w:rPr>
        <w:t>农药登记管理办法</w:t>
      </w:r>
      <w:r>
        <w:rPr>
          <w:rFonts w:hint="eastAsia" w:ascii="Arial" w:hAnsi="Arial" w:cs="Arial"/>
          <w:sz w:val="22"/>
          <w:lang w:eastAsia="zh-CN"/>
        </w:rPr>
        <w:t>》《</w:t>
      </w:r>
      <w:r>
        <w:rPr>
          <w:rFonts w:ascii="Arial" w:hAnsi="Arial" w:cs="Arial"/>
          <w:sz w:val="22"/>
        </w:rPr>
        <w:t>农药生产许可管理办法</w:t>
      </w:r>
      <w:r>
        <w:rPr>
          <w:rFonts w:hint="eastAsia" w:ascii="Arial" w:hAnsi="Arial" w:cs="Arial"/>
          <w:sz w:val="22"/>
          <w:lang w:eastAsia="zh-CN"/>
        </w:rPr>
        <w:t>》《</w:t>
      </w:r>
      <w:r>
        <w:rPr>
          <w:rFonts w:ascii="Arial" w:hAnsi="Arial" w:cs="Arial"/>
          <w:sz w:val="22"/>
        </w:rPr>
        <w:t>农药经营许可管理办法</w:t>
      </w:r>
      <w:r>
        <w:rPr>
          <w:rFonts w:hint="eastAsia" w:ascii="Arial" w:hAnsi="Arial" w:cs="Arial"/>
          <w:sz w:val="22"/>
          <w:lang w:eastAsia="zh-CN"/>
        </w:rPr>
        <w:t>》《</w:t>
      </w:r>
      <w:r>
        <w:rPr>
          <w:rFonts w:ascii="Arial" w:hAnsi="Arial" w:cs="Arial"/>
          <w:sz w:val="22"/>
        </w:rPr>
        <w:t>农药安全使用规范</w:t>
      </w:r>
      <w:r>
        <w:rPr>
          <w:rFonts w:hint="eastAsia" w:ascii="Arial" w:hAnsi="Arial" w:cs="Arial"/>
          <w:sz w:val="22"/>
          <w:lang w:eastAsia="zh-CN"/>
        </w:rPr>
        <w:t>》《</w:t>
      </w:r>
      <w:r>
        <w:rPr>
          <w:rFonts w:ascii="Arial" w:hAnsi="Arial" w:cs="Arial"/>
          <w:sz w:val="22"/>
        </w:rPr>
        <w:t xml:space="preserve">农药使用环境安全技术导则》等。同时，农业农村部还定期更新《禁限用农药名录》，动态更新禁止使用和限制使用的农药。这些法律规章都直接或间接地对农药的安全管理提出了要求，构成了农药管理系统的法律框架。同化肥管理类似，中国政府也大力推进农药使用量零增长行动，于2015年出台了《到2020年农药使用量零增长行动方案》，各省先后实现了目标。2022年印发的国家《农业农村污染治理攻坚战行动方案 </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》以及湖南和湖北省级《农业农村污染治理攻坚战实施方案</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》，要求到2025年主要农作物绿色防控覆盖率达到55%、主要粮食作物统防统治覆盖率达到45%以上。</w:t>
      </w:r>
    </w:p>
    <w:p w14:paraId="5C7BA446">
      <w:pPr>
        <w:pStyle w:val="48"/>
        <w:tabs>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0E59EE6B">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农药生产者管理</w:t>
      </w:r>
      <w:r>
        <w:rPr>
          <w:rFonts w:ascii="Arial" w:hAnsi="Arial" w:cs="Arial"/>
          <w:sz w:val="22"/>
        </w:rPr>
        <w:t>：农药生产者应申请农药登记证，载明农药名称、剂型、有效成分及其含量、毒性、使用范围、使用方法和剂量、登记证持有人、登记证号以及有效期等事项。农药生产者还应申请农药生产许可证。农药出厂销售，应当经质量检验合格并附具产品质量检验合格证；农药标签应按规定以中文标注农药的重要信息。农药生产企业应当建立农药出厂销售记录制度，并保存2年以上。农药包装应当符合国家有关规定，并回收农药包装废弃物。</w:t>
      </w:r>
    </w:p>
    <w:p w14:paraId="2B1C424F">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农药经营者管理</w:t>
      </w:r>
      <w:r>
        <w:rPr>
          <w:rFonts w:ascii="Arial" w:hAnsi="Arial" w:cs="Arial"/>
          <w:sz w:val="22"/>
        </w:rPr>
        <w:t>：农药经营者应取得经营许可证，</w:t>
      </w:r>
      <w:r>
        <w:rPr>
          <w:rFonts w:hint="eastAsia" w:ascii="Arial" w:hAnsi="Arial" w:cs="Arial"/>
          <w:sz w:val="22"/>
          <w:lang w:eastAsia="zh-CN"/>
        </w:rPr>
        <w:t>具备</w:t>
      </w:r>
      <w:r>
        <w:rPr>
          <w:rFonts w:ascii="Arial" w:hAnsi="Arial" w:cs="Arial"/>
          <w:sz w:val="22"/>
        </w:rPr>
        <w:t>农学、植保、农药等相关专业中专以上学历或者专业教育培训机构五十六学时以上的学习经历；合适的营业场所和仓储设施；有进货查验、台账记录、安全管理、安全防护、应急处置、仓储管理、农药废弃物回收与处置、使用指导等管理制度和岗位操作规程等。农药经营者不得向未取得农药生产许可证的农药生产企业或者未取得农药经营许可证的其他农药经营者采购农药；不得加工、分装农药。农药经营者应向购买者正确说明农药的使用范围、方法、剂量、技术要求和注意事项；并应当回收农药包装废弃物。</w:t>
      </w:r>
    </w:p>
    <w:p w14:paraId="76289674">
      <w:pPr>
        <w:pStyle w:val="48"/>
        <w:numPr>
          <w:ilvl w:val="0"/>
          <w:numId w:val="5"/>
        </w:numPr>
        <w:tabs>
          <w:tab w:val="left" w:pos="709"/>
        </w:tabs>
        <w:adjustRightInd w:val="0"/>
        <w:snapToGrid w:val="0"/>
        <w:spacing w:before="120" w:after="120"/>
        <w:ind w:left="0" w:firstLine="0" w:firstLineChars="0"/>
        <w:rPr>
          <w:rFonts w:ascii="Arial" w:hAnsi="Arial" w:cs="Arial"/>
          <w:color w:val="000000" w:themeColor="text1"/>
          <w:sz w:val="22"/>
          <w14:textFill>
            <w14:solidFill>
              <w14:schemeClr w14:val="tx1"/>
            </w14:solidFill>
          </w14:textFill>
        </w:rPr>
      </w:pPr>
      <w:r>
        <w:rPr>
          <w:rFonts w:ascii="Arial" w:hAnsi="Arial" w:cs="Arial"/>
          <w:b/>
          <w:bCs/>
          <w:color w:val="000000" w:themeColor="text1"/>
          <w:sz w:val="22"/>
          <w14:textFill>
            <w14:solidFill>
              <w14:schemeClr w14:val="tx1"/>
            </w14:solidFill>
          </w14:textFill>
        </w:rPr>
        <w:tab/>
      </w:r>
      <w:r>
        <w:rPr>
          <w:rFonts w:ascii="Arial" w:hAnsi="Arial" w:cs="Arial"/>
          <w:b/>
          <w:bCs/>
          <w:color w:val="000000" w:themeColor="text1"/>
          <w:sz w:val="22"/>
          <w14:textFill>
            <w14:solidFill>
              <w14:schemeClr w14:val="tx1"/>
            </w14:solidFill>
          </w14:textFill>
        </w:rPr>
        <w:t>农药使用者管理</w:t>
      </w:r>
      <w:r>
        <w:rPr>
          <w:rFonts w:ascii="Arial" w:hAnsi="Arial" w:cs="Arial"/>
          <w:color w:val="000000" w:themeColor="text1"/>
          <w:sz w:val="22"/>
          <w14:textFill>
            <w14:solidFill>
              <w14:schemeClr w14:val="tx1"/>
            </w14:solidFill>
          </w14:textFill>
        </w:rPr>
        <w:tab/>
      </w:r>
      <w:r>
        <w:rPr>
          <w:rFonts w:ascii="Arial" w:hAnsi="Arial" w:cs="Arial"/>
          <w:color w:val="000000" w:themeColor="text1"/>
          <w:sz w:val="22"/>
          <w14:textFill>
            <w14:solidFill>
              <w14:schemeClr w14:val="tx1"/>
            </w14:solidFill>
          </w14:textFill>
        </w:rPr>
        <w:t>：农药使用者应当严格按照农药的标签标注的使用范围、使用方法和剂量、使用技术要求和注意事项使用农药，不得扩大使用范围、加大用药剂量或者改变使用方法。农药使用者不得使用禁用的农药；不得在饮用水水源保护区内使用农药，不得在饮用水水源保护区、河道内丢弃农药、农药包装物或者清洗施药器械。</w:t>
      </w:r>
    </w:p>
    <w:p w14:paraId="0E20E478">
      <w:pPr>
        <w:pStyle w:val="48"/>
        <w:numPr>
          <w:ilvl w:val="0"/>
          <w:numId w:val="5"/>
        </w:numPr>
        <w:tabs>
          <w:tab w:val="left" w:pos="709"/>
        </w:tabs>
        <w:adjustRightInd w:val="0"/>
        <w:snapToGrid w:val="0"/>
        <w:spacing w:before="120" w:after="120"/>
        <w:ind w:left="0" w:firstLine="0" w:firstLineChars="0"/>
        <w:jc w:val="both"/>
        <w:rPr>
          <w:rFonts w:ascii="Arial" w:hAnsi="Arial" w:cs="Arial"/>
          <w:color w:val="333333"/>
          <w:sz w:val="22"/>
          <w:lang w:val="en-GB"/>
        </w:rPr>
      </w:pPr>
      <w:r>
        <w:rPr>
          <w:rFonts w:ascii="Arial" w:hAnsi="Arial" w:cs="Arial"/>
          <w:sz w:val="22"/>
        </w:rPr>
        <w:tab/>
      </w:r>
      <w:r>
        <w:rPr>
          <w:rFonts w:ascii="Arial" w:hAnsi="Arial" w:cs="Arial"/>
          <w:b/>
          <w:bCs/>
          <w:sz w:val="22"/>
        </w:rPr>
        <w:t>农药减量管理</w:t>
      </w:r>
      <w:r>
        <w:rPr>
          <w:rFonts w:ascii="Arial" w:hAnsi="Arial" w:cs="Arial"/>
          <w:sz w:val="22"/>
        </w:rPr>
        <w:t>：</w:t>
      </w:r>
      <w:r>
        <w:rPr>
          <w:rFonts w:hint="eastAsia" w:ascii="Arial" w:hAnsi="Arial" w:cs="Arial"/>
          <w:sz w:val="22"/>
          <w:lang w:eastAsia="zh-CN"/>
        </w:rPr>
        <w:t>（</w:t>
      </w:r>
      <w:r>
        <w:rPr>
          <w:rFonts w:ascii="Arial" w:hAnsi="Arial" w:cs="Arial"/>
          <w:sz w:val="22"/>
        </w:rPr>
        <w:t>1</w:t>
      </w:r>
      <w:r>
        <w:rPr>
          <w:rFonts w:hint="eastAsia" w:ascii="Arial" w:hAnsi="Arial" w:cs="Arial"/>
          <w:sz w:val="22"/>
          <w:lang w:eastAsia="zh-CN"/>
        </w:rPr>
        <w:t>）</w:t>
      </w:r>
      <w:r>
        <w:rPr>
          <w:rFonts w:ascii="Arial" w:hAnsi="Arial" w:cs="Arial"/>
          <w:sz w:val="22"/>
        </w:rPr>
        <w:t xml:space="preserve"> 技术进步：如</w:t>
      </w:r>
      <w:r>
        <w:rPr>
          <w:rFonts w:hint="eastAsia" w:ascii="Arial" w:hAnsi="Arial" w:cs="Arial"/>
          <w:sz w:val="22"/>
          <w:lang w:eastAsia="zh-CN"/>
        </w:rPr>
        <w:t>采用</w:t>
      </w:r>
      <w:r>
        <w:rPr>
          <w:rFonts w:ascii="Arial" w:hAnsi="Arial" w:cs="Arial"/>
          <w:sz w:val="22"/>
        </w:rPr>
        <w:t>无人机植保作业提高农药利用率；</w:t>
      </w:r>
      <w:r>
        <w:rPr>
          <w:rFonts w:hint="eastAsia" w:ascii="Arial" w:hAnsi="Arial" w:cs="Arial"/>
          <w:sz w:val="22"/>
          <w:lang w:eastAsia="zh-CN"/>
        </w:rPr>
        <w:t>（</w:t>
      </w:r>
      <w:r>
        <w:rPr>
          <w:rFonts w:ascii="Arial" w:hAnsi="Arial" w:cs="Arial"/>
          <w:sz w:val="22"/>
        </w:rPr>
        <w:t>2</w:t>
      </w:r>
      <w:r>
        <w:rPr>
          <w:rFonts w:hint="eastAsia" w:ascii="Arial" w:hAnsi="Arial" w:cs="Arial"/>
          <w:sz w:val="22"/>
          <w:lang w:eastAsia="zh-CN"/>
        </w:rPr>
        <w:t>）</w:t>
      </w:r>
      <w:r>
        <w:rPr>
          <w:rFonts w:ascii="Arial" w:hAnsi="Arial" w:cs="Arial"/>
          <w:sz w:val="22"/>
        </w:rPr>
        <w:t xml:space="preserve"> 选择合格农药：农业农村部门推荐使用高效低毒低残留农药；</w:t>
      </w:r>
      <w:r>
        <w:rPr>
          <w:rFonts w:hint="eastAsia" w:ascii="Arial" w:hAnsi="Arial" w:cs="Arial"/>
          <w:sz w:val="22"/>
          <w:lang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绿色防控：包括农业防治（如翻耕等农艺措施）、生态调控（如土壤改良、田间杂草清理）、理化诱控（如杀虫灯、色诱剂、食诱剂、性诱剂、防虫网、</w:t>
      </w:r>
      <w:r>
        <w:rPr>
          <w:rFonts w:hint="eastAsia" w:ascii="Arial" w:hAnsi="Arial" w:cs="Arial"/>
          <w:sz w:val="22"/>
          <w:lang w:eastAsia="zh-CN"/>
        </w:rPr>
        <w:t>黏虫板</w:t>
      </w:r>
      <w:r>
        <w:rPr>
          <w:rFonts w:ascii="Arial" w:hAnsi="Arial" w:cs="Arial"/>
          <w:sz w:val="22"/>
        </w:rPr>
        <w:t>）、生物防控（如蚜虫天敌瓢虫、微生物等生物农药）、科学用药技术（如不超范围施用农药）；</w:t>
      </w:r>
      <w:r>
        <w:rPr>
          <w:rFonts w:hint="eastAsia" w:ascii="Arial" w:hAnsi="Arial" w:cs="Arial"/>
          <w:sz w:val="22"/>
          <w:lang w:eastAsia="zh-CN"/>
        </w:rPr>
        <w:t>（</w:t>
      </w:r>
      <w:r>
        <w:rPr>
          <w:rFonts w:ascii="Arial" w:hAnsi="Arial" w:cs="Arial"/>
          <w:sz w:val="22"/>
        </w:rPr>
        <w:t>4</w:t>
      </w:r>
      <w:r>
        <w:rPr>
          <w:rFonts w:hint="eastAsia" w:ascii="Arial" w:hAnsi="Arial" w:cs="Arial"/>
          <w:sz w:val="22"/>
          <w:lang w:eastAsia="zh-CN"/>
        </w:rPr>
        <w:t>）</w:t>
      </w:r>
      <w:r>
        <w:rPr>
          <w:rFonts w:ascii="Arial" w:hAnsi="Arial" w:cs="Arial"/>
          <w:sz w:val="22"/>
        </w:rPr>
        <w:t xml:space="preserve"> 完善组织模式：如病虫害统防统治、第三方专业服务等。</w:t>
      </w:r>
    </w:p>
    <w:p w14:paraId="1EE97AAE">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7E1429B1">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农业农村部门负责对农药的生产、经营和使用进行监督管理。农药登记证由省级农业农村部门预审、由国务院农业农村部门审查和核发；农药生产许可证由省级农业农村部门审批；农药经营许可证由县级以上农业农村部门审批。</w:t>
      </w:r>
    </w:p>
    <w:p w14:paraId="66906C40">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湖南和湖北两省县级农业农村局的种植业股（3</w:t>
      </w:r>
      <w:r>
        <w:rPr>
          <w:rFonts w:hint="eastAsia" w:ascii="Arial" w:hAnsi="Arial" w:cs="Arial"/>
          <w:sz w:val="22"/>
          <w:lang w:eastAsia="zh-CN"/>
        </w:rPr>
        <w:t>—</w:t>
      </w:r>
      <w:r>
        <w:rPr>
          <w:rFonts w:ascii="Arial" w:hAnsi="Arial" w:cs="Arial"/>
          <w:sz w:val="22"/>
        </w:rPr>
        <w:t>5人）总体负责辖区内农药生产、经营和质量监督，农药安全管理以及病虫害防治；下设的农业综合执法大队（20名左右）负责对农药经营者的许可证、农药质量和安全管理进行监督检查；农业技术推广站、植保站、农培站等机构负责开展病虫害预测和防治具体工作，并向农药使用者提供农药安全使用方面的技术服务和培训。</w:t>
      </w:r>
    </w:p>
    <w:p w14:paraId="4D95C451">
      <w:pPr>
        <w:pStyle w:val="48"/>
        <w:numPr>
          <w:ilvl w:val="0"/>
          <w:numId w:val="5"/>
        </w:numPr>
        <w:tabs>
          <w:tab w:val="left" w:pos="290"/>
        </w:tabs>
        <w:adjustRightInd w:val="0"/>
        <w:snapToGrid w:val="0"/>
        <w:spacing w:before="120" w:after="120"/>
        <w:ind w:left="0" w:firstLine="0" w:firstLineChars="0"/>
        <w:jc w:val="both"/>
        <w:rPr>
          <w:rFonts w:ascii="Arial" w:hAnsi="Arial" w:cs="Arial"/>
          <w:sz w:val="22"/>
        </w:rPr>
      </w:pPr>
      <w:r>
        <w:rPr>
          <w:rFonts w:ascii="Arial" w:hAnsi="Arial" w:cs="Arial"/>
          <w:sz w:val="22"/>
        </w:rPr>
        <w:t>例如，湖北省洪湖市农业农村局2021年准确发布小麦、油菜、水稻病虫预报10期，为农民及时科学防治病虫害提供了科学依据，减少了盲目用药现象；投资80万元购买生物药剂及高效低毒药剂7吨，发放到螺山、燕窝等6个乡镇；建立2个绿色防控示范区，全市绿色防控覆盖率提高3%，种植业农药使用量零增长。湖南省慈利县2021年针对柑桔、玉米、水稻、油菜等病虫害发布电视预报4期；创办了7个县级绿色防控示范区，均采用太阳能杀虫灯、性诱剂、食饵诱剂、诱蝇球、高效低毒化学药剂防治等绿色防控技术；举办各类培训班13场次，培训人员800余人次；农药使用量比上一年减少了1.048%。</w:t>
      </w:r>
    </w:p>
    <w:p w14:paraId="059934F1">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6190A909">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中国以及湖南和湖北两省在病虫害绿色防控和农药安全管理上具备健康的法规框架、适当的机构设置、人员安排和资金保障，取得的实效也比较显著，可以为本项目活动相关的农药安全管理提供保障，符合世行核心原则的要求。</w:t>
      </w:r>
    </w:p>
    <w:p w14:paraId="05B1B3E9">
      <w:pPr>
        <w:pStyle w:val="4"/>
        <w:adjustRightInd w:val="0"/>
        <w:snapToGrid w:val="0"/>
        <w:spacing w:before="120" w:after="120" w:line="240" w:lineRule="auto"/>
        <w:rPr>
          <w:rFonts w:ascii="Arial" w:hAnsi="Arial" w:cs="Arial"/>
          <w:color w:val="1F4E79" w:themeColor="accent5" w:themeShade="80"/>
          <w:sz w:val="24"/>
          <w:szCs w:val="24"/>
          <w:lang w:val="en-GB"/>
        </w:rPr>
      </w:pPr>
      <w:bookmarkStart w:id="344" w:name="_Toc119937287"/>
      <w:r>
        <w:rPr>
          <w:rFonts w:ascii="Arial" w:hAnsi="Arial" w:cs="Arial"/>
          <w:color w:val="1F4E79" w:themeColor="accent5" w:themeShade="80"/>
          <w:sz w:val="24"/>
          <w:szCs w:val="24"/>
          <w:lang w:val="en-GB"/>
        </w:rPr>
        <w:t>4.3.3</w:t>
      </w:r>
      <w:r>
        <w:rPr>
          <w:rFonts w:ascii="Arial" w:hAnsi="Arial" w:cs="Arial"/>
          <w:color w:val="1F4E79" w:themeColor="accent5" w:themeShade="80"/>
          <w:sz w:val="24"/>
          <w:szCs w:val="24"/>
          <w:lang w:val="en-GB"/>
        </w:rPr>
        <w:tab/>
      </w:r>
      <w:r>
        <w:rPr>
          <w:rFonts w:ascii="Arial" w:hAnsi="Arial" w:cs="Arial"/>
          <w:color w:val="1F4E79" w:themeColor="accent5" w:themeShade="80"/>
          <w:sz w:val="24"/>
          <w:szCs w:val="24"/>
          <w:lang w:val="en-GB"/>
        </w:rPr>
        <w:t>畜禽养殖污染防治</w:t>
      </w:r>
      <w:bookmarkEnd w:id="344"/>
    </w:p>
    <w:p w14:paraId="44811C4B">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28274F60">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w:t>
      </w:r>
      <w:r>
        <w:rPr>
          <w:rFonts w:hint="eastAsia" w:ascii="Arial" w:hAnsi="Arial" w:cs="Arial"/>
          <w:b/>
          <w:bCs/>
          <w:sz w:val="22"/>
          <w:lang w:eastAsia="zh-CN"/>
        </w:rPr>
        <w:t>中华人民共和国畜牧法</w:t>
      </w:r>
      <w:r>
        <w:rPr>
          <w:rFonts w:ascii="Arial" w:hAnsi="Arial" w:cs="Arial"/>
          <w:b/>
          <w:bCs/>
          <w:sz w:val="22"/>
        </w:rPr>
        <w:t>》</w:t>
      </w:r>
      <w:r>
        <w:rPr>
          <w:rFonts w:hint="eastAsia" w:ascii="Arial" w:hAnsi="Arial" w:cs="Arial"/>
          <w:sz w:val="22"/>
          <w:lang w:val="en-GB" w:eastAsia="zh-CN"/>
        </w:rPr>
        <w:t>（</w:t>
      </w:r>
      <w:r>
        <w:rPr>
          <w:rFonts w:ascii="Arial" w:hAnsi="Arial" w:cs="Arial"/>
          <w:sz w:val="22"/>
        </w:rPr>
        <w:t>2015年</w:t>
      </w:r>
      <w:r>
        <w:rPr>
          <w:rFonts w:hint="eastAsia" w:ascii="Arial" w:hAnsi="Arial" w:cs="Arial"/>
          <w:sz w:val="22"/>
          <w:lang w:eastAsia="zh-CN"/>
        </w:rPr>
        <w:t>）</w:t>
      </w:r>
      <w:r>
        <w:rPr>
          <w:rFonts w:ascii="Arial" w:hAnsi="Arial" w:cs="Arial"/>
          <w:sz w:val="22"/>
        </w:rPr>
        <w:t>：畜禽养殖场、养殖小区应当有对畜禽粪便、废水和其他废弃物进行综合利用的无害化处理设施；违法排放废弃物，造成环境污染危害的，应当排除危害，依法赔偿损失。</w:t>
      </w:r>
    </w:p>
    <w:p w14:paraId="071CDF75">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《畜禽规模养殖污染防治条例》</w:t>
      </w:r>
      <w:r>
        <w:rPr>
          <w:rFonts w:hint="eastAsia" w:ascii="Arial" w:hAnsi="Arial" w:cs="Arial"/>
          <w:sz w:val="22"/>
          <w:lang w:val="en-GB" w:eastAsia="zh-CN"/>
        </w:rPr>
        <w:t>（</w:t>
      </w:r>
      <w:r>
        <w:rPr>
          <w:rFonts w:ascii="Arial" w:hAnsi="Arial" w:cs="Arial"/>
          <w:sz w:val="22"/>
        </w:rPr>
        <w:t>2013年</w:t>
      </w:r>
      <w:r>
        <w:rPr>
          <w:rFonts w:hint="eastAsia" w:ascii="Arial" w:hAnsi="Arial" w:cs="Arial"/>
          <w:sz w:val="22"/>
          <w:lang w:eastAsia="zh-CN"/>
        </w:rPr>
        <w:t>）</w:t>
      </w:r>
      <w:r>
        <w:rPr>
          <w:rFonts w:ascii="Arial" w:hAnsi="Arial" w:cs="Arial"/>
          <w:sz w:val="22"/>
        </w:rPr>
        <w:t>：畜牧业发展规划应当统筹考虑环境承载能力以及畜禽养殖污染防治要求，科学确定畜禽养殖的品种、规模、总量。鼓励和支持采取粪肥还田、制取沼气、制造有机肥等方法，对畜禽养殖废弃物进行综合利用。</w:t>
      </w:r>
    </w:p>
    <w:p w14:paraId="79B54D3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《畜禽养殖业污染防治技术政策》</w:t>
      </w:r>
      <w:r>
        <w:rPr>
          <w:rFonts w:hint="eastAsia" w:ascii="Arial" w:hAnsi="Arial" w:cs="Arial"/>
          <w:sz w:val="22"/>
          <w:lang w:val="en-GB" w:eastAsia="zh-CN"/>
        </w:rPr>
        <w:t>（</w:t>
      </w:r>
      <w:r>
        <w:rPr>
          <w:rFonts w:ascii="Arial" w:hAnsi="Arial" w:cs="Arial"/>
          <w:sz w:val="22"/>
        </w:rPr>
        <w:t>2010年</w:t>
      </w:r>
      <w:r>
        <w:rPr>
          <w:rFonts w:hint="eastAsia" w:ascii="Arial" w:hAnsi="Arial" w:cs="Arial"/>
          <w:sz w:val="22"/>
          <w:lang w:eastAsia="zh-CN"/>
        </w:rPr>
        <w:t>）</w:t>
      </w:r>
      <w:r>
        <w:rPr>
          <w:rFonts w:ascii="Arial" w:hAnsi="Arial" w:cs="Arial"/>
          <w:sz w:val="22"/>
        </w:rPr>
        <w:t>：规定了畜禽粪污治理“源头削减、清洁生产、资源化综合利用，防止二次污染”的总体原则。</w:t>
      </w:r>
    </w:p>
    <w:p w14:paraId="3B601C49">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《畜禽粪便无害化处理技术规范》</w:t>
      </w:r>
      <w:r>
        <w:rPr>
          <w:rFonts w:hint="eastAsia" w:ascii="Arial" w:hAnsi="Arial" w:cs="Arial"/>
          <w:sz w:val="22"/>
          <w:lang w:eastAsia="zh-CN"/>
        </w:rPr>
        <w:t>（</w:t>
      </w:r>
      <w:r>
        <w:rPr>
          <w:rFonts w:ascii="Arial" w:hAnsi="Arial" w:cs="Arial"/>
          <w:sz w:val="22"/>
        </w:rPr>
        <w:t>GBT36195</w:t>
      </w:r>
      <w:r>
        <w:rPr>
          <w:rFonts w:hint="eastAsia" w:ascii="Arial" w:hAnsi="Arial" w:cs="Arial"/>
          <w:sz w:val="22"/>
          <w:lang w:eastAsia="zh-CN"/>
        </w:rPr>
        <w:t>—</w:t>
      </w:r>
      <w:r>
        <w:rPr>
          <w:rFonts w:ascii="Arial" w:hAnsi="Arial" w:cs="Arial"/>
          <w:sz w:val="22"/>
        </w:rPr>
        <w:t>2018</w:t>
      </w:r>
      <w:r>
        <w:rPr>
          <w:rFonts w:hint="eastAsia" w:ascii="Arial" w:hAnsi="Arial" w:cs="Arial"/>
          <w:sz w:val="22"/>
          <w:lang w:eastAsia="zh-CN"/>
        </w:rPr>
        <w:t>）</w:t>
      </w:r>
      <w:r>
        <w:rPr>
          <w:rFonts w:ascii="Arial" w:hAnsi="Arial" w:cs="Arial"/>
          <w:sz w:val="22"/>
        </w:rPr>
        <w:t>：规定了畜禽养殖场、养殖小区场区布局、粪便贮存、污水处理、固体粪肥处理利用、饲养管理、病死动物处理、污染物监测等技术要求。</w:t>
      </w:r>
    </w:p>
    <w:p w14:paraId="7129E62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此外，国家以及湖南和湖北省还出台了其他相关的政策、规范和标准，如《关于进一步明确畜禽粪污还田利用要求强化养殖污染监管的通知》</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、《畜禽粪便堆肥技术规范》</w:t>
      </w:r>
      <w:r>
        <w:rPr>
          <w:rFonts w:hint="eastAsia" w:ascii="Arial" w:hAnsi="Arial" w:cs="Arial"/>
          <w:sz w:val="22"/>
          <w:lang w:eastAsia="zh-CN"/>
        </w:rPr>
        <w:t>（</w:t>
      </w:r>
      <w:r>
        <w:rPr>
          <w:rFonts w:ascii="Arial" w:hAnsi="Arial" w:cs="Arial"/>
          <w:sz w:val="22"/>
        </w:rPr>
        <w:t>NY/T3442</w:t>
      </w:r>
      <w:r>
        <w:rPr>
          <w:rFonts w:hint="eastAsia" w:ascii="Arial" w:hAnsi="Arial" w:cs="Arial"/>
          <w:sz w:val="22"/>
          <w:lang w:eastAsia="zh-CN"/>
        </w:rPr>
        <w:t>—</w:t>
      </w:r>
      <w:r>
        <w:rPr>
          <w:rFonts w:ascii="Arial" w:hAnsi="Arial" w:cs="Arial"/>
          <w:sz w:val="22"/>
        </w:rPr>
        <w:t>2019</w:t>
      </w:r>
      <w:r>
        <w:rPr>
          <w:rFonts w:hint="eastAsia" w:ascii="Arial" w:hAnsi="Arial" w:cs="Arial"/>
          <w:sz w:val="22"/>
          <w:lang w:eastAsia="zh-CN"/>
        </w:rPr>
        <w:t>）</w:t>
      </w:r>
      <w:r>
        <w:rPr>
          <w:rFonts w:ascii="Arial" w:hAnsi="Arial" w:cs="Arial"/>
          <w:sz w:val="22"/>
        </w:rPr>
        <w:t>、《畜禽粪便还田技术规范》</w:t>
      </w:r>
      <w:r>
        <w:rPr>
          <w:rFonts w:hint="eastAsia" w:ascii="Arial" w:hAnsi="Arial" w:cs="Arial"/>
          <w:sz w:val="22"/>
          <w:lang w:eastAsia="zh-CN"/>
        </w:rPr>
        <w:t>（</w:t>
      </w:r>
      <w:r>
        <w:rPr>
          <w:rFonts w:ascii="Arial" w:hAnsi="Arial" w:cs="Arial"/>
          <w:sz w:val="22"/>
        </w:rPr>
        <w:t>GBT25246</w:t>
      </w:r>
      <w:r>
        <w:rPr>
          <w:rFonts w:hint="eastAsia" w:ascii="Arial" w:hAnsi="Arial" w:cs="Arial"/>
          <w:sz w:val="22"/>
          <w:lang w:eastAsia="zh-CN"/>
        </w:rPr>
        <w:t>—</w:t>
      </w:r>
      <w:r>
        <w:rPr>
          <w:rFonts w:ascii="Arial" w:hAnsi="Arial" w:cs="Arial"/>
          <w:sz w:val="22"/>
        </w:rPr>
        <w:t>2010</w:t>
      </w:r>
      <w:r>
        <w:rPr>
          <w:rFonts w:hint="eastAsia" w:ascii="Arial" w:hAnsi="Arial" w:cs="Arial"/>
          <w:sz w:val="22"/>
          <w:lang w:eastAsia="zh-CN"/>
        </w:rPr>
        <w:t>）</w:t>
      </w:r>
      <w:r>
        <w:rPr>
          <w:rFonts w:ascii="Arial" w:hAnsi="Arial" w:cs="Arial"/>
          <w:sz w:val="22"/>
        </w:rPr>
        <w:t>、《畜禽养殖业污染治理工程技术规范》</w:t>
      </w:r>
      <w:r>
        <w:rPr>
          <w:rFonts w:hint="eastAsia" w:ascii="Arial" w:hAnsi="Arial" w:cs="Arial"/>
          <w:sz w:val="22"/>
          <w:lang w:eastAsia="zh-CN"/>
        </w:rPr>
        <w:t>（</w:t>
      </w:r>
      <w:r>
        <w:rPr>
          <w:rFonts w:ascii="Arial" w:hAnsi="Arial" w:cs="Arial"/>
          <w:sz w:val="22"/>
        </w:rPr>
        <w:t>HJ497</w:t>
      </w:r>
      <w:r>
        <w:rPr>
          <w:rFonts w:hint="eastAsia" w:ascii="Arial" w:hAnsi="Arial" w:cs="Arial"/>
          <w:sz w:val="22"/>
          <w:lang w:eastAsia="zh-CN"/>
        </w:rPr>
        <w:t>—</w:t>
      </w:r>
      <w:r>
        <w:rPr>
          <w:rFonts w:ascii="Arial" w:hAnsi="Arial" w:cs="Arial"/>
          <w:sz w:val="22"/>
        </w:rPr>
        <w:t>2009</w:t>
      </w:r>
      <w:r>
        <w:rPr>
          <w:rFonts w:hint="eastAsia" w:ascii="Arial" w:hAnsi="Arial" w:cs="Arial"/>
          <w:sz w:val="22"/>
          <w:lang w:eastAsia="zh-CN"/>
        </w:rPr>
        <w:t>）</w:t>
      </w:r>
      <w:r>
        <w:rPr>
          <w:rFonts w:ascii="Arial" w:hAnsi="Arial" w:cs="Arial"/>
          <w:sz w:val="22"/>
        </w:rPr>
        <w:t>、《畜禽养殖业污染物排放标准》</w:t>
      </w:r>
      <w:r>
        <w:rPr>
          <w:rFonts w:hint="eastAsia" w:ascii="Arial" w:hAnsi="Arial" w:cs="Arial"/>
          <w:sz w:val="22"/>
          <w:lang w:eastAsia="zh-CN"/>
        </w:rPr>
        <w:t>（</w:t>
      </w:r>
      <w:r>
        <w:rPr>
          <w:rFonts w:ascii="Arial" w:hAnsi="Arial" w:cs="Arial"/>
          <w:sz w:val="22"/>
        </w:rPr>
        <w:t>GB18596</w:t>
      </w:r>
      <w:r>
        <w:rPr>
          <w:rFonts w:hint="eastAsia" w:ascii="Arial" w:hAnsi="Arial" w:cs="Arial"/>
          <w:sz w:val="22"/>
          <w:lang w:eastAsia="zh-CN"/>
        </w:rPr>
        <w:t>—</w:t>
      </w:r>
      <w:r>
        <w:rPr>
          <w:rFonts w:ascii="Arial" w:hAnsi="Arial" w:cs="Arial"/>
          <w:sz w:val="22"/>
        </w:rPr>
        <w:t>2001</w:t>
      </w:r>
      <w:r>
        <w:rPr>
          <w:rFonts w:hint="eastAsia" w:ascii="Arial" w:hAnsi="Arial" w:cs="Arial"/>
          <w:sz w:val="22"/>
          <w:lang w:eastAsia="zh-CN"/>
        </w:rPr>
        <w:t>）</w:t>
      </w:r>
      <w:r>
        <w:rPr>
          <w:rFonts w:ascii="Arial" w:hAnsi="Arial" w:cs="Arial"/>
          <w:sz w:val="22"/>
        </w:rPr>
        <w:t>、《畜禽粪污土地承载力测算技术指南》</w:t>
      </w:r>
      <w:r>
        <w:rPr>
          <w:rFonts w:hint="eastAsia" w:ascii="Arial" w:hAnsi="Arial" w:cs="Arial"/>
          <w:sz w:val="22"/>
          <w:lang w:val="en-GB" w:eastAsia="zh-CN"/>
        </w:rPr>
        <w:t>（</w:t>
      </w:r>
      <w:r>
        <w:rPr>
          <w:rFonts w:ascii="Arial" w:hAnsi="Arial" w:cs="Arial"/>
          <w:sz w:val="22"/>
          <w:lang w:val="en-GB"/>
        </w:rPr>
        <w:t>2018年</w:t>
      </w:r>
      <w:r>
        <w:rPr>
          <w:rFonts w:hint="eastAsia" w:ascii="Arial" w:hAnsi="Arial" w:cs="Arial"/>
          <w:sz w:val="22"/>
          <w:lang w:val="en-GB" w:eastAsia="zh-CN"/>
        </w:rPr>
        <w:t>）</w:t>
      </w:r>
      <w:r>
        <w:rPr>
          <w:rFonts w:ascii="Arial" w:hAnsi="Arial" w:cs="Arial"/>
          <w:sz w:val="22"/>
          <w:lang w:val="en-GB"/>
        </w:rPr>
        <w:t>、《湖北省畜禽养殖</w:t>
      </w:r>
      <w:r>
        <w:rPr>
          <w:rFonts w:ascii="Arial" w:hAnsi="Arial" w:cs="Arial"/>
          <w:sz w:val="22"/>
        </w:rPr>
        <w:t>废弃物资源化利用工作方案》</w:t>
      </w:r>
      <w:r>
        <w:rPr>
          <w:rFonts w:hint="eastAsia" w:ascii="Arial" w:hAnsi="Arial" w:cs="Arial"/>
          <w:sz w:val="22"/>
          <w:lang w:eastAsia="zh-CN"/>
        </w:rPr>
        <w:t>（</w:t>
      </w:r>
      <w:r>
        <w:rPr>
          <w:rFonts w:ascii="Arial" w:hAnsi="Arial" w:cs="Arial"/>
          <w:sz w:val="22"/>
        </w:rPr>
        <w:t>2017年</w:t>
      </w:r>
      <w:r>
        <w:rPr>
          <w:rFonts w:hint="eastAsia" w:ascii="Arial" w:hAnsi="Arial" w:cs="Arial"/>
          <w:sz w:val="22"/>
          <w:lang w:eastAsia="zh-CN"/>
        </w:rPr>
        <w:t>）</w:t>
      </w:r>
      <w:r>
        <w:rPr>
          <w:rFonts w:ascii="Arial" w:hAnsi="Arial" w:cs="Arial"/>
          <w:sz w:val="22"/>
        </w:rPr>
        <w:t>、《湖北省畜禽规模养殖场备案管理办法》</w:t>
      </w:r>
      <w:r>
        <w:rPr>
          <w:rFonts w:hint="eastAsia" w:ascii="Arial" w:hAnsi="Arial" w:cs="Arial"/>
          <w:sz w:val="22"/>
          <w:lang w:eastAsia="zh-CN"/>
        </w:rPr>
        <w:t>（</w:t>
      </w:r>
      <w:r>
        <w:rPr>
          <w:rFonts w:ascii="Arial" w:hAnsi="Arial" w:cs="Arial"/>
          <w:sz w:val="22"/>
        </w:rPr>
        <w:t>2015年</w:t>
      </w:r>
      <w:r>
        <w:rPr>
          <w:rFonts w:hint="eastAsia" w:ascii="Arial" w:hAnsi="Arial" w:cs="Arial"/>
          <w:sz w:val="22"/>
          <w:lang w:eastAsia="zh-CN"/>
        </w:rPr>
        <w:t>）</w:t>
      </w:r>
      <w:r>
        <w:rPr>
          <w:rFonts w:ascii="Arial" w:hAnsi="Arial" w:cs="Arial"/>
          <w:sz w:val="22"/>
        </w:rPr>
        <w:t>、《湖南省畜禽规模养殖污染防治规定》</w:t>
      </w:r>
      <w:r>
        <w:rPr>
          <w:rFonts w:hint="eastAsia" w:ascii="Arial" w:hAnsi="Arial" w:cs="Arial"/>
          <w:sz w:val="22"/>
          <w:lang w:eastAsia="zh-CN"/>
        </w:rPr>
        <w:t>（</w:t>
      </w:r>
      <w:r>
        <w:rPr>
          <w:rFonts w:ascii="Arial" w:hAnsi="Arial" w:cs="Arial"/>
          <w:sz w:val="22"/>
        </w:rPr>
        <w:t>2022年</w:t>
      </w:r>
      <w:r>
        <w:rPr>
          <w:rFonts w:hint="eastAsia" w:ascii="Arial" w:hAnsi="Arial" w:cs="Arial"/>
          <w:sz w:val="22"/>
          <w:lang w:eastAsia="zh-CN"/>
        </w:rPr>
        <w:t>）</w:t>
      </w:r>
      <w:r>
        <w:rPr>
          <w:rFonts w:ascii="Arial" w:hAnsi="Arial" w:cs="Arial"/>
          <w:sz w:val="22"/>
        </w:rPr>
        <w:t>、《湖南省畜禽养殖污染防治规划（2021年</w:t>
      </w:r>
      <w:r>
        <w:rPr>
          <w:rFonts w:hint="eastAsia" w:ascii="Arial" w:hAnsi="Arial" w:cs="Arial"/>
          <w:sz w:val="22"/>
          <w:lang w:eastAsia="zh-CN"/>
        </w:rPr>
        <w:t>—</w:t>
      </w:r>
      <w:r>
        <w:rPr>
          <w:rFonts w:ascii="Arial" w:hAnsi="Arial" w:cs="Arial"/>
          <w:sz w:val="22"/>
        </w:rPr>
        <w:t>2025年）》等。</w:t>
      </w:r>
    </w:p>
    <w:p w14:paraId="6F701507">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39E38EE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污染预防</w:t>
      </w:r>
      <w:r>
        <w:rPr>
          <w:rFonts w:ascii="Arial" w:hAnsi="Arial" w:cs="Arial"/>
          <w:sz w:val="22"/>
        </w:rPr>
        <w:t>：</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编制当地畜禽养殖污染防治规划；</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划分禁养区、限养区、适养区</w:t>
      </w:r>
      <w:r>
        <w:rPr>
          <w:rFonts w:ascii="Arial" w:hAnsi="Arial" w:cs="Arial"/>
          <w:sz w:val="22"/>
        </w:rPr>
        <w:t>；</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新改扩建畜禽养殖场应符合相关规划要求，并开展环评或办理环境影响登记</w:t>
      </w:r>
      <w:r>
        <w:rPr>
          <w:rFonts w:ascii="Arial" w:hAnsi="Arial" w:cs="Arial"/>
          <w:sz w:val="22"/>
          <w:lang w:val="en-GB"/>
        </w:rPr>
        <w:t>。</w:t>
      </w:r>
    </w:p>
    <w:p w14:paraId="69ECFF6A">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污染治理</w:t>
      </w:r>
      <w:r>
        <w:rPr>
          <w:rFonts w:ascii="Arial" w:hAnsi="Arial" w:cs="Arial"/>
          <w:sz w:val="22"/>
        </w:rPr>
        <w:t>：</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减量：</w:t>
      </w:r>
      <w:r>
        <w:rPr>
          <w:rFonts w:ascii="Arial" w:hAnsi="Arial" w:cs="Arial"/>
          <w:sz w:val="22"/>
        </w:rPr>
        <w:t>采取科学的粪污管理工艺和技术（如干清粪、生物发酵床等），减少废水和臭气产生量；</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处理：畜禽</w:t>
      </w:r>
      <w:r>
        <w:rPr>
          <w:rFonts w:ascii="Arial" w:hAnsi="Arial" w:cs="Arial"/>
          <w:sz w:val="22"/>
          <w:lang w:val="en-GB"/>
        </w:rPr>
        <w:t>粪污经</w:t>
      </w:r>
      <w:r>
        <w:rPr>
          <w:rFonts w:ascii="Arial" w:hAnsi="Arial" w:cs="Arial"/>
          <w:sz w:val="22"/>
        </w:rPr>
        <w:t>无害化处理后向环境排放的应符合国家和地方的相应标准；</w:t>
      </w:r>
      <w:r>
        <w:rPr>
          <w:rFonts w:hint="eastAsia" w:ascii="Arial" w:hAnsi="Arial" w:cs="Arial"/>
          <w:sz w:val="22"/>
          <w:lang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w:t>
      </w:r>
      <w:r>
        <w:rPr>
          <w:rFonts w:ascii="Arial" w:hAnsi="Arial" w:cs="Arial"/>
          <w:sz w:val="22"/>
          <w:lang w:val="en-GB"/>
        </w:rPr>
        <w:t>利用：</w:t>
      </w:r>
      <w:r>
        <w:rPr>
          <w:rFonts w:ascii="Arial" w:hAnsi="Arial" w:cs="Arial"/>
          <w:sz w:val="22"/>
        </w:rPr>
        <w:t>支持粪肥还田、制造有机肥、制取沼气等综合利用方式；粪肥还田时，相应的消纳土地面积需符合土地承载力要求，面积不足的应委托第三方代为实现粪污资源化；沼气生产形成的沼渣、沼液达到处理要求后可作为肥料还田。</w:t>
      </w:r>
    </w:p>
    <w:p w14:paraId="440F6FC2">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1F3F2EA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sz w:val="22"/>
          <w:lang w:val="en-GB"/>
        </w:rPr>
        <w:t>农业农村部门负责畜禽粪污处理与资源化利用及相关活动的行业指导、服务和监管，由</w:t>
      </w:r>
      <w:r>
        <w:rPr>
          <w:rFonts w:ascii="Arial" w:hAnsi="Arial" w:cs="Arial"/>
          <w:sz w:val="22"/>
        </w:rPr>
        <w:t>县级农业农村局相应的部门如畜牧兽医股（5人左右）负责具体管理工作</w:t>
      </w:r>
      <w:r>
        <w:rPr>
          <w:rFonts w:ascii="Arial" w:hAnsi="Arial" w:cs="Arial"/>
          <w:sz w:val="22"/>
          <w:lang w:val="en-GB"/>
        </w:rPr>
        <w:t>，对养殖场粪污处理与利用设施运行情况、粪肥还田等情况至少每月检查一次，并提供相应的指导和服务。</w:t>
      </w:r>
      <w:r>
        <w:rPr>
          <w:rFonts w:ascii="Arial" w:hAnsi="Arial" w:cs="Arial"/>
          <w:sz w:val="22"/>
        </w:rPr>
        <w:t>生态环境部门针对畜禽污染防治进行监督检查，具体</w:t>
      </w:r>
      <w:r>
        <w:rPr>
          <w:rFonts w:ascii="Arial" w:hAnsi="Arial" w:cs="Arial"/>
          <w:sz w:val="22"/>
          <w:lang w:val="en-GB"/>
        </w:rPr>
        <w:t>由</w:t>
      </w:r>
      <w:r>
        <w:rPr>
          <w:rFonts w:ascii="Arial" w:hAnsi="Arial" w:cs="Arial"/>
          <w:sz w:val="22"/>
        </w:rPr>
        <w:t>县级环境综合执法队伍</w:t>
      </w:r>
      <w:r>
        <w:rPr>
          <w:rFonts w:ascii="Arial" w:hAnsi="Arial" w:cs="Arial"/>
          <w:bCs/>
          <w:sz w:val="22"/>
        </w:rPr>
        <w:t>（7</w:t>
      </w:r>
      <w:r>
        <w:rPr>
          <w:rFonts w:hint="eastAsia" w:ascii="Arial" w:hAnsi="Arial" w:cs="Arial"/>
          <w:bCs/>
          <w:sz w:val="22"/>
          <w:lang w:eastAsia="zh-CN"/>
        </w:rPr>
        <w:t>—</w:t>
      </w:r>
      <w:r>
        <w:rPr>
          <w:rFonts w:ascii="Arial" w:hAnsi="Arial" w:cs="Arial"/>
          <w:bCs/>
          <w:sz w:val="22"/>
        </w:rPr>
        <w:t>26人）通过</w:t>
      </w:r>
      <w:r>
        <w:rPr>
          <w:rFonts w:ascii="Arial" w:hAnsi="Arial" w:cs="Arial"/>
          <w:sz w:val="22"/>
        </w:rPr>
        <w:t>随机抽查、专项检查、联合执法等方式，监督规模化养殖及相关的有机肥加工、沼气生产等活动是否按政策法规要求履行污染防治责任，以及开展环评、环保“三同时”、环保验收、排污许可、污染物治理与监测等工作的情况。</w:t>
      </w:r>
    </w:p>
    <w:p w14:paraId="55EEB4C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南和湖北两省的规模化养殖场向农业农村部门备案并因此优先享受国家和省级相关扶持政策，备案内容包括选址、生产场所、防疫条件、畜禽粪污和病死畜禽无害化处理和综合利用设施、粪污消纳协议、环评文件、污染物监测报告等，由县、市、省级农业农村部门逐级审核。通过这种方式，并结合现场检查，农业农村部门对畜禽粪污处理与利用进行有效监管。</w:t>
      </w:r>
    </w:p>
    <w:p w14:paraId="419B3CBF">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世行团队对湖南省衡南、慈利、澧县以及湖北省仙桃、洪湖、随县等样本县市的代表性畜禽进行了现场考察和调研。</w:t>
      </w:r>
      <w:r>
        <w:rPr>
          <w:rFonts w:hint="eastAsia" w:ascii="Arial" w:hAnsi="Arial" w:cs="Arial"/>
          <w:sz w:val="22"/>
          <w:lang w:eastAsia="zh-CN"/>
        </w:rPr>
        <w:t>（</w:t>
      </w:r>
      <w:r>
        <w:rPr>
          <w:rFonts w:ascii="Arial" w:hAnsi="Arial" w:cs="Arial"/>
          <w:sz w:val="22"/>
        </w:rPr>
        <w:t>1</w:t>
      </w:r>
      <w:r>
        <w:rPr>
          <w:rFonts w:hint="eastAsia" w:ascii="Arial" w:hAnsi="Arial" w:cs="Arial"/>
          <w:sz w:val="22"/>
          <w:lang w:eastAsia="zh-CN"/>
        </w:rPr>
        <w:t>）</w:t>
      </w:r>
      <w:r>
        <w:rPr>
          <w:rFonts w:ascii="Arial" w:hAnsi="Arial" w:cs="Arial"/>
          <w:sz w:val="22"/>
        </w:rPr>
        <w:t xml:space="preserve"> 规模化畜禽养殖场基本能够对粪污进行有效处理或利用。比如，湖南省衡南县益豚养猪场年存栏生猪28000头；粪污经管道送至调节池、格栅、固液分离设施，分离后的固体用作有机肥原料，液体送至厌氧发酵罐，生成的沼气通过火炬燃烧；沼液再经过缺氧+好氧+缺氧+好氧，至终端存于氧化塘，尾水30%排放、70%农用，设置了水质在线监测设施，同时配备了人工便携式化验仪器。该企业已按要求办理了环评与审批、环保验收，粪污处理与利用</w:t>
      </w:r>
      <w:r>
        <w:rPr>
          <w:rFonts w:hint="eastAsia" w:ascii="Arial" w:hAnsi="Arial" w:cs="Arial"/>
          <w:sz w:val="22"/>
          <w:lang w:eastAsia="zh-CN"/>
        </w:rPr>
        <w:t>台账齐全</w:t>
      </w:r>
      <w:r>
        <w:rPr>
          <w:rFonts w:ascii="Arial" w:hAnsi="Arial" w:cs="Arial"/>
          <w:sz w:val="22"/>
        </w:rPr>
        <w:t>，氧化塘尾水和厂界臭气监测结果满足标准要求。但</w:t>
      </w:r>
      <w:r>
        <w:rPr>
          <w:rFonts w:hint="eastAsia" w:ascii="Arial" w:hAnsi="Arial" w:cs="Arial"/>
          <w:sz w:val="22"/>
          <w:lang w:eastAsia="zh-CN"/>
        </w:rPr>
        <w:t>厂</w:t>
      </w:r>
      <w:r>
        <w:rPr>
          <w:rFonts w:ascii="Arial" w:hAnsi="Arial" w:cs="Arial"/>
          <w:sz w:val="22"/>
        </w:rPr>
        <w:t>区内尤其是固液分离工艺的臭气仍然比较明显。</w:t>
      </w:r>
      <w:r>
        <w:rPr>
          <w:rFonts w:hint="eastAsia" w:ascii="Arial" w:hAnsi="Arial" w:cs="Arial"/>
          <w:sz w:val="22"/>
          <w:lang w:eastAsia="zh-CN"/>
        </w:rPr>
        <w:t>（</w:t>
      </w:r>
      <w:r>
        <w:rPr>
          <w:rFonts w:ascii="Arial" w:hAnsi="Arial" w:cs="Arial"/>
          <w:sz w:val="22"/>
        </w:rPr>
        <w:t>2</w:t>
      </w:r>
      <w:r>
        <w:rPr>
          <w:rFonts w:hint="eastAsia" w:ascii="Arial" w:hAnsi="Arial" w:cs="Arial"/>
          <w:sz w:val="22"/>
          <w:lang w:eastAsia="zh-CN"/>
        </w:rPr>
        <w:t>）</w:t>
      </w:r>
      <w:r>
        <w:rPr>
          <w:rFonts w:ascii="Arial" w:hAnsi="Arial" w:cs="Arial"/>
          <w:sz w:val="22"/>
        </w:rPr>
        <w:t xml:space="preserve"> 规模以下畜禽养殖场的粪污处理和利用设施普遍不健全。</w:t>
      </w:r>
    </w:p>
    <w:p w14:paraId="7B76332A">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0095D2EA">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中国以及湖南和湖北两省在畜禽粪污处理与资源化利用方面具有较完善的法规体系和机构设置，能够较好地管理畜禽粪污影响，但部分养殖场仍存在臭气问题，且规模以下畜禽养殖场的粪污和臭气处理措施亟待加强。</w:t>
      </w:r>
    </w:p>
    <w:p w14:paraId="0EC909D7">
      <w:pPr>
        <w:pStyle w:val="4"/>
        <w:adjustRightInd w:val="0"/>
        <w:snapToGrid w:val="0"/>
        <w:spacing w:before="120" w:after="120" w:line="240" w:lineRule="auto"/>
        <w:rPr>
          <w:rFonts w:ascii="Arial" w:hAnsi="Arial" w:cs="Arial"/>
          <w:color w:val="1F4E79" w:themeColor="accent5" w:themeShade="80"/>
          <w:sz w:val="24"/>
          <w:szCs w:val="24"/>
          <w:lang w:val="en-GB"/>
        </w:rPr>
      </w:pPr>
      <w:bookmarkStart w:id="345" w:name="_Toc119937288"/>
      <w:r>
        <w:rPr>
          <w:rFonts w:ascii="Arial" w:hAnsi="Arial" w:cs="Arial"/>
          <w:color w:val="1F4E79" w:themeColor="accent5" w:themeShade="80"/>
          <w:sz w:val="24"/>
          <w:szCs w:val="24"/>
          <w:lang w:val="en-GB"/>
        </w:rPr>
        <w:t>4.3.4</w:t>
      </w:r>
      <w:r>
        <w:rPr>
          <w:rFonts w:ascii="Arial" w:hAnsi="Arial" w:cs="Arial"/>
          <w:color w:val="1F4E79" w:themeColor="accent5" w:themeShade="80"/>
          <w:sz w:val="24"/>
          <w:szCs w:val="24"/>
          <w:lang w:val="en-GB"/>
        </w:rPr>
        <w:tab/>
      </w:r>
      <w:r>
        <w:rPr>
          <w:rFonts w:ascii="Arial" w:hAnsi="Arial" w:cs="Arial"/>
          <w:color w:val="1F4E79" w:themeColor="accent5" w:themeShade="80"/>
          <w:sz w:val="24"/>
          <w:szCs w:val="24"/>
          <w:lang w:val="en-GB"/>
        </w:rPr>
        <w:t>水产养殖污染防治</w:t>
      </w:r>
      <w:bookmarkEnd w:id="345"/>
    </w:p>
    <w:p w14:paraId="66D8DE83">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28DD33A3">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w:t>
      </w:r>
      <w:r>
        <w:rPr>
          <w:rFonts w:hint="eastAsia" w:ascii="Arial" w:hAnsi="Arial" w:cs="Arial"/>
          <w:b/>
          <w:bCs/>
          <w:sz w:val="22"/>
          <w:lang w:eastAsia="zh-CN"/>
        </w:rPr>
        <w:t>中华人民共和国渔业法</w:t>
      </w:r>
      <w:r>
        <w:rPr>
          <w:rFonts w:ascii="Arial" w:hAnsi="Arial" w:cs="Arial"/>
          <w:b/>
          <w:bCs/>
          <w:sz w:val="22"/>
        </w:rPr>
        <w:t>》</w:t>
      </w:r>
      <w:r>
        <w:rPr>
          <w:rFonts w:hint="eastAsia" w:ascii="Arial" w:hAnsi="Arial" w:cs="Arial"/>
          <w:sz w:val="22"/>
          <w:lang w:val="en-GB" w:eastAsia="zh-CN"/>
        </w:rPr>
        <w:t>（</w:t>
      </w:r>
      <w:r>
        <w:rPr>
          <w:rFonts w:ascii="Arial" w:hAnsi="Arial" w:cs="Arial"/>
          <w:sz w:val="22"/>
        </w:rPr>
        <w:t>2013年</w:t>
      </w:r>
      <w:r>
        <w:rPr>
          <w:rFonts w:hint="eastAsia" w:ascii="Arial" w:hAnsi="Arial" w:cs="Arial"/>
          <w:sz w:val="22"/>
          <w:lang w:eastAsia="zh-CN"/>
        </w:rPr>
        <w:t>）</w:t>
      </w:r>
      <w:r>
        <w:rPr>
          <w:rFonts w:ascii="Arial" w:hAnsi="Arial" w:cs="Arial"/>
          <w:sz w:val="22"/>
        </w:rPr>
        <w:t>：从事养殖生产应当保护水域生态环境，科学确定养殖密度，合理投饵、施肥、使用药物，不得造成水域的环境污染。</w:t>
      </w:r>
    </w:p>
    <w:p w14:paraId="4912CB35">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rPr>
      </w:pPr>
      <w:r>
        <w:rPr>
          <w:rFonts w:ascii="Arial" w:hAnsi="Arial" w:cs="Arial"/>
          <w:b/>
          <w:bCs/>
          <w:sz w:val="22"/>
        </w:rPr>
        <w:t>《淡水池塘养殖水排放要求》</w:t>
      </w:r>
      <w:r>
        <w:rPr>
          <w:rFonts w:hint="eastAsia" w:ascii="Arial" w:hAnsi="Arial" w:cs="Arial"/>
          <w:sz w:val="22"/>
          <w:lang w:eastAsia="zh-CN"/>
        </w:rPr>
        <w:t>（</w:t>
      </w:r>
      <w:r>
        <w:rPr>
          <w:rFonts w:ascii="Arial" w:hAnsi="Arial" w:cs="Arial"/>
          <w:sz w:val="22"/>
        </w:rPr>
        <w:t>SC/T9101</w:t>
      </w:r>
      <w:r>
        <w:rPr>
          <w:rFonts w:hint="eastAsia" w:ascii="Arial" w:hAnsi="Arial" w:cs="Arial"/>
          <w:sz w:val="22"/>
          <w:lang w:eastAsia="zh-CN"/>
        </w:rPr>
        <w:t>—</w:t>
      </w:r>
      <w:r>
        <w:rPr>
          <w:rFonts w:ascii="Arial" w:hAnsi="Arial" w:cs="Arial"/>
          <w:sz w:val="22"/>
        </w:rPr>
        <w:t>2007</w:t>
      </w:r>
      <w:r>
        <w:rPr>
          <w:rFonts w:hint="eastAsia" w:ascii="Arial" w:hAnsi="Arial" w:cs="Arial"/>
          <w:sz w:val="22"/>
          <w:lang w:eastAsia="zh-CN"/>
        </w:rPr>
        <w:t>）</w:t>
      </w:r>
      <w:r>
        <w:rPr>
          <w:rFonts w:ascii="Arial" w:hAnsi="Arial" w:cs="Arial"/>
          <w:sz w:val="22"/>
        </w:rPr>
        <w:t>：适用于淡水池塘养殖水排放，根据接纳淡水池塘养殖水排放区域的使用功能，将淡水池塘养殖水排放要求分为一级和二级：</w:t>
      </w:r>
      <w:r>
        <w:rPr>
          <w:rFonts w:hint="eastAsia" w:ascii="Arial" w:hAnsi="Arial" w:cs="Arial"/>
          <w:sz w:val="22"/>
          <w:szCs w:val="22"/>
          <w:lang w:eastAsia="zh-CN"/>
        </w:rPr>
        <w:t>（</w:t>
      </w:r>
      <w:r>
        <w:rPr>
          <w:rFonts w:ascii="Arial" w:hAnsi="Arial" w:cs="Arial"/>
          <w:sz w:val="22"/>
          <w:szCs w:val="22"/>
        </w:rPr>
        <w:t>a</w:t>
      </w:r>
      <w:r>
        <w:rPr>
          <w:rFonts w:hint="eastAsia" w:ascii="Arial" w:hAnsi="Arial" w:cs="Arial"/>
          <w:sz w:val="22"/>
          <w:szCs w:val="22"/>
          <w:lang w:eastAsia="zh-CN"/>
        </w:rPr>
        <w:t>）</w:t>
      </w:r>
      <w:r>
        <w:rPr>
          <w:rFonts w:ascii="Arial" w:hAnsi="Arial" w:cs="Arial"/>
          <w:sz w:val="22"/>
          <w:szCs w:val="22"/>
        </w:rPr>
        <w:t xml:space="preserve"> 特殊保护水域不得新建淡水池塘养殖水排放口；</w:t>
      </w:r>
      <w:r>
        <w:rPr>
          <w:rFonts w:hint="eastAsia" w:ascii="Arial" w:hAnsi="Arial" w:cs="Arial"/>
          <w:sz w:val="22"/>
          <w:szCs w:val="22"/>
          <w:lang w:eastAsia="zh-CN"/>
        </w:rPr>
        <w:t>（</w:t>
      </w:r>
      <w:r>
        <w:rPr>
          <w:rFonts w:ascii="Arial" w:hAnsi="Arial" w:cs="Arial"/>
          <w:sz w:val="22"/>
          <w:szCs w:val="22"/>
        </w:rPr>
        <w:t>b</w:t>
      </w:r>
      <w:r>
        <w:rPr>
          <w:rFonts w:hint="eastAsia" w:ascii="Arial" w:hAnsi="Arial" w:cs="Arial"/>
          <w:sz w:val="22"/>
          <w:szCs w:val="22"/>
          <w:lang w:eastAsia="zh-CN"/>
        </w:rPr>
        <w:t>）</w:t>
      </w:r>
      <w:r>
        <w:rPr>
          <w:rFonts w:ascii="Arial" w:hAnsi="Arial" w:cs="Arial"/>
          <w:sz w:val="22"/>
          <w:szCs w:val="22"/>
        </w:rPr>
        <w:t xml:space="preserve"> 重点保护水域（GB3838地表水</w:t>
      </w:r>
      <w:r>
        <w:rPr>
          <w:rFonts w:hint="eastAsia" w:ascii="Arial" w:hAnsi="Arial" w:cs="Arial"/>
          <w:sz w:val="22"/>
          <w:szCs w:val="22"/>
          <w:lang w:eastAsia="zh-CN"/>
        </w:rPr>
        <w:t>Ⅱ类</w:t>
      </w:r>
      <w:r>
        <w:rPr>
          <w:rFonts w:ascii="Arial" w:hAnsi="Arial" w:cs="Arial"/>
          <w:sz w:val="22"/>
          <w:szCs w:val="22"/>
        </w:rPr>
        <w:t>功能）不得新建淡水池塘养殖水排放口，原有的养殖水排放应达到一级标准；</w:t>
      </w:r>
      <w:r>
        <w:rPr>
          <w:rFonts w:hint="eastAsia" w:ascii="Arial" w:hAnsi="Arial" w:cs="Arial"/>
          <w:sz w:val="22"/>
          <w:szCs w:val="22"/>
          <w:lang w:eastAsia="zh-CN"/>
        </w:rPr>
        <w:t>（</w:t>
      </w:r>
      <w:r>
        <w:rPr>
          <w:rFonts w:ascii="Arial" w:hAnsi="Arial" w:cs="Arial"/>
          <w:sz w:val="22"/>
          <w:szCs w:val="22"/>
        </w:rPr>
        <w:t>c</w:t>
      </w:r>
      <w:r>
        <w:rPr>
          <w:rFonts w:hint="eastAsia" w:ascii="Arial" w:hAnsi="Arial" w:cs="Arial"/>
          <w:sz w:val="22"/>
          <w:szCs w:val="22"/>
          <w:lang w:eastAsia="zh-CN"/>
        </w:rPr>
        <w:t>）</w:t>
      </w:r>
      <w:r>
        <w:rPr>
          <w:rFonts w:ascii="Arial" w:hAnsi="Arial" w:cs="Arial"/>
          <w:sz w:val="22"/>
          <w:szCs w:val="22"/>
        </w:rPr>
        <w:t xml:space="preserve"> 一般水域（</w:t>
      </w:r>
      <w:r>
        <w:rPr>
          <w:rFonts w:hint="eastAsia" w:ascii="Arial" w:hAnsi="Arial" w:cs="Arial"/>
          <w:sz w:val="22"/>
          <w:szCs w:val="22"/>
          <w:lang w:eastAsia="zh-CN"/>
        </w:rPr>
        <w:t>Ⅲ类</w:t>
      </w:r>
      <w:r>
        <w:rPr>
          <w:rFonts w:ascii="Arial" w:hAnsi="Arial" w:cs="Arial"/>
          <w:sz w:val="22"/>
          <w:szCs w:val="22"/>
        </w:rPr>
        <w:t>、</w:t>
      </w:r>
      <w:r>
        <w:rPr>
          <w:rFonts w:hint="eastAsia" w:ascii="Arial" w:hAnsi="Arial" w:cs="Arial"/>
          <w:sz w:val="22"/>
          <w:szCs w:val="22"/>
          <w:lang w:eastAsia="zh-CN"/>
        </w:rPr>
        <w:t>Ⅳ类</w:t>
      </w:r>
      <w:r>
        <w:rPr>
          <w:rFonts w:ascii="Arial" w:hAnsi="Arial" w:cs="Arial"/>
          <w:sz w:val="22"/>
          <w:szCs w:val="22"/>
        </w:rPr>
        <w:t>、V类功能）排入的养殖水执行二级标准。污染物指标包括</w:t>
      </w:r>
      <w:r>
        <w:rPr>
          <w:rFonts w:ascii="Arial" w:hAnsi="Arial" w:cs="Arial"/>
          <w:sz w:val="22"/>
          <w:szCs w:val="22"/>
          <w:lang w:val="en-GB"/>
        </w:rPr>
        <w:t>pH值、</w:t>
      </w:r>
      <w:r>
        <w:rPr>
          <w:rFonts w:ascii="Arial" w:hAnsi="Arial" w:cs="Arial"/>
          <w:sz w:val="22"/>
          <w:szCs w:val="22"/>
        </w:rPr>
        <w:t>悬浮物、化学需氧量、生化需氧量、锌、铜、总磷、总氮、硫化物、总余氯。</w:t>
      </w:r>
    </w:p>
    <w:p w14:paraId="710A85A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此外，国家以及湖北省还出台了其他相关的政策、规范和标准，如《水产养殖质量安全管理规定》</w:t>
      </w:r>
      <w:r>
        <w:rPr>
          <w:rFonts w:hint="eastAsia" w:ascii="Arial" w:hAnsi="Arial" w:cs="Arial"/>
          <w:sz w:val="22"/>
          <w:lang w:eastAsia="zh-CN"/>
        </w:rPr>
        <w:t>（</w:t>
      </w:r>
      <w:r>
        <w:rPr>
          <w:rFonts w:ascii="Arial" w:hAnsi="Arial" w:cs="Arial"/>
          <w:sz w:val="22"/>
        </w:rPr>
        <w:t>2013年</w:t>
      </w:r>
      <w:r>
        <w:rPr>
          <w:rFonts w:hint="eastAsia" w:ascii="Arial" w:hAnsi="Arial" w:cs="Arial"/>
          <w:sz w:val="22"/>
          <w:lang w:eastAsia="zh-CN"/>
        </w:rPr>
        <w:t>）</w:t>
      </w:r>
      <w:r>
        <w:rPr>
          <w:rFonts w:ascii="Arial" w:hAnsi="Arial" w:cs="Arial"/>
          <w:sz w:val="22"/>
          <w:lang w:val="en-GB"/>
        </w:rPr>
        <w:t>、</w:t>
      </w:r>
      <w:r>
        <w:rPr>
          <w:rFonts w:ascii="Arial" w:hAnsi="Arial" w:cs="Arial"/>
          <w:sz w:val="22"/>
        </w:rPr>
        <w:t>《湖北省水产养殖“三区”划定指导意见》</w:t>
      </w:r>
      <w:r>
        <w:rPr>
          <w:rFonts w:hint="eastAsia" w:ascii="Arial" w:hAnsi="Arial" w:cs="Arial"/>
          <w:sz w:val="22"/>
          <w:lang w:eastAsia="zh-CN"/>
        </w:rPr>
        <w:t>（</w:t>
      </w:r>
      <w:r>
        <w:rPr>
          <w:rFonts w:ascii="Arial" w:hAnsi="Arial" w:cs="Arial"/>
          <w:sz w:val="22"/>
        </w:rPr>
        <w:t>2018年</w:t>
      </w:r>
      <w:r>
        <w:rPr>
          <w:rFonts w:hint="eastAsia" w:ascii="Arial" w:hAnsi="Arial" w:cs="Arial"/>
          <w:sz w:val="22"/>
          <w:lang w:eastAsia="zh-CN"/>
        </w:rPr>
        <w:t>）</w:t>
      </w:r>
      <w:r>
        <w:rPr>
          <w:rFonts w:ascii="Arial" w:hAnsi="Arial" w:cs="Arial"/>
          <w:sz w:val="22"/>
        </w:rPr>
        <w:t>、《推进湖北省渔业现代化“十四五”规划》</w:t>
      </w:r>
      <w:r>
        <w:rPr>
          <w:rFonts w:hint="eastAsia" w:ascii="Arial" w:hAnsi="Arial" w:cs="Arial"/>
          <w:sz w:val="22"/>
          <w:lang w:eastAsia="zh-CN"/>
        </w:rPr>
        <w:t>（</w:t>
      </w:r>
      <w:r>
        <w:rPr>
          <w:rFonts w:ascii="Arial" w:hAnsi="Arial" w:cs="Arial"/>
          <w:sz w:val="22"/>
        </w:rPr>
        <w:t>2021年</w:t>
      </w:r>
      <w:r>
        <w:rPr>
          <w:rFonts w:hint="eastAsia" w:ascii="Arial" w:hAnsi="Arial" w:cs="Arial"/>
          <w:sz w:val="22"/>
          <w:lang w:eastAsia="zh-CN"/>
        </w:rPr>
        <w:t>）</w:t>
      </w:r>
      <w:r>
        <w:rPr>
          <w:rFonts w:ascii="Arial" w:hAnsi="Arial" w:cs="Arial"/>
          <w:sz w:val="22"/>
        </w:rPr>
        <w:t>等</w:t>
      </w:r>
      <w:r>
        <w:rPr>
          <w:rFonts w:ascii="Arial" w:hAnsi="Arial" w:cs="Arial"/>
          <w:sz w:val="22"/>
          <w:lang w:val="en-GB"/>
        </w:rPr>
        <w:t>。</w:t>
      </w:r>
    </w:p>
    <w:p w14:paraId="3BB6F405">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74BC4A3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污染预防</w:t>
      </w:r>
      <w:r>
        <w:rPr>
          <w:rFonts w:ascii="Arial" w:hAnsi="Arial" w:cs="Arial"/>
          <w:sz w:val="22"/>
        </w:rPr>
        <w:t>：</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编制当地养殖水域滩涂规划；</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划分禁养区、限养区、养殖区</w:t>
      </w:r>
      <w:r>
        <w:rPr>
          <w:rFonts w:ascii="Arial" w:hAnsi="Arial" w:cs="Arial"/>
          <w:sz w:val="22"/>
        </w:rPr>
        <w:t>；</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新改扩建水产养殖场应符合相关规划要求并开展环评</w:t>
      </w:r>
      <w:r>
        <w:rPr>
          <w:rFonts w:ascii="Arial" w:hAnsi="Arial" w:cs="Arial"/>
          <w:sz w:val="22"/>
          <w:lang w:val="en-GB"/>
        </w:rPr>
        <w:t>。</w:t>
      </w:r>
    </w:p>
    <w:p w14:paraId="767911F9">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sz w:val="22"/>
        </w:rPr>
        <w:tab/>
      </w:r>
      <w:r>
        <w:rPr>
          <w:rFonts w:ascii="Arial" w:hAnsi="Arial" w:cs="Arial"/>
          <w:b/>
          <w:bCs/>
          <w:sz w:val="22"/>
        </w:rPr>
        <w:t>污染治理</w:t>
      </w:r>
      <w:r>
        <w:rPr>
          <w:rFonts w:ascii="Arial" w:hAnsi="Arial" w:cs="Arial"/>
          <w:sz w:val="22"/>
        </w:rPr>
        <w:t>：</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减量：</w:t>
      </w:r>
      <w:r>
        <w:rPr>
          <w:rFonts w:ascii="Arial" w:hAnsi="Arial" w:cs="Arial"/>
          <w:sz w:val="22"/>
        </w:rPr>
        <w:t>采取科学的养殖工艺和技术减少尾水排放量；</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处理：</w:t>
      </w:r>
      <w:r>
        <w:rPr>
          <w:rFonts w:ascii="Arial" w:hAnsi="Arial" w:cs="Arial"/>
          <w:sz w:val="22"/>
          <w:lang w:val="en-GB"/>
        </w:rPr>
        <w:t>水产养殖尾水经</w:t>
      </w:r>
      <w:r>
        <w:rPr>
          <w:rFonts w:ascii="Arial" w:hAnsi="Arial" w:cs="Arial"/>
          <w:sz w:val="22"/>
        </w:rPr>
        <w:t>无害化处理后向环境</w:t>
      </w:r>
      <w:r>
        <w:rPr>
          <w:rFonts w:hint="eastAsia" w:ascii="Arial" w:hAnsi="Arial" w:cs="Arial"/>
          <w:sz w:val="22"/>
          <w:lang w:eastAsia="zh-CN"/>
        </w:rPr>
        <w:t>排放</w:t>
      </w:r>
      <w:r>
        <w:rPr>
          <w:rFonts w:ascii="Arial" w:hAnsi="Arial" w:cs="Arial"/>
          <w:sz w:val="22"/>
        </w:rPr>
        <w:t>应符合国家和地方的相应标准；</w:t>
      </w:r>
      <w:r>
        <w:rPr>
          <w:rFonts w:hint="eastAsia" w:ascii="Arial" w:hAnsi="Arial" w:cs="Arial"/>
          <w:sz w:val="22"/>
          <w:lang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w:t>
      </w:r>
      <w:r>
        <w:rPr>
          <w:rFonts w:ascii="Arial" w:hAnsi="Arial" w:cs="Arial"/>
          <w:sz w:val="22"/>
          <w:lang w:val="en-GB"/>
        </w:rPr>
        <w:t>利用：</w:t>
      </w:r>
      <w:r>
        <w:rPr>
          <w:rFonts w:ascii="Arial" w:hAnsi="Arial" w:cs="Arial"/>
          <w:sz w:val="22"/>
        </w:rPr>
        <w:t>支持水产养殖尾水有效处理后循环利用。</w:t>
      </w:r>
    </w:p>
    <w:p w14:paraId="1DB37B90">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099811C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sz w:val="22"/>
          <w:lang w:val="en-GB"/>
        </w:rPr>
        <w:t>农业农村部门负责水产养殖及尾水治理的行业指导、服务和监管，由</w:t>
      </w:r>
      <w:r>
        <w:rPr>
          <w:rFonts w:ascii="Arial" w:hAnsi="Arial" w:cs="Arial"/>
          <w:sz w:val="22"/>
        </w:rPr>
        <w:t>县级农业农村局的部门如渔政渔业股（3人左右）以及下设的畜牧水产事务中心等负责具体管理工作</w:t>
      </w:r>
      <w:r>
        <w:rPr>
          <w:rFonts w:ascii="Arial" w:hAnsi="Arial" w:cs="Arial"/>
          <w:sz w:val="22"/>
          <w:lang w:val="en-GB"/>
        </w:rPr>
        <w:t>，对水产养殖尾水治理等情况至少每月检查一次，并提供相应的指导和服务。</w:t>
      </w:r>
      <w:r>
        <w:rPr>
          <w:rFonts w:ascii="Arial" w:hAnsi="Arial" w:cs="Arial"/>
          <w:sz w:val="22"/>
        </w:rPr>
        <w:t>生态环境部门利用现有地表水水质监测断面对水产养殖尾水排放受纳水体开展水质监测，并根据投诉和反馈对相关的污染问题进行监督检查。</w:t>
      </w:r>
    </w:p>
    <w:p w14:paraId="29EE468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湖北省于</w:t>
      </w:r>
      <w:r>
        <w:rPr>
          <w:rFonts w:hint="eastAsia" w:ascii="Arial" w:hAnsi="Arial" w:cs="Arial"/>
          <w:sz w:val="22"/>
          <w:lang w:eastAsia="zh-CN"/>
        </w:rPr>
        <w:t>“十三五”期间</w:t>
      </w:r>
      <w:r>
        <w:rPr>
          <w:rFonts w:ascii="Arial" w:hAnsi="Arial" w:cs="Arial"/>
          <w:sz w:val="22"/>
        </w:rPr>
        <w:t>实现省级、17个市州、74个渔业重点县/区政府全部发布养殖水域滩涂规划，明确禁养区、限养区、养殖区；创建国家级渔业健康养殖示范县6个、示范场355家；全省池塘养殖尾水治理面积达52万亩（约占总面积的6.5%）。</w:t>
      </w:r>
    </w:p>
    <w:p w14:paraId="42C1A68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世行团队对样本水产养殖场（湖北省仙桃、洪湖）进行了现场考察和调研。一些水产养殖试点示范企业能够对尾水进行治理，比如湖北省洪湖市螺山镇虾蟹养殖基地养殖面积11000多亩，配备了曝气设施、生物净化池，种植了挺水和沉水植物，设置了水质在线监测系统，对水产养殖污染物进行削减和监控。但大多数水产养殖企业还需要开展或加强尾水治理与监测。</w:t>
      </w:r>
    </w:p>
    <w:p w14:paraId="2F61DC55">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584E7993">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湖北省在水产养殖尾水治理方面具有一定的法规框架和机构设置，但仍处于起步阶段需要不断加强，本项目的实施将促进该系统的发展，推进尾水治理措施更广泛</w:t>
      </w:r>
      <w:r>
        <w:rPr>
          <w:rFonts w:hint="eastAsia" w:ascii="Arial" w:hAnsi="Arial" w:cs="Arial"/>
          <w:sz w:val="22"/>
          <w:lang w:eastAsia="zh-CN"/>
        </w:rPr>
        <w:t>地</w:t>
      </w:r>
      <w:r>
        <w:rPr>
          <w:rFonts w:ascii="Arial" w:hAnsi="Arial" w:cs="Arial"/>
          <w:sz w:val="22"/>
        </w:rPr>
        <w:t>实施。</w:t>
      </w:r>
    </w:p>
    <w:p w14:paraId="559AEE4B">
      <w:pPr>
        <w:pStyle w:val="4"/>
        <w:adjustRightInd w:val="0"/>
        <w:snapToGrid w:val="0"/>
        <w:spacing w:before="120" w:after="120" w:line="240" w:lineRule="auto"/>
        <w:rPr>
          <w:rFonts w:ascii="Arial" w:hAnsi="Arial" w:cs="Arial"/>
          <w:color w:val="1F4E79" w:themeColor="accent5" w:themeShade="80"/>
          <w:sz w:val="24"/>
          <w:szCs w:val="24"/>
          <w:lang w:val="en-GB"/>
        </w:rPr>
      </w:pPr>
      <w:bookmarkStart w:id="346" w:name="_Toc119937289"/>
      <w:r>
        <w:rPr>
          <w:rFonts w:ascii="Arial" w:hAnsi="Arial" w:cs="Arial"/>
          <w:color w:val="1F4E79" w:themeColor="accent5" w:themeShade="80"/>
          <w:sz w:val="24"/>
          <w:szCs w:val="24"/>
          <w:lang w:val="en-GB"/>
        </w:rPr>
        <w:t>4.3.5</w:t>
      </w:r>
      <w:r>
        <w:rPr>
          <w:rFonts w:ascii="Arial" w:hAnsi="Arial" w:cs="Arial"/>
          <w:color w:val="1F4E79" w:themeColor="accent5" w:themeShade="80"/>
          <w:sz w:val="24"/>
          <w:szCs w:val="24"/>
          <w:lang w:val="en-GB"/>
        </w:rPr>
        <w:tab/>
      </w:r>
      <w:r>
        <w:rPr>
          <w:rFonts w:ascii="Arial" w:hAnsi="Arial" w:cs="Arial"/>
          <w:color w:val="1F4E79" w:themeColor="accent5" w:themeShade="80"/>
          <w:sz w:val="24"/>
          <w:szCs w:val="24"/>
          <w:lang w:val="en-GB"/>
        </w:rPr>
        <w:t>农村生活污水管理</w:t>
      </w:r>
      <w:bookmarkEnd w:id="346"/>
    </w:p>
    <w:p w14:paraId="33B490AF">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311F5075">
      <w:pPr>
        <w:pStyle w:val="48"/>
        <w:widowControl w:val="0"/>
        <w:numPr>
          <w:ilvl w:val="0"/>
          <w:numId w:val="5"/>
        </w:numPr>
        <w:tabs>
          <w:tab w:val="left" w:pos="709"/>
        </w:tabs>
        <w:adjustRightInd w:val="0"/>
        <w:snapToGrid w:val="0"/>
        <w:spacing w:before="120" w:after="120"/>
        <w:ind w:left="0" w:firstLine="0" w:firstLineChars="0"/>
        <w:rPr>
          <w:rFonts w:ascii="Arial" w:hAnsi="Arial" w:cs="Arial"/>
          <w:sz w:val="22"/>
          <w:lang w:val="en-GB"/>
        </w:rPr>
      </w:pPr>
      <w:bookmarkStart w:id="347" w:name="OLE_LINK4"/>
      <w:bookmarkStart w:id="348" w:name="OLE_LINK3"/>
      <w:r>
        <w:rPr>
          <w:rFonts w:ascii="Arial" w:hAnsi="Arial" w:cs="Arial"/>
          <w:b/>
          <w:bCs/>
          <w:sz w:val="22"/>
          <w:lang w:val="en-GB"/>
        </w:rPr>
        <w:t>《关于推进农村生活污水治理的指导意见》</w:t>
      </w:r>
      <w:r>
        <w:rPr>
          <w:rFonts w:hint="eastAsia" w:ascii="Arial" w:hAnsi="Arial" w:cs="Arial"/>
          <w:sz w:val="22"/>
          <w:lang w:val="en-GB" w:eastAsia="zh-CN"/>
        </w:rPr>
        <w:t>（</w:t>
      </w:r>
      <w:r>
        <w:rPr>
          <w:rFonts w:ascii="Arial" w:hAnsi="Arial" w:cs="Arial"/>
          <w:sz w:val="22"/>
        </w:rPr>
        <w:t>2019年</w:t>
      </w:r>
      <w:r>
        <w:rPr>
          <w:rFonts w:hint="eastAsia" w:ascii="Arial" w:hAnsi="Arial" w:cs="Arial"/>
          <w:sz w:val="22"/>
          <w:lang w:val="en-GB" w:eastAsia="zh-CN"/>
        </w:rPr>
        <w:t>）</w:t>
      </w:r>
      <w:r>
        <w:rPr>
          <w:rFonts w:ascii="Arial" w:hAnsi="Arial" w:cs="Arial"/>
          <w:sz w:val="22"/>
          <w:lang w:val="en-GB"/>
        </w:rPr>
        <w:t>：九部委</w:t>
      </w:r>
      <w:r>
        <w:rPr>
          <w:rStyle w:val="46"/>
          <w:rFonts w:ascii="Arial" w:hAnsi="Arial" w:cs="Arial"/>
          <w:sz w:val="22"/>
          <w:lang w:val="en-GB"/>
        </w:rPr>
        <w:footnoteReference w:id="7"/>
      </w:r>
      <w:r>
        <w:rPr>
          <w:rFonts w:ascii="Arial" w:hAnsi="Arial" w:cs="Arial"/>
          <w:sz w:val="22"/>
          <w:lang w:val="en-GB"/>
        </w:rPr>
        <w:t>联合发文，要求推进农村生活污水治理，补齐农村人居环境短板，加快建设美丽宜居乡村。</w:t>
      </w:r>
    </w:p>
    <w:bookmarkEnd w:id="347"/>
    <w:bookmarkEnd w:id="348"/>
    <w:p w14:paraId="195E6BE7">
      <w:pPr>
        <w:pStyle w:val="48"/>
        <w:numPr>
          <w:ilvl w:val="0"/>
          <w:numId w:val="5"/>
        </w:numPr>
        <w:tabs>
          <w:tab w:val="left" w:pos="709"/>
        </w:tabs>
        <w:adjustRightInd w:val="0"/>
        <w:snapToGrid w:val="0"/>
        <w:spacing w:before="120" w:after="120"/>
        <w:ind w:left="0" w:firstLine="0" w:firstLineChars="0"/>
        <w:rPr>
          <w:rFonts w:ascii="Arial" w:hAnsi="Arial" w:cs="Arial"/>
          <w:sz w:val="22"/>
          <w:lang w:val="en-GB"/>
        </w:rPr>
      </w:pPr>
      <w:r>
        <w:rPr>
          <w:rFonts w:ascii="Arial" w:hAnsi="Arial" w:cs="Arial"/>
          <w:b/>
          <w:bCs/>
          <w:sz w:val="22"/>
          <w:lang w:val="en-GB"/>
        </w:rPr>
        <w:t xml:space="preserve">《农业农村污染治理攻坚战行动方案 </w:t>
      </w:r>
      <w:r>
        <w:rPr>
          <w:rFonts w:hint="eastAsia" w:ascii="Arial" w:hAnsi="Arial" w:cs="Arial"/>
          <w:b/>
          <w:bCs/>
          <w:sz w:val="22"/>
          <w:lang w:val="en-GB" w:eastAsia="zh-CN"/>
        </w:rPr>
        <w:t>（</w:t>
      </w:r>
      <w:r>
        <w:rPr>
          <w:rFonts w:ascii="Arial" w:hAnsi="Arial" w:cs="Arial"/>
          <w:b/>
          <w:bCs/>
          <w:sz w:val="22"/>
          <w:lang w:val="en-GB"/>
        </w:rPr>
        <w:t>2021</w:t>
      </w:r>
      <w:r>
        <w:rPr>
          <w:rFonts w:hint="eastAsia" w:ascii="Arial" w:hAnsi="Arial" w:cs="Arial"/>
          <w:b/>
          <w:bCs/>
          <w:sz w:val="22"/>
          <w:lang w:val="en-GB" w:eastAsia="zh-CN"/>
        </w:rPr>
        <w:t>—</w:t>
      </w:r>
      <w:r>
        <w:rPr>
          <w:rFonts w:ascii="Arial" w:hAnsi="Arial" w:cs="Arial"/>
          <w:b/>
          <w:bCs/>
          <w:sz w:val="22"/>
          <w:lang w:val="en-GB"/>
        </w:rPr>
        <w:t>2025年</w:t>
      </w:r>
      <w:r>
        <w:rPr>
          <w:rFonts w:hint="eastAsia" w:ascii="Arial" w:hAnsi="Arial" w:cs="Arial"/>
          <w:b/>
          <w:bCs/>
          <w:sz w:val="22"/>
          <w:lang w:val="en-GB" w:eastAsia="zh-CN"/>
        </w:rPr>
        <w:t>）</w:t>
      </w:r>
      <w:r>
        <w:rPr>
          <w:rFonts w:ascii="Arial" w:hAnsi="Arial" w:cs="Arial"/>
          <w:b/>
          <w:bCs/>
          <w:sz w:val="22"/>
          <w:lang w:val="en-GB"/>
        </w:rPr>
        <w:t>》</w:t>
      </w:r>
      <w:r>
        <w:rPr>
          <w:rFonts w:hint="eastAsia" w:ascii="Arial" w:hAnsi="Arial" w:cs="Arial"/>
          <w:sz w:val="22"/>
          <w:lang w:val="en-GB" w:eastAsia="zh-CN"/>
        </w:rPr>
        <w:t>（</w:t>
      </w:r>
      <w:r>
        <w:rPr>
          <w:rFonts w:ascii="Arial" w:hAnsi="Arial" w:cs="Arial"/>
          <w:sz w:val="22"/>
        </w:rPr>
        <w:t>2022年</w:t>
      </w:r>
      <w:r>
        <w:rPr>
          <w:rFonts w:hint="eastAsia" w:ascii="Arial" w:hAnsi="Arial" w:cs="Arial"/>
          <w:sz w:val="22"/>
          <w:lang w:val="en-GB" w:eastAsia="zh-CN"/>
        </w:rPr>
        <w:t>）</w:t>
      </w:r>
      <w:r>
        <w:rPr>
          <w:rFonts w:ascii="Arial" w:hAnsi="Arial" w:cs="Arial"/>
          <w:sz w:val="22"/>
          <w:lang w:val="en-GB"/>
        </w:rPr>
        <w:t>：推动县域农村生活污水治理统筹规划、建设和运行；按照不同典型地区分类完善治理模式，科学合理建设农村生活污水收集和处理设施；优先推广运行费用低、管护简便的污水治理技术；完成现有农村生活污水收集处理设施运行情况排查，提高设施正常运行率。</w:t>
      </w:r>
    </w:p>
    <w:p w14:paraId="565E36C3">
      <w:pPr>
        <w:pStyle w:val="48"/>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sz w:val="22"/>
          <w:lang w:val="en-GB"/>
        </w:rPr>
        <w:t>此外，国家还制定了其他相关规程规范，如《农村生活污水处理项目建设与投资指南》</w:t>
      </w:r>
      <w:r>
        <w:rPr>
          <w:rFonts w:hint="eastAsia" w:ascii="Arial" w:hAnsi="Arial" w:cs="Arial"/>
          <w:sz w:val="22"/>
          <w:lang w:val="en-GB" w:eastAsia="zh-CN"/>
        </w:rPr>
        <w:t>（</w:t>
      </w:r>
      <w:r>
        <w:rPr>
          <w:rFonts w:ascii="Arial" w:hAnsi="Arial" w:cs="Arial"/>
          <w:sz w:val="22"/>
          <w:lang w:val="en-GB"/>
        </w:rPr>
        <w:t>2013年</w:t>
      </w:r>
      <w:r>
        <w:rPr>
          <w:rFonts w:hint="eastAsia" w:ascii="Arial" w:hAnsi="Arial" w:cs="Arial"/>
          <w:sz w:val="22"/>
          <w:lang w:val="en-GB" w:eastAsia="zh-CN"/>
        </w:rPr>
        <w:t>）</w:t>
      </w:r>
      <w:r>
        <w:rPr>
          <w:rFonts w:ascii="Arial" w:hAnsi="Arial" w:cs="Arial"/>
          <w:sz w:val="22"/>
          <w:lang w:val="en-GB"/>
        </w:rPr>
        <w:t>、《农村生活污水处理工程技术标准》</w:t>
      </w:r>
      <w:r>
        <w:rPr>
          <w:rFonts w:hint="eastAsia" w:ascii="Arial" w:hAnsi="Arial" w:cs="Arial"/>
          <w:sz w:val="22"/>
          <w:lang w:val="en-GB" w:eastAsia="zh-CN"/>
        </w:rPr>
        <w:t>（</w:t>
      </w:r>
      <w:r>
        <w:rPr>
          <w:rFonts w:ascii="Arial" w:hAnsi="Arial" w:cs="Arial"/>
          <w:sz w:val="22"/>
          <w:lang w:val="en-GB"/>
        </w:rPr>
        <w:t>GB/T51347</w:t>
      </w:r>
      <w:r>
        <w:rPr>
          <w:rFonts w:hint="eastAsia" w:ascii="Arial" w:hAnsi="Arial" w:cs="Arial"/>
          <w:sz w:val="22"/>
          <w:lang w:val="en-GB" w:eastAsia="zh-CN"/>
        </w:rPr>
        <w:t>—</w:t>
      </w:r>
      <w:r>
        <w:rPr>
          <w:rFonts w:ascii="Arial" w:hAnsi="Arial" w:cs="Arial"/>
          <w:sz w:val="22"/>
          <w:lang w:val="en-GB"/>
        </w:rPr>
        <w:t>2019</w:t>
      </w:r>
      <w:r>
        <w:rPr>
          <w:rFonts w:hint="eastAsia" w:ascii="Arial" w:hAnsi="Arial" w:cs="Arial"/>
          <w:sz w:val="22"/>
          <w:lang w:val="en-GB" w:eastAsia="zh-CN"/>
        </w:rPr>
        <w:t>）</w:t>
      </w:r>
      <w:r>
        <w:rPr>
          <w:rFonts w:ascii="Arial" w:hAnsi="Arial" w:cs="Arial"/>
          <w:sz w:val="22"/>
          <w:lang w:val="en-GB"/>
        </w:rPr>
        <w:t>、《农村生活污染控制技术规范》</w:t>
      </w:r>
      <w:r>
        <w:rPr>
          <w:rFonts w:hint="eastAsia" w:ascii="Arial" w:hAnsi="Arial" w:cs="Arial"/>
          <w:sz w:val="22"/>
          <w:lang w:val="en-GB" w:eastAsia="zh-CN"/>
        </w:rPr>
        <w:t>（</w:t>
      </w:r>
      <w:r>
        <w:rPr>
          <w:rFonts w:ascii="Arial" w:hAnsi="Arial" w:cs="Arial"/>
          <w:sz w:val="22"/>
          <w:lang w:val="en-GB"/>
        </w:rPr>
        <w:t>HJ574</w:t>
      </w:r>
      <w:r>
        <w:rPr>
          <w:rFonts w:hint="eastAsia" w:ascii="Arial" w:hAnsi="Arial" w:cs="Arial"/>
          <w:sz w:val="22"/>
          <w:lang w:val="en-GB" w:eastAsia="zh-CN"/>
        </w:rPr>
        <w:t>—</w:t>
      </w:r>
      <w:r>
        <w:rPr>
          <w:rFonts w:ascii="Arial" w:hAnsi="Arial" w:cs="Arial"/>
          <w:sz w:val="22"/>
          <w:lang w:val="en-GB"/>
        </w:rPr>
        <w:t>2010</w:t>
      </w:r>
      <w:r>
        <w:rPr>
          <w:rFonts w:hint="eastAsia" w:ascii="Arial" w:hAnsi="Arial" w:cs="Arial"/>
          <w:sz w:val="22"/>
          <w:lang w:val="en-GB" w:eastAsia="zh-CN"/>
        </w:rPr>
        <w:t>）</w:t>
      </w:r>
      <w:r>
        <w:rPr>
          <w:rFonts w:ascii="Arial" w:hAnsi="Arial" w:cs="Arial"/>
          <w:sz w:val="22"/>
          <w:lang w:val="en-GB"/>
        </w:rPr>
        <w:t>等。湖南和湖北两省也制定了相应的规章、规划、标准等，如《湖北省农村生活污水处理设施运行维护管理办法</w:t>
      </w:r>
      <w:r>
        <w:rPr>
          <w:rFonts w:hint="eastAsia" w:ascii="Arial" w:hAnsi="Arial" w:cs="Arial"/>
          <w:sz w:val="22"/>
          <w:lang w:val="en-GB" w:eastAsia="zh-CN"/>
        </w:rPr>
        <w:t>（</w:t>
      </w:r>
      <w:r>
        <w:rPr>
          <w:rFonts w:ascii="Arial" w:hAnsi="Arial" w:cs="Arial"/>
          <w:sz w:val="22"/>
          <w:lang w:val="en-GB"/>
        </w:rPr>
        <w:t>试行</w:t>
      </w:r>
      <w:r>
        <w:rPr>
          <w:rFonts w:hint="eastAsia" w:ascii="Arial" w:hAnsi="Arial" w:cs="Arial"/>
          <w:sz w:val="22"/>
          <w:lang w:val="en-GB" w:eastAsia="zh-CN"/>
        </w:rPr>
        <w:t>）</w:t>
      </w:r>
      <w:r>
        <w:rPr>
          <w:rFonts w:ascii="Arial" w:hAnsi="Arial" w:cs="Arial"/>
          <w:sz w:val="22"/>
          <w:lang w:val="en-GB"/>
        </w:rPr>
        <w:t>》</w:t>
      </w:r>
      <w:r>
        <w:rPr>
          <w:rFonts w:hint="eastAsia" w:ascii="Arial" w:hAnsi="Arial" w:cs="Arial"/>
          <w:sz w:val="22"/>
          <w:lang w:val="en-GB" w:eastAsia="zh-CN"/>
        </w:rPr>
        <w:t>（</w:t>
      </w:r>
      <w:r>
        <w:rPr>
          <w:rFonts w:ascii="Arial" w:hAnsi="Arial" w:cs="Arial"/>
          <w:sz w:val="22"/>
          <w:lang w:val="en-GB"/>
        </w:rPr>
        <w:t>2021年</w:t>
      </w:r>
      <w:r>
        <w:rPr>
          <w:rFonts w:hint="eastAsia" w:ascii="Arial" w:hAnsi="Arial" w:cs="Arial"/>
          <w:sz w:val="22"/>
          <w:lang w:val="en-GB" w:eastAsia="zh-CN"/>
        </w:rPr>
        <w:t>）</w:t>
      </w:r>
      <w:r>
        <w:rPr>
          <w:rFonts w:ascii="Arial" w:hAnsi="Arial" w:cs="Arial"/>
          <w:sz w:val="22"/>
          <w:lang w:val="en-GB"/>
        </w:rPr>
        <w:t>、《湖北省农村生活污水处理设施水污染物排放标准》</w:t>
      </w:r>
      <w:r>
        <w:rPr>
          <w:rFonts w:hint="eastAsia" w:ascii="Arial" w:hAnsi="Arial" w:cs="Arial"/>
          <w:sz w:val="22"/>
          <w:lang w:val="en-GB" w:eastAsia="zh-CN"/>
        </w:rPr>
        <w:t>（</w:t>
      </w:r>
      <w:r>
        <w:rPr>
          <w:rFonts w:ascii="Arial" w:hAnsi="Arial" w:cs="Arial"/>
          <w:sz w:val="22"/>
          <w:lang w:val="en-GB"/>
        </w:rPr>
        <w:t>DB42/1537</w:t>
      </w:r>
      <w:r>
        <w:rPr>
          <w:rFonts w:hint="eastAsia" w:ascii="Arial" w:hAnsi="Arial" w:cs="Arial"/>
          <w:sz w:val="22"/>
          <w:lang w:val="en-GB" w:eastAsia="zh-CN"/>
        </w:rPr>
        <w:t>—</w:t>
      </w:r>
      <w:r>
        <w:rPr>
          <w:rFonts w:ascii="Arial" w:hAnsi="Arial" w:cs="Arial"/>
          <w:sz w:val="22"/>
          <w:lang w:val="en-GB"/>
        </w:rPr>
        <w:t>2019</w:t>
      </w:r>
      <w:r>
        <w:rPr>
          <w:rFonts w:hint="eastAsia" w:ascii="Arial" w:hAnsi="Arial" w:cs="Arial"/>
          <w:sz w:val="22"/>
          <w:lang w:val="en-GB" w:eastAsia="zh-CN"/>
        </w:rPr>
        <w:t>）</w:t>
      </w:r>
      <w:r>
        <w:rPr>
          <w:rFonts w:ascii="Arial" w:hAnsi="Arial" w:cs="Arial"/>
          <w:sz w:val="22"/>
          <w:lang w:val="en-GB"/>
        </w:rPr>
        <w:t xml:space="preserve">、《湖北省农村生活污水治理行动计划 </w:t>
      </w:r>
      <w:r>
        <w:rPr>
          <w:rFonts w:hint="eastAsia" w:ascii="Arial" w:hAnsi="Arial" w:cs="Arial"/>
          <w:sz w:val="22"/>
          <w:lang w:val="en-GB" w:eastAsia="zh-CN"/>
        </w:rPr>
        <w:t>（</w:t>
      </w:r>
      <w:r>
        <w:rPr>
          <w:rFonts w:ascii="Arial" w:hAnsi="Arial" w:cs="Arial"/>
          <w:sz w:val="22"/>
          <w:lang w:val="en-GB"/>
        </w:rPr>
        <w:t>2020</w:t>
      </w:r>
      <w:r>
        <w:rPr>
          <w:rFonts w:hint="eastAsia" w:ascii="Arial" w:hAnsi="Arial" w:cs="Arial"/>
          <w:sz w:val="22"/>
          <w:lang w:val="en-GB" w:eastAsia="zh-CN"/>
        </w:rPr>
        <w:t>—</w:t>
      </w:r>
      <w:r>
        <w:rPr>
          <w:rFonts w:ascii="Arial" w:hAnsi="Arial" w:cs="Arial"/>
          <w:sz w:val="22"/>
          <w:lang w:val="en-GB"/>
        </w:rPr>
        <w:t>2022年</w:t>
      </w:r>
      <w:r>
        <w:rPr>
          <w:rFonts w:hint="eastAsia" w:ascii="Arial" w:hAnsi="Arial" w:cs="Arial"/>
          <w:sz w:val="22"/>
          <w:lang w:val="en-GB" w:eastAsia="zh-CN"/>
        </w:rPr>
        <w:t>）</w:t>
      </w:r>
      <w:r>
        <w:rPr>
          <w:rFonts w:ascii="Arial" w:hAnsi="Arial" w:cs="Arial"/>
          <w:sz w:val="22"/>
          <w:lang w:val="en-GB"/>
        </w:rPr>
        <w:t>》</w:t>
      </w:r>
      <w:r>
        <w:rPr>
          <w:rFonts w:hint="eastAsia" w:ascii="Arial" w:hAnsi="Arial" w:cs="Arial"/>
          <w:sz w:val="22"/>
          <w:lang w:val="en-GB" w:eastAsia="zh-CN"/>
        </w:rPr>
        <w:t>（</w:t>
      </w:r>
      <w:r>
        <w:rPr>
          <w:rFonts w:ascii="Arial" w:hAnsi="Arial" w:cs="Arial"/>
          <w:sz w:val="22"/>
          <w:lang w:val="en-GB"/>
        </w:rPr>
        <w:t>2020年</w:t>
      </w:r>
      <w:r>
        <w:rPr>
          <w:rFonts w:hint="eastAsia" w:ascii="Arial" w:hAnsi="Arial" w:cs="Arial"/>
          <w:sz w:val="22"/>
          <w:lang w:val="en-GB" w:eastAsia="zh-CN"/>
        </w:rPr>
        <w:t>）</w:t>
      </w:r>
      <w:r>
        <w:rPr>
          <w:rFonts w:ascii="Arial" w:hAnsi="Arial" w:cs="Arial"/>
          <w:sz w:val="22"/>
          <w:lang w:val="en-GB"/>
        </w:rPr>
        <w:t>、《湖北省农村生活污水治理考核细则》</w:t>
      </w:r>
      <w:r>
        <w:rPr>
          <w:rFonts w:hint="eastAsia" w:ascii="Arial" w:hAnsi="Arial" w:cs="Arial"/>
          <w:sz w:val="22"/>
          <w:lang w:val="en-GB" w:eastAsia="zh-CN"/>
        </w:rPr>
        <w:t>（</w:t>
      </w:r>
      <w:r>
        <w:rPr>
          <w:rFonts w:ascii="Arial" w:hAnsi="Arial" w:cs="Arial"/>
          <w:sz w:val="22"/>
          <w:lang w:val="en-GB"/>
        </w:rPr>
        <w:t>2021年</w:t>
      </w:r>
      <w:r>
        <w:rPr>
          <w:rFonts w:hint="eastAsia" w:ascii="Arial" w:hAnsi="Arial" w:cs="Arial"/>
          <w:sz w:val="22"/>
          <w:lang w:val="en-GB" w:eastAsia="zh-CN"/>
        </w:rPr>
        <w:t>）</w:t>
      </w:r>
      <w:r>
        <w:rPr>
          <w:rFonts w:ascii="Arial" w:hAnsi="Arial" w:cs="Arial"/>
          <w:sz w:val="22"/>
          <w:lang w:val="en-GB"/>
        </w:rPr>
        <w:t>、《仙桃市农村生活污水治理专项规划》</w:t>
      </w:r>
      <w:r>
        <w:rPr>
          <w:rFonts w:hint="eastAsia" w:ascii="Arial" w:hAnsi="Arial" w:cs="Arial"/>
          <w:sz w:val="22"/>
          <w:lang w:val="en-GB" w:eastAsia="zh-CN"/>
        </w:rPr>
        <w:t>（</w:t>
      </w:r>
      <w:r>
        <w:rPr>
          <w:rFonts w:ascii="Arial" w:hAnsi="Arial" w:cs="Arial"/>
          <w:sz w:val="22"/>
          <w:lang w:val="en-GB"/>
        </w:rPr>
        <w:t>2021年</w:t>
      </w:r>
      <w:r>
        <w:rPr>
          <w:rFonts w:hint="eastAsia" w:ascii="Arial" w:hAnsi="Arial" w:cs="Arial"/>
          <w:sz w:val="22"/>
          <w:lang w:val="en-GB" w:eastAsia="zh-CN"/>
        </w:rPr>
        <w:t>）</w:t>
      </w:r>
      <w:r>
        <w:rPr>
          <w:rFonts w:ascii="Arial" w:hAnsi="Arial" w:cs="Arial"/>
          <w:sz w:val="22"/>
          <w:lang w:val="en-GB"/>
        </w:rPr>
        <w:t>；《湖南省农村生活污水治理技术指南》</w:t>
      </w:r>
      <w:r>
        <w:rPr>
          <w:rFonts w:hint="eastAsia" w:ascii="Arial" w:hAnsi="Arial" w:cs="Arial"/>
          <w:sz w:val="22"/>
          <w:lang w:val="en-GB" w:eastAsia="zh-CN"/>
        </w:rPr>
        <w:t>（</w:t>
      </w:r>
      <w:r>
        <w:rPr>
          <w:rFonts w:ascii="Arial" w:hAnsi="Arial" w:cs="Arial"/>
          <w:sz w:val="22"/>
        </w:rPr>
        <w:t>2020年</w:t>
      </w:r>
      <w:r>
        <w:rPr>
          <w:rFonts w:hint="eastAsia" w:ascii="Arial" w:hAnsi="Arial" w:cs="Arial"/>
          <w:sz w:val="22"/>
          <w:lang w:val="en-GB" w:eastAsia="zh-CN"/>
        </w:rPr>
        <w:t>）</w:t>
      </w:r>
      <w:r>
        <w:rPr>
          <w:rFonts w:ascii="Arial" w:hAnsi="Arial" w:cs="Arial"/>
          <w:sz w:val="22"/>
          <w:lang w:val="en-GB"/>
        </w:rPr>
        <w:t>、《湖南省农村生活污水治理专项规划指导意见》</w:t>
      </w:r>
      <w:r>
        <w:rPr>
          <w:rFonts w:hint="eastAsia" w:ascii="Arial" w:hAnsi="Arial" w:cs="Arial"/>
          <w:sz w:val="22"/>
          <w:lang w:val="en-GB" w:eastAsia="zh-CN"/>
        </w:rPr>
        <w:t>（</w:t>
      </w:r>
      <w:r>
        <w:rPr>
          <w:rFonts w:ascii="Arial" w:hAnsi="Arial" w:cs="Arial"/>
          <w:sz w:val="22"/>
        </w:rPr>
        <w:t>2020年</w:t>
      </w:r>
      <w:r>
        <w:rPr>
          <w:rFonts w:hint="eastAsia" w:ascii="Arial" w:hAnsi="Arial" w:cs="Arial"/>
          <w:sz w:val="22"/>
          <w:lang w:val="en-GB" w:eastAsia="zh-CN"/>
        </w:rPr>
        <w:t>）</w:t>
      </w:r>
      <w:r>
        <w:rPr>
          <w:rFonts w:ascii="Arial" w:hAnsi="Arial" w:cs="Arial"/>
          <w:sz w:val="22"/>
          <w:lang w:val="en-GB"/>
        </w:rPr>
        <w:t>、《湖南省农村生活污水处理设施水污染物排放标准》</w:t>
      </w:r>
      <w:r>
        <w:rPr>
          <w:rFonts w:hint="eastAsia" w:ascii="Arial" w:hAnsi="Arial" w:cs="Arial"/>
          <w:sz w:val="22"/>
          <w:lang w:val="en-GB" w:eastAsia="zh-CN"/>
        </w:rPr>
        <w:t>（</w:t>
      </w:r>
      <w:r>
        <w:rPr>
          <w:rFonts w:ascii="Arial" w:hAnsi="Arial" w:cs="Arial"/>
          <w:sz w:val="22"/>
          <w:lang w:val="en-GB"/>
        </w:rPr>
        <w:t>DB43/1665</w:t>
      </w:r>
      <w:r>
        <w:rPr>
          <w:rFonts w:hint="eastAsia" w:ascii="Arial" w:hAnsi="Arial" w:cs="Arial"/>
          <w:sz w:val="22"/>
          <w:lang w:val="en-GB" w:eastAsia="zh-CN"/>
        </w:rPr>
        <w:t>—</w:t>
      </w:r>
      <w:r>
        <w:rPr>
          <w:rFonts w:ascii="Arial" w:hAnsi="Arial" w:cs="Arial"/>
          <w:sz w:val="22"/>
          <w:lang w:val="en-GB"/>
        </w:rPr>
        <w:t>2019</w:t>
      </w:r>
      <w:r>
        <w:rPr>
          <w:rFonts w:hint="eastAsia" w:ascii="Arial" w:hAnsi="Arial" w:cs="Arial"/>
          <w:sz w:val="22"/>
          <w:lang w:val="en-GB" w:eastAsia="zh-CN"/>
        </w:rPr>
        <w:t>）</w:t>
      </w:r>
      <w:r>
        <w:rPr>
          <w:rFonts w:ascii="Arial" w:hAnsi="Arial" w:cs="Arial"/>
          <w:sz w:val="22"/>
          <w:lang w:val="en-GB"/>
        </w:rPr>
        <w:t>、《澧县农村生活污水治理专项规划（2020</w:t>
      </w:r>
      <w:r>
        <w:rPr>
          <w:rFonts w:hint="eastAsia" w:ascii="Arial" w:hAnsi="Arial" w:cs="Arial"/>
          <w:sz w:val="22"/>
          <w:lang w:val="en-GB" w:eastAsia="zh-CN"/>
        </w:rPr>
        <w:t>—</w:t>
      </w:r>
      <w:r>
        <w:rPr>
          <w:rFonts w:ascii="Arial" w:hAnsi="Arial" w:cs="Arial"/>
          <w:sz w:val="22"/>
          <w:lang w:val="en-GB"/>
        </w:rPr>
        <w:t>2030）》</w:t>
      </w:r>
      <w:r>
        <w:rPr>
          <w:rFonts w:hint="eastAsia" w:ascii="Arial" w:hAnsi="Arial" w:cs="Arial"/>
          <w:sz w:val="22"/>
          <w:lang w:val="en-GB" w:eastAsia="zh-CN"/>
        </w:rPr>
        <w:t>（</w:t>
      </w:r>
      <w:r>
        <w:rPr>
          <w:rFonts w:ascii="Arial" w:hAnsi="Arial" w:cs="Arial"/>
          <w:sz w:val="22"/>
        </w:rPr>
        <w:t>2020年</w:t>
      </w:r>
      <w:r>
        <w:rPr>
          <w:rFonts w:hint="eastAsia" w:ascii="Arial" w:hAnsi="Arial" w:cs="Arial"/>
          <w:sz w:val="22"/>
          <w:lang w:val="en-GB" w:eastAsia="zh-CN"/>
        </w:rPr>
        <w:t>）</w:t>
      </w:r>
      <w:r>
        <w:rPr>
          <w:rFonts w:ascii="Arial" w:hAnsi="Arial" w:cs="Arial"/>
          <w:sz w:val="22"/>
          <w:lang w:val="en-GB"/>
        </w:rPr>
        <w:t>等。</w:t>
      </w:r>
    </w:p>
    <w:p w14:paraId="7767B95E">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613F45E1">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合理选择技术模式</w:t>
      </w:r>
      <w:r>
        <w:rPr>
          <w:rFonts w:ascii="Arial" w:hAnsi="Arial" w:cs="Arial"/>
          <w:sz w:val="22"/>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有条件的地区推进城镇污水处理设施和服务向城镇近郊的农村延伸；2</w:t>
      </w:r>
      <w:r>
        <w:rPr>
          <w:rFonts w:hint="eastAsia" w:ascii="Arial" w:hAnsi="Arial" w:cs="Arial"/>
          <w:sz w:val="22"/>
          <w:lang w:val="en-GB" w:eastAsia="zh-CN"/>
        </w:rPr>
        <w:t>）</w:t>
      </w:r>
      <w:r>
        <w:rPr>
          <w:rFonts w:ascii="Arial" w:hAnsi="Arial" w:cs="Arial"/>
          <w:sz w:val="22"/>
          <w:lang w:val="en-GB"/>
        </w:rPr>
        <w:t xml:space="preserve"> 离城镇生活污水管网较远、</w:t>
      </w:r>
      <w:r>
        <w:rPr>
          <w:rFonts w:hint="eastAsia" w:ascii="Arial" w:hAnsi="Arial" w:cs="Arial"/>
          <w:sz w:val="22"/>
          <w:lang w:val="en-GB" w:eastAsia="zh-CN"/>
        </w:rPr>
        <w:t>人群</w:t>
      </w:r>
      <w:r>
        <w:rPr>
          <w:rFonts w:ascii="Arial" w:hAnsi="Arial" w:cs="Arial"/>
          <w:sz w:val="22"/>
          <w:lang w:val="en-GB"/>
        </w:rPr>
        <w:t>密集且不具备利用条件的村庄，可建设集中处理设施实现达标排放；3</w:t>
      </w:r>
      <w:r>
        <w:rPr>
          <w:rFonts w:hint="eastAsia" w:ascii="Arial" w:hAnsi="Arial" w:cs="Arial"/>
          <w:sz w:val="22"/>
          <w:lang w:val="en-GB" w:eastAsia="zh-CN"/>
        </w:rPr>
        <w:t>）</w:t>
      </w:r>
      <w:r>
        <w:rPr>
          <w:rFonts w:ascii="Arial" w:hAnsi="Arial" w:cs="Arial"/>
          <w:sz w:val="22"/>
          <w:lang w:val="en-GB"/>
        </w:rPr>
        <w:t xml:space="preserve"> 人口较少的村庄，以卫生厕所改造为重点推进农村生活治理，在杜绝化粪池出水直排基础上，就地就近实现农田利用。推广低成本、低能耗、易维护、高效率的污水处理技术，鼓励具备条件的地区采用以渔净水、人工湿地、氧化塘等生态处理模式。</w:t>
      </w:r>
    </w:p>
    <w:p w14:paraId="5368B6F5">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完善管护机制</w:t>
      </w:r>
      <w:r>
        <w:rPr>
          <w:rFonts w:ascii="Arial" w:hAnsi="Arial" w:cs="Arial"/>
          <w:sz w:val="22"/>
        </w:rPr>
        <w:t>：建立管护队伍，开展培训提高业务水平；</w:t>
      </w:r>
      <w:r>
        <w:rPr>
          <w:rFonts w:ascii="Arial" w:hAnsi="Arial" w:cs="Arial"/>
          <w:sz w:val="22"/>
          <w:lang w:val="en-GB"/>
        </w:rPr>
        <w:t>鼓励专业化、市场化运行管理；鼓励有条件的地区探索建立污水处理受益农户付费制度，</w:t>
      </w:r>
      <w:r>
        <w:rPr>
          <w:rFonts w:ascii="Arial" w:hAnsi="Arial" w:cs="Arial"/>
          <w:sz w:val="22"/>
        </w:rPr>
        <w:t>提高农户自觉参与的积极性</w:t>
      </w:r>
      <w:r>
        <w:rPr>
          <w:rFonts w:ascii="Arial" w:hAnsi="Arial" w:cs="Arial"/>
          <w:sz w:val="22"/>
          <w:lang w:val="en-GB"/>
        </w:rPr>
        <w:t>。</w:t>
      </w:r>
    </w:p>
    <w:p w14:paraId="733FB642">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lang w:val="en-GB"/>
        </w:rPr>
        <w:tab/>
      </w:r>
      <w:r>
        <w:rPr>
          <w:rFonts w:ascii="Arial" w:hAnsi="Arial" w:cs="Arial"/>
          <w:b/>
          <w:bCs/>
          <w:sz w:val="22"/>
          <w:lang w:val="en-GB"/>
        </w:rPr>
        <w:t>建立监测制度</w:t>
      </w:r>
      <w:r>
        <w:rPr>
          <w:rFonts w:ascii="Arial" w:hAnsi="Arial" w:cs="Arial"/>
          <w:sz w:val="22"/>
          <w:lang w:val="en-GB"/>
        </w:rPr>
        <w:t>：县级环境监测站要开展农村生活污水处理设施运行情况监督性监测。日处理能力100吨以上的污水处理设施，每季度至少监测一次；日处理能力20</w:t>
      </w:r>
      <w:r>
        <w:rPr>
          <w:rFonts w:hint="eastAsia" w:ascii="Arial" w:hAnsi="Arial" w:cs="Arial"/>
          <w:sz w:val="22"/>
          <w:lang w:val="en-GB" w:eastAsia="zh-CN"/>
        </w:rPr>
        <w:t>—</w:t>
      </w:r>
      <w:r>
        <w:rPr>
          <w:rFonts w:ascii="Arial" w:hAnsi="Arial" w:cs="Arial"/>
          <w:sz w:val="22"/>
          <w:lang w:val="en-GB"/>
        </w:rPr>
        <w:t>100吨的污水处理设施，每年至少监测一次。无县级站或县级站不具备监测能力的，由地市级监测提供必要的支持，或者由县级生态环境部门委托具有资质的监测机构承担监测任务。</w:t>
      </w:r>
    </w:p>
    <w:p w14:paraId="6E3FF956">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lang w:val="en-GB"/>
        </w:rPr>
        <w:tab/>
      </w:r>
      <w:r>
        <w:rPr>
          <w:rFonts w:ascii="Arial" w:hAnsi="Arial" w:cs="Arial"/>
          <w:b/>
          <w:bCs/>
          <w:sz w:val="22"/>
          <w:lang w:val="en-GB"/>
        </w:rPr>
        <w:t>统筹推进农村厕所革命</w:t>
      </w:r>
      <w:r>
        <w:rPr>
          <w:rFonts w:ascii="Arial" w:hAnsi="Arial" w:cs="Arial"/>
          <w:sz w:val="22"/>
          <w:lang w:val="en-GB"/>
        </w:rPr>
        <w:t>：具备条件的地区一体化推进、</w:t>
      </w:r>
      <w:r>
        <w:rPr>
          <w:rFonts w:ascii="Arial" w:hAnsi="Arial" w:cs="Arial"/>
          <w:sz w:val="22"/>
        </w:rPr>
        <w:t>同步设计</w:t>
      </w:r>
      <w:r>
        <w:rPr>
          <w:rFonts w:ascii="Arial" w:hAnsi="Arial" w:cs="Arial"/>
          <w:sz w:val="22"/>
          <w:lang w:val="en-GB"/>
        </w:rPr>
        <w:t>、同步建设、同步运营。</w:t>
      </w:r>
    </w:p>
    <w:p w14:paraId="274D3FB8">
      <w:pPr>
        <w:pStyle w:val="48"/>
        <w:tabs>
          <w:tab w:val="left" w:pos="790"/>
          <w:tab w:val="left" w:pos="851"/>
        </w:tabs>
        <w:adjustRightInd w:val="0"/>
        <w:snapToGrid w:val="0"/>
        <w:spacing w:before="120" w:after="120"/>
        <w:ind w:firstLine="0" w:firstLineChars="0"/>
        <w:jc w:val="both"/>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599249D6">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实际操作中，农村生活污水由生态环境部门作为行业主管部门负责总体管理，同时也涉及其他部门的协作，如农业农村部门或乡镇振兴部门负责农户厕所改造管理，住建/城管部门负责对接收少量农村生活污水的城镇污水系统进行管理。</w:t>
      </w:r>
    </w:p>
    <w:p w14:paraId="73A60CCD">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hint="eastAsia" w:ascii="Arial" w:hAnsi="Arial" w:cs="Arial"/>
          <w:sz w:val="22"/>
          <w:lang w:eastAsia="zh-CN"/>
        </w:rPr>
        <w:t>生态环境部</w:t>
      </w:r>
      <w:r>
        <w:rPr>
          <w:rFonts w:ascii="Arial" w:hAnsi="Arial" w:cs="Arial"/>
          <w:sz w:val="22"/>
        </w:rPr>
        <w:t>的土壤生态环境司下设机构农村生态环境处从国家层面组织宏观指导农村生活污水管理。湖</w:t>
      </w:r>
      <w:r>
        <w:rPr>
          <w:rFonts w:hint="eastAsia" w:ascii="Arial" w:hAnsi="Arial" w:cs="Arial"/>
          <w:sz w:val="22"/>
          <w:lang w:eastAsia="zh-CN"/>
        </w:rPr>
        <w:t>南省</w:t>
      </w:r>
      <w:r>
        <w:rPr>
          <w:rFonts w:ascii="Arial" w:hAnsi="Arial" w:cs="Arial"/>
          <w:sz w:val="22"/>
        </w:rPr>
        <w:t>和湖北省生态环境厅设有土壤生态环境处，指导辖区内农村生活污水管理工作。区县级生态环境局具体负责农村生活污水收集与处理的行业监管。一般设有业务股或综合股（2</w:t>
      </w:r>
      <w:r>
        <w:rPr>
          <w:rFonts w:hint="eastAsia" w:ascii="Arial" w:hAnsi="Arial" w:cs="Arial"/>
          <w:sz w:val="22"/>
          <w:lang w:eastAsia="zh-CN"/>
        </w:rPr>
        <w:t>—</w:t>
      </w:r>
      <w:r>
        <w:rPr>
          <w:rFonts w:ascii="Arial" w:hAnsi="Arial" w:cs="Arial"/>
          <w:sz w:val="22"/>
        </w:rPr>
        <w:t>3人）负责监管小型农村污水处理设施建设与运行；环境监测站（4</w:t>
      </w:r>
      <w:r>
        <w:rPr>
          <w:rFonts w:hint="eastAsia" w:ascii="Arial" w:hAnsi="Arial" w:cs="Arial"/>
          <w:sz w:val="22"/>
          <w:lang w:eastAsia="zh-CN"/>
        </w:rPr>
        <w:t>—</w:t>
      </w:r>
      <w:r>
        <w:rPr>
          <w:rFonts w:ascii="Arial" w:hAnsi="Arial" w:cs="Arial"/>
          <w:sz w:val="22"/>
        </w:rPr>
        <w:t>7人）或委托第三方机构对20吨/天及以上的农村污水处理设施开展监督性监测；环境执法大队（10人左右）通过“双随机、一公开”的方式不定期开展污水设施运行和达标排放情况检查。</w:t>
      </w:r>
    </w:p>
    <w:p w14:paraId="44461234">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根据对两省6个样本县市的实地调查发现，大部分村屯仅具有水冲式厕所和三格化粪池进行初步的污水处理；少部分</w:t>
      </w:r>
      <w:r>
        <w:rPr>
          <w:rFonts w:ascii="Arial" w:hAnsi="Arial" w:cs="Arial"/>
          <w:sz w:val="22"/>
          <w:lang w:val="en-GB"/>
        </w:rPr>
        <w:t>村庄采用小型集中式污水处理设施</w:t>
      </w:r>
      <w:r>
        <w:rPr>
          <w:rFonts w:ascii="Arial" w:hAnsi="Arial" w:cs="Arial"/>
          <w:sz w:val="22"/>
        </w:rPr>
        <w:t>；还有少数村屯的生活污水</w:t>
      </w:r>
      <w:r>
        <w:rPr>
          <w:rFonts w:ascii="Arial" w:hAnsi="Arial" w:cs="Arial"/>
          <w:sz w:val="22"/>
          <w:lang w:val="en-GB"/>
        </w:rPr>
        <w:t>纳入附近城镇污水系统。</w:t>
      </w:r>
    </w:p>
    <w:p w14:paraId="4F3526F0">
      <w:pPr>
        <w:pStyle w:val="48"/>
        <w:numPr>
          <w:ilvl w:val="0"/>
          <w:numId w:val="20"/>
        </w:numPr>
        <w:tabs>
          <w:tab w:val="left" w:pos="851"/>
        </w:tabs>
        <w:adjustRightInd w:val="0"/>
        <w:snapToGrid w:val="0"/>
        <w:spacing w:before="120" w:after="120"/>
        <w:ind w:left="851" w:hanging="845" w:firstLineChars="0"/>
        <w:jc w:val="both"/>
        <w:rPr>
          <w:rFonts w:ascii="Arial" w:hAnsi="Arial" w:cs="Arial"/>
          <w:sz w:val="22"/>
        </w:rPr>
      </w:pPr>
      <w:r>
        <w:rPr>
          <w:rFonts w:ascii="Arial" w:hAnsi="Arial" w:cs="Arial"/>
          <w:sz w:val="22"/>
        </w:rPr>
        <w:t>湖南和湖北省均已完成90%多农村户厕改造，户厕改造包括将旱厕改为水冲式厕所，并修建三格化粪池，经化粪池处理后的粪污大部分由农户还田利用</w:t>
      </w:r>
    </w:p>
    <w:p w14:paraId="45239B0E">
      <w:pPr>
        <w:pStyle w:val="48"/>
        <w:numPr>
          <w:ilvl w:val="0"/>
          <w:numId w:val="20"/>
        </w:numPr>
        <w:tabs>
          <w:tab w:val="left" w:pos="851"/>
        </w:tabs>
        <w:adjustRightInd w:val="0"/>
        <w:snapToGrid w:val="0"/>
        <w:spacing w:before="120" w:after="120"/>
        <w:ind w:left="851" w:hanging="845" w:firstLineChars="0"/>
        <w:jc w:val="both"/>
        <w:rPr>
          <w:rFonts w:ascii="Arial" w:hAnsi="Arial" w:cs="Arial"/>
          <w:sz w:val="22"/>
        </w:rPr>
      </w:pPr>
      <w:r>
        <w:rPr>
          <w:rFonts w:ascii="Arial" w:hAnsi="Arial" w:cs="Arial"/>
          <w:sz w:val="22"/>
        </w:rPr>
        <w:t>小型农村污水处理设施处理能力多为几十吨/天，运维人员和费用大多由相应的村集体负责安排，少数试点示范县市由第三方公司负责全县农村生活污水建设和运行，</w:t>
      </w:r>
      <w:r>
        <w:rPr>
          <w:rFonts w:ascii="Arial" w:hAnsi="Arial" w:cs="Arial"/>
          <w:sz w:val="22"/>
          <w:lang w:val="en-GB"/>
        </w:rPr>
        <w:t>如湖北省洪湖市委托万安环境工程有限公司对68个农村污水处理设施统一运维管理。</w:t>
      </w:r>
      <w:r>
        <w:rPr>
          <w:rFonts w:ascii="Arial" w:hAnsi="Arial" w:cs="Arial"/>
          <w:sz w:val="22"/>
        </w:rPr>
        <w:t>这些样本县市均针对日处理能力20吨以上的设施开展出水监测，通过人工采样方式，一般频率为每季度或半年一次，有些地方由市或县级环境监测站实施，有些是委托第三方开展监测。在两省样本县的调查中也发现，个别的小型农村污水处理设施的运行维护费用存在缺口，难以实现可持续运转。</w:t>
      </w:r>
    </w:p>
    <w:p w14:paraId="02004813">
      <w:pPr>
        <w:pStyle w:val="48"/>
        <w:numPr>
          <w:ilvl w:val="0"/>
          <w:numId w:val="20"/>
        </w:numPr>
        <w:tabs>
          <w:tab w:val="left" w:pos="851"/>
        </w:tabs>
        <w:adjustRightInd w:val="0"/>
        <w:snapToGrid w:val="0"/>
        <w:spacing w:before="120" w:after="120"/>
        <w:ind w:left="851" w:hanging="845" w:firstLineChars="0"/>
        <w:rPr>
          <w:rFonts w:ascii="Arial" w:hAnsi="Arial" w:cs="Arial"/>
          <w:sz w:val="22"/>
        </w:rPr>
      </w:pPr>
      <w:r>
        <w:rPr>
          <w:rFonts w:ascii="Arial" w:hAnsi="Arial" w:cs="Arial"/>
          <w:sz w:val="22"/>
        </w:rPr>
        <w:t>接纳少量农村生活污水的城镇污水处理设施一般采用PPP模式建设和运行，并实行“厂网一体化”管理，由</w:t>
      </w:r>
      <w:r>
        <w:rPr>
          <w:rFonts w:ascii="Arial" w:hAnsi="Arial" w:cs="Arial"/>
          <w:bCs/>
          <w:sz w:val="22"/>
        </w:rPr>
        <w:t>第三方公司通过签署委托协议提供专业化运维服务，能够保证有效的运维技术、资金运转、水质监测等安排。</w:t>
      </w:r>
    </w:p>
    <w:p w14:paraId="5FD9A82A">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3C1533FE">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国家及湖南和湖北两省在农村生活污水收集与处理方面具有健全的法规框架、运维机制和机构安排，符合世行</w:t>
      </w:r>
      <w:r>
        <w:rPr>
          <w:rFonts w:ascii="Arial" w:hAnsi="Arial" w:cs="Arial"/>
          <w:sz w:val="22"/>
          <w:lang w:val="en-GB"/>
        </w:rPr>
        <w:t>PforR核心原则要求，且</w:t>
      </w:r>
      <w:r>
        <w:rPr>
          <w:rFonts w:ascii="Arial" w:hAnsi="Arial" w:cs="Arial"/>
          <w:sz w:val="22"/>
        </w:rPr>
        <w:t>与世行“水与卫生环境健康与安全指南”总体相一致并涵盖了良好的国际行业实践。不过，因为广大农村地区分布广泛、地形复杂、居住分散，农村生活污水管理也正在逐步推进和完善中。</w:t>
      </w:r>
    </w:p>
    <w:p w14:paraId="147874DD">
      <w:pPr>
        <w:pStyle w:val="4"/>
        <w:adjustRightInd w:val="0"/>
        <w:snapToGrid w:val="0"/>
        <w:spacing w:before="120" w:after="120" w:line="240" w:lineRule="auto"/>
        <w:rPr>
          <w:rFonts w:ascii="Arial" w:hAnsi="Arial" w:cs="Arial"/>
          <w:color w:val="1F4E79" w:themeColor="accent5" w:themeShade="80"/>
          <w:sz w:val="24"/>
          <w:szCs w:val="24"/>
          <w:lang w:val="en-GB"/>
        </w:rPr>
      </w:pPr>
      <w:bookmarkStart w:id="349" w:name="_Toc119937290"/>
      <w:r>
        <w:rPr>
          <w:rFonts w:ascii="Arial" w:hAnsi="Arial" w:cs="Arial"/>
          <w:color w:val="1F4E79" w:themeColor="accent5" w:themeShade="80"/>
          <w:sz w:val="24"/>
          <w:szCs w:val="24"/>
          <w:lang w:val="en-GB"/>
        </w:rPr>
        <w:t>4.3.6</w:t>
      </w:r>
      <w:r>
        <w:rPr>
          <w:rFonts w:ascii="Arial" w:hAnsi="Arial" w:cs="Arial"/>
          <w:color w:val="1F4E79" w:themeColor="accent5" w:themeShade="80"/>
          <w:sz w:val="24"/>
          <w:szCs w:val="24"/>
          <w:lang w:val="en-GB"/>
        </w:rPr>
        <w:tab/>
      </w:r>
      <w:r>
        <w:rPr>
          <w:rFonts w:ascii="Arial" w:hAnsi="Arial" w:cs="Arial"/>
          <w:color w:val="1F4E79" w:themeColor="accent5" w:themeShade="80"/>
          <w:sz w:val="24"/>
          <w:szCs w:val="24"/>
          <w:lang w:val="en-GB"/>
        </w:rPr>
        <w:t>农村生活垃圾管理</w:t>
      </w:r>
      <w:bookmarkEnd w:id="349"/>
    </w:p>
    <w:p w14:paraId="534B742D">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bookmarkStart w:id="350" w:name="_Toc79939257"/>
      <w:bookmarkStart w:id="351" w:name="_Toc66694841"/>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10B4C362">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《农村生活垃圾收运和处理技术标准》</w:t>
      </w:r>
      <w:r>
        <w:rPr>
          <w:rFonts w:hint="eastAsia" w:ascii="Arial" w:hAnsi="Arial" w:cs="Arial"/>
          <w:sz w:val="22"/>
          <w:lang w:eastAsia="zh-CN"/>
        </w:rPr>
        <w:t>（</w:t>
      </w:r>
      <w:r>
        <w:rPr>
          <w:rFonts w:ascii="Arial" w:hAnsi="Arial" w:cs="Arial"/>
          <w:sz w:val="22"/>
        </w:rPr>
        <w:t>GB/T51435</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农村生活垃圾分为可卖垃圾、易腐垃圾、有害垃圾、灰土和其他垃圾5类。可卖垃圾的运输和处理与再生资源回收体系衔接；有害垃圾由有资质的单位进行收集和处理；灰土单独收集，就地就近填埋处置；易腐垃圾单独收集，就地消纳处理形成资源化利用产品。农村生活垃圾收集站应与集中居住区保持适当距离，并远离农田、河道、坑塘、饮用水源地等环境敏感区域</w:t>
      </w:r>
      <w:bookmarkStart w:id="352" w:name="OLE_LINK11"/>
      <w:bookmarkStart w:id="353" w:name="OLE_LINK10"/>
      <w:r>
        <w:rPr>
          <w:rFonts w:ascii="Arial" w:hAnsi="Arial" w:cs="Arial"/>
          <w:sz w:val="22"/>
        </w:rPr>
        <w:t>，并设置通风、除尘、除臭、隔声等环境保护设施</w:t>
      </w:r>
      <w:bookmarkEnd w:id="352"/>
      <w:bookmarkEnd w:id="353"/>
      <w:r>
        <w:rPr>
          <w:rFonts w:ascii="Arial" w:hAnsi="Arial" w:cs="Arial"/>
          <w:sz w:val="22"/>
        </w:rPr>
        <w:t>。乡镇应设置转运站，设置的通风、除尘、除臭、隔声等装置应进行及时维护、保养。</w:t>
      </w:r>
    </w:p>
    <w:p w14:paraId="01B842B3">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《生活垃圾收集运输技术规程》</w:t>
      </w:r>
      <w:r>
        <w:rPr>
          <w:rFonts w:hint="eastAsia" w:ascii="Arial" w:hAnsi="Arial" w:cs="Arial"/>
          <w:sz w:val="22"/>
          <w:lang w:eastAsia="zh-CN"/>
        </w:rPr>
        <w:t>（</w:t>
      </w:r>
      <w:r>
        <w:rPr>
          <w:rFonts w:ascii="Arial" w:hAnsi="Arial" w:cs="Arial"/>
          <w:sz w:val="22"/>
        </w:rPr>
        <w:t>CJJ205</w:t>
      </w:r>
      <w:r>
        <w:rPr>
          <w:rFonts w:hint="eastAsia" w:ascii="Arial" w:hAnsi="Arial" w:cs="Arial"/>
          <w:sz w:val="22"/>
          <w:lang w:eastAsia="zh-CN"/>
        </w:rPr>
        <w:t>—</w:t>
      </w:r>
      <w:r>
        <w:rPr>
          <w:rFonts w:ascii="Arial" w:hAnsi="Arial" w:cs="Arial"/>
          <w:sz w:val="22"/>
        </w:rPr>
        <w:t>2013</w:t>
      </w:r>
      <w:r>
        <w:rPr>
          <w:rFonts w:hint="eastAsia" w:ascii="Arial" w:hAnsi="Arial" w:cs="Arial"/>
          <w:sz w:val="22"/>
          <w:lang w:eastAsia="zh-CN"/>
        </w:rPr>
        <w:t>）</w:t>
      </w:r>
      <w:r>
        <w:rPr>
          <w:rFonts w:ascii="Arial" w:hAnsi="Arial" w:cs="Arial"/>
          <w:sz w:val="22"/>
        </w:rPr>
        <w:t>：镇村生活垃圾推行分类收集，统筹运输和处理。农业废物不宜混入生活垃圾收运系统。建筑垃圾、工业废物、医疗废物、生活垃圾中的危险物及其他类别危险废物严禁混入生活垃圾收运系统。收集运输设备应密闭，防止尘屑洒落和垃圾污水滴落。垃圾收集站设置的通风、降尘、除臭、降噪等装置应及时进行维护、保养；垃圾收集作业人员上岗应穿戴/佩戴劳动保护用具、用品。</w:t>
      </w:r>
    </w:p>
    <w:p w14:paraId="14E37411">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《生活垃圾转运站技术规范》</w:t>
      </w:r>
      <w:r>
        <w:rPr>
          <w:rFonts w:hint="eastAsia" w:ascii="Arial" w:hAnsi="Arial" w:cs="Arial"/>
          <w:b/>
          <w:bCs/>
          <w:sz w:val="22"/>
          <w:lang w:eastAsia="zh-CN"/>
        </w:rPr>
        <w:t>（</w:t>
      </w:r>
      <w:r>
        <w:rPr>
          <w:rFonts w:ascii="Arial" w:hAnsi="Arial" w:cs="Arial"/>
          <w:sz w:val="22"/>
        </w:rPr>
        <w:t>CJJ/T47</w:t>
      </w:r>
      <w:r>
        <w:rPr>
          <w:rFonts w:hint="eastAsia" w:ascii="Arial" w:hAnsi="Arial" w:cs="Arial"/>
          <w:sz w:val="22"/>
          <w:lang w:eastAsia="zh-CN"/>
        </w:rPr>
        <w:t>—</w:t>
      </w:r>
      <w:r>
        <w:rPr>
          <w:rFonts w:ascii="Arial" w:hAnsi="Arial" w:cs="Arial"/>
          <w:sz w:val="22"/>
        </w:rPr>
        <w:t>2016</w:t>
      </w:r>
      <w:r>
        <w:rPr>
          <w:rFonts w:hint="eastAsia" w:ascii="Arial" w:hAnsi="Arial" w:cs="Arial"/>
          <w:sz w:val="22"/>
          <w:lang w:eastAsia="zh-CN"/>
        </w:rPr>
        <w:t>）</w:t>
      </w:r>
      <w:r>
        <w:rPr>
          <w:rFonts w:ascii="Arial" w:hAnsi="Arial" w:cs="Arial"/>
          <w:sz w:val="22"/>
        </w:rPr>
        <w:t>：</w:t>
      </w:r>
      <w:bookmarkStart w:id="354" w:name="OLE_LINK8"/>
      <w:bookmarkStart w:id="355" w:name="OLE_LINK9"/>
      <w:r>
        <w:rPr>
          <w:rFonts w:ascii="Arial" w:hAnsi="Arial" w:cs="Arial"/>
          <w:sz w:val="22"/>
        </w:rPr>
        <w:t>转运站</w:t>
      </w:r>
      <w:bookmarkEnd w:id="354"/>
      <w:bookmarkEnd w:id="355"/>
      <w:r>
        <w:rPr>
          <w:rFonts w:ascii="Arial" w:hAnsi="Arial" w:cs="Arial"/>
          <w:sz w:val="22"/>
        </w:rPr>
        <w:t>不宜设在繁华地段、群众日常生活聚集场所和其他人流密集区域；周边应设置绿化隔离带；垃圾卸料、转运作业区应配置通风、降尘、除臭系统；保证垃圾转运作业在相对密闭状态下进行；应设置员工卫生设施并配备必要的劳保用品。</w:t>
      </w:r>
    </w:p>
    <w:p w14:paraId="74E87C01">
      <w:pPr>
        <w:pStyle w:val="48"/>
        <w:widowControl w:val="0"/>
        <w:numPr>
          <w:ilvl w:val="0"/>
          <w:numId w:val="5"/>
        </w:numPr>
        <w:adjustRightInd w:val="0"/>
        <w:snapToGrid w:val="0"/>
        <w:spacing w:before="120" w:after="120"/>
        <w:ind w:left="0" w:firstLine="0" w:firstLineChars="0"/>
        <w:jc w:val="both"/>
        <w:rPr>
          <w:rFonts w:ascii="Arial" w:hAnsi="Arial" w:cs="Arial"/>
          <w:sz w:val="22"/>
        </w:rPr>
      </w:pPr>
      <w:r>
        <w:rPr>
          <w:rFonts w:ascii="Arial" w:hAnsi="Arial" w:cs="Arial"/>
          <w:sz w:val="22"/>
        </w:rPr>
        <w:t>湖北省还制定了《湖北省城乡生活垃圾分类专项规划（2021年</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湖北省推进城乡生活垃圾分类工作实施方案》</w:t>
      </w:r>
      <w:r>
        <w:rPr>
          <w:rFonts w:hint="eastAsia" w:ascii="Arial" w:hAnsi="Arial" w:cs="Arial"/>
          <w:sz w:val="22"/>
          <w:lang w:eastAsia="zh-CN"/>
        </w:rPr>
        <w:t>（</w:t>
      </w:r>
      <w:r>
        <w:rPr>
          <w:rFonts w:ascii="Arial" w:hAnsi="Arial" w:cs="Arial"/>
          <w:sz w:val="22"/>
        </w:rPr>
        <w:t>2019年</w:t>
      </w:r>
      <w:r>
        <w:rPr>
          <w:rFonts w:hint="eastAsia" w:ascii="Arial" w:hAnsi="Arial" w:cs="Arial"/>
          <w:sz w:val="22"/>
          <w:lang w:eastAsia="zh-CN"/>
        </w:rPr>
        <w:t>）</w:t>
      </w:r>
      <w:r>
        <w:rPr>
          <w:rFonts w:ascii="Arial" w:hAnsi="Arial" w:cs="Arial"/>
          <w:sz w:val="22"/>
        </w:rPr>
        <w:t>、《湖北省餐厨垃圾管理办法》</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、《湖北省城乡生活垃圾分类技术导则》</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；湖南省制定了《农村生活垃圾治理技术导则（试行）》</w:t>
      </w:r>
      <w:r>
        <w:rPr>
          <w:rFonts w:hint="eastAsia" w:ascii="Arial" w:hAnsi="Arial" w:cs="Arial"/>
          <w:sz w:val="22"/>
          <w:lang w:eastAsia="zh-CN"/>
        </w:rPr>
        <w:t>（</w:t>
      </w:r>
      <w:r>
        <w:rPr>
          <w:rFonts w:ascii="Arial" w:hAnsi="Arial" w:cs="Arial"/>
          <w:sz w:val="22"/>
        </w:rPr>
        <w:t>2016年</w:t>
      </w:r>
      <w:r>
        <w:rPr>
          <w:rFonts w:hint="eastAsia" w:ascii="Arial" w:hAnsi="Arial" w:cs="Arial"/>
          <w:sz w:val="22"/>
          <w:lang w:eastAsia="zh-CN"/>
        </w:rPr>
        <w:t>）</w:t>
      </w:r>
      <w:r>
        <w:rPr>
          <w:rFonts w:ascii="Arial" w:hAnsi="Arial" w:cs="Arial"/>
          <w:sz w:val="22"/>
        </w:rPr>
        <w:t>、《关于开展全省农村生活垃圾治理攻坚行动的通知》</w:t>
      </w:r>
      <w:r>
        <w:rPr>
          <w:rFonts w:hint="eastAsia" w:ascii="Arial" w:hAnsi="Arial" w:cs="Arial"/>
          <w:sz w:val="22"/>
          <w:lang w:eastAsia="zh-CN"/>
        </w:rPr>
        <w:t>（</w:t>
      </w:r>
      <w:r>
        <w:rPr>
          <w:rFonts w:ascii="Arial" w:hAnsi="Arial" w:cs="Arial"/>
          <w:sz w:val="22"/>
        </w:rPr>
        <w:t>2020年</w:t>
      </w:r>
      <w:r>
        <w:rPr>
          <w:rFonts w:hint="eastAsia" w:ascii="Arial" w:hAnsi="Arial" w:cs="Arial"/>
          <w:sz w:val="22"/>
          <w:lang w:eastAsia="zh-CN"/>
        </w:rPr>
        <w:t>）</w:t>
      </w:r>
      <w:r>
        <w:rPr>
          <w:rFonts w:ascii="Arial" w:hAnsi="Arial" w:cs="Arial"/>
          <w:sz w:val="22"/>
        </w:rPr>
        <w:t>等。</w:t>
      </w:r>
    </w:p>
    <w:p w14:paraId="15EA1C51">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514CFCE8">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根据国家关于城乡生活垃圾分类管理和资源化利用的要求，湖南和湖北两省制定了具体的实施机制，主要包括：</w:t>
      </w:r>
      <w:r>
        <w:rPr>
          <w:rFonts w:ascii="Arial" w:hAnsi="Arial" w:cs="Arial"/>
          <w:b/>
          <w:bCs/>
          <w:sz w:val="22"/>
        </w:rPr>
        <w:t xml:space="preserve"> </w:t>
      </w:r>
      <w:r>
        <w:rPr>
          <w:rFonts w:hint="eastAsia" w:ascii="Arial" w:hAnsi="Arial" w:cs="Arial"/>
          <w:b/>
          <w:bCs/>
          <w:sz w:val="22"/>
          <w:lang w:eastAsia="zh-CN"/>
        </w:rPr>
        <w:t>（</w:t>
      </w:r>
      <w:r>
        <w:rPr>
          <w:rFonts w:ascii="Arial" w:hAnsi="Arial" w:cs="Arial"/>
          <w:b/>
          <w:bCs/>
          <w:sz w:val="22"/>
        </w:rPr>
        <w:t>1</w:t>
      </w:r>
      <w:r>
        <w:rPr>
          <w:rFonts w:hint="eastAsia" w:ascii="Arial" w:hAnsi="Arial" w:cs="Arial"/>
          <w:b/>
          <w:bCs/>
          <w:sz w:val="22"/>
          <w:lang w:eastAsia="zh-CN"/>
        </w:rPr>
        <w:t>）</w:t>
      </w:r>
      <w:r>
        <w:rPr>
          <w:rFonts w:ascii="Arial" w:hAnsi="Arial" w:cs="Arial"/>
          <w:b/>
          <w:bCs/>
          <w:sz w:val="22"/>
        </w:rPr>
        <w:t xml:space="preserve"> 源头减量</w:t>
      </w:r>
      <w:r>
        <w:rPr>
          <w:rFonts w:ascii="Arial" w:hAnsi="Arial" w:cs="Arial"/>
          <w:sz w:val="22"/>
        </w:rPr>
        <w:t>：治理产品过度包装，鼓励居民采用专用容器盛放厨余垃圾、加强餐饮行业“光盘行动”、居民装修垃圾源头分类及定点堆放、废弃果蔬菜资源化利用等。</w:t>
      </w:r>
      <w:r>
        <w:rPr>
          <w:rFonts w:hint="eastAsia" w:ascii="Arial" w:hAnsi="Arial" w:cs="Arial"/>
          <w:b/>
          <w:bCs/>
          <w:sz w:val="22"/>
          <w:lang w:eastAsia="zh-CN"/>
        </w:rPr>
        <w:t>（</w:t>
      </w:r>
      <w:r>
        <w:rPr>
          <w:rFonts w:ascii="Arial" w:hAnsi="Arial" w:cs="Arial"/>
          <w:b/>
          <w:bCs/>
          <w:sz w:val="22"/>
        </w:rPr>
        <w:t>2</w:t>
      </w:r>
      <w:r>
        <w:rPr>
          <w:rFonts w:hint="eastAsia" w:ascii="Arial" w:hAnsi="Arial" w:cs="Arial"/>
          <w:b/>
          <w:bCs/>
          <w:sz w:val="22"/>
          <w:lang w:eastAsia="zh-CN"/>
        </w:rPr>
        <w:t>）</w:t>
      </w:r>
      <w:r>
        <w:rPr>
          <w:rFonts w:ascii="Arial" w:hAnsi="Arial" w:cs="Arial"/>
          <w:b/>
          <w:bCs/>
          <w:sz w:val="22"/>
        </w:rPr>
        <w:t xml:space="preserve"> 分类投放</w:t>
      </w:r>
      <w:r>
        <w:rPr>
          <w:rFonts w:ascii="Arial" w:hAnsi="Arial" w:cs="Arial"/>
          <w:sz w:val="22"/>
        </w:rPr>
        <w:t>：城市生活垃圾可分为“有害垃圾、可回收物、厨余垃圾、其他垃圾”；农村生活垃圾可分为“有害垃圾、可回收物、易腐垃圾、其他垃圾”。</w:t>
      </w:r>
      <w:r>
        <w:rPr>
          <w:rFonts w:hint="eastAsia" w:ascii="Arial" w:hAnsi="Arial" w:cs="Arial"/>
          <w:b/>
          <w:bCs/>
          <w:sz w:val="22"/>
          <w:lang w:eastAsia="zh-CN"/>
        </w:rPr>
        <w:t>（</w:t>
      </w:r>
      <w:r>
        <w:rPr>
          <w:rFonts w:ascii="Arial" w:hAnsi="Arial" w:cs="Arial"/>
          <w:b/>
          <w:bCs/>
          <w:sz w:val="22"/>
        </w:rPr>
        <w:t>3</w:t>
      </w:r>
      <w:r>
        <w:rPr>
          <w:rFonts w:hint="eastAsia" w:ascii="Arial" w:hAnsi="Arial" w:cs="Arial"/>
          <w:b/>
          <w:bCs/>
          <w:sz w:val="22"/>
          <w:lang w:eastAsia="zh-CN"/>
        </w:rPr>
        <w:t>）</w:t>
      </w:r>
      <w:r>
        <w:rPr>
          <w:rFonts w:ascii="Arial" w:hAnsi="Arial" w:cs="Arial"/>
          <w:b/>
          <w:bCs/>
          <w:sz w:val="22"/>
        </w:rPr>
        <w:t xml:space="preserve"> 分类收集</w:t>
      </w:r>
      <w:r>
        <w:rPr>
          <w:rFonts w:ascii="Arial" w:hAnsi="Arial" w:cs="Arial"/>
          <w:sz w:val="22"/>
        </w:rPr>
        <w:t>：合理设置环境友好的生活垃圾分类收集站点，站点和容器标识全省统一。</w:t>
      </w:r>
      <w:r>
        <w:rPr>
          <w:rFonts w:hint="eastAsia" w:ascii="Arial" w:hAnsi="Arial" w:cs="Arial"/>
          <w:b/>
          <w:bCs/>
          <w:sz w:val="22"/>
          <w:lang w:eastAsia="zh-CN"/>
        </w:rPr>
        <w:t>（</w:t>
      </w:r>
      <w:r>
        <w:rPr>
          <w:rFonts w:ascii="Arial" w:hAnsi="Arial" w:cs="Arial"/>
          <w:b/>
          <w:bCs/>
          <w:sz w:val="22"/>
        </w:rPr>
        <w:t>4</w:t>
      </w:r>
      <w:r>
        <w:rPr>
          <w:rFonts w:hint="eastAsia" w:ascii="Arial" w:hAnsi="Arial" w:cs="Arial"/>
          <w:b/>
          <w:bCs/>
          <w:sz w:val="22"/>
          <w:lang w:eastAsia="zh-CN"/>
        </w:rPr>
        <w:t>）</w:t>
      </w:r>
      <w:r>
        <w:rPr>
          <w:rFonts w:ascii="Arial" w:hAnsi="Arial" w:cs="Arial"/>
          <w:b/>
          <w:bCs/>
          <w:sz w:val="22"/>
        </w:rPr>
        <w:t xml:space="preserve"> 分类运输</w:t>
      </w:r>
      <w:r>
        <w:rPr>
          <w:rFonts w:ascii="Arial" w:hAnsi="Arial" w:cs="Arial"/>
          <w:sz w:val="22"/>
        </w:rPr>
        <w:t>：完善分类后各类生活垃圾运输系统，严禁“先分后混”。</w:t>
      </w:r>
      <w:r>
        <w:rPr>
          <w:rFonts w:hint="eastAsia" w:ascii="Arial" w:hAnsi="Arial" w:cs="Arial"/>
          <w:b/>
          <w:bCs/>
          <w:sz w:val="22"/>
          <w:lang w:eastAsia="zh-CN"/>
        </w:rPr>
        <w:t>（</w:t>
      </w:r>
      <w:r>
        <w:rPr>
          <w:rFonts w:ascii="Arial" w:hAnsi="Arial" w:cs="Arial"/>
          <w:b/>
          <w:bCs/>
          <w:sz w:val="22"/>
        </w:rPr>
        <w:t>5</w:t>
      </w:r>
      <w:r>
        <w:rPr>
          <w:rFonts w:hint="eastAsia" w:ascii="Arial" w:hAnsi="Arial" w:cs="Arial"/>
          <w:b/>
          <w:bCs/>
          <w:sz w:val="22"/>
          <w:lang w:eastAsia="zh-CN"/>
        </w:rPr>
        <w:t>）</w:t>
      </w:r>
      <w:r>
        <w:rPr>
          <w:rFonts w:ascii="Arial" w:hAnsi="Arial" w:cs="Arial"/>
          <w:b/>
          <w:bCs/>
          <w:sz w:val="22"/>
        </w:rPr>
        <w:t xml:space="preserve"> 分类处理</w:t>
      </w:r>
      <w:r>
        <w:rPr>
          <w:rFonts w:ascii="Arial" w:hAnsi="Arial" w:cs="Arial"/>
          <w:sz w:val="22"/>
        </w:rPr>
        <w:t>：推进有害垃圾处置设施建设和全过程污染控制、加快餐厨废弃物和厨余垃圾处理设施规划建设、农村易腐垃圾就近生态堆肥、加快生活垃圾焚烧处理设施建设、激励大件垃圾回收利用等。</w:t>
      </w:r>
    </w:p>
    <w:p w14:paraId="118F33F0">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3DC847FE">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国家住建部负责全国城乡生活垃圾管理的顶层设计和指导。省住建厅负责辖区内城乡生活垃圾收集、转运和处置体系规划、建设和运行管理。本项目下农村生活垃圾收集与转运活动由省住建系统下的县级相应机构具体监管。如湖南省慈利县环卫中心（69人）负责县城生活垃圾收集与转运，其下设26个乡镇环卫所（285名环卫工人）负责各乡镇垃圾收集和转运，而慈利县城管局则负责管理生活垃圾的最终处置。湖北省随县则由城管局环卫股（1人）及下设的环卫管理处（11人）统一管理城乡生活垃圾收集、转运和处置</w:t>
      </w:r>
      <w:r>
        <w:rPr>
          <w:rFonts w:ascii="Arial" w:hAnsi="Arial" w:cs="Arial"/>
          <w:color w:val="000000" w:themeColor="text1"/>
          <w:sz w:val="22"/>
          <w:lang w:val="en-GB"/>
          <w14:textFill>
            <w14:solidFill>
              <w14:schemeClr w14:val="tx1"/>
            </w14:solidFill>
          </w14:textFill>
        </w:rPr>
        <w:t>。</w:t>
      </w:r>
    </w:p>
    <w:p w14:paraId="477EB1E4">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湖南和湖北两省均已基本建成“户分类、组保洁、村收集、镇转运、县处理”的垃圾收运处理体系，其中分类和保洁由村组织管理，转运和处理则由城管或环卫部门管理。比如湖北</w:t>
      </w:r>
      <w:r>
        <w:rPr>
          <w:rFonts w:ascii="Arial" w:hAnsi="Arial" w:cs="Arial"/>
          <w:color w:val="000000" w:themeColor="text1"/>
          <w:sz w:val="22"/>
          <w:lang w:val="en-GB"/>
          <w14:textFill>
            <w14:solidFill>
              <w14:schemeClr w14:val="tx1"/>
            </w14:solidFill>
          </w14:textFill>
        </w:rPr>
        <w:t>仙桃市农村以户为单位设置大垃圾桶4万余个、小垃圾桶5.8万个，村级垃圾箱2079个，镇级垃圾压缩中转站32座，清运车400辆，配备保洁员3079人、转运员435人，农村生活垃圾全部转运至仙桃市垃圾焚烧发电厂进行无害化处理。</w:t>
      </w:r>
    </w:p>
    <w:p w14:paraId="627B50C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color w:val="000000" w:themeColor="text1"/>
          <w:sz w:val="22"/>
          <w:lang w:val="en-GB"/>
          <w14:textFill>
            <w14:solidFill>
              <w14:schemeClr w14:val="tx1"/>
            </w14:solidFill>
          </w14:textFill>
        </w:rPr>
        <w:t>垃圾在压缩过程中会产生少量渗滤液，乡镇垃圾中转站一般不设渗滤液处理设施，只设贮存池，再用吸污车运往垃圾填埋场或焚烧发电厂的渗滤液处理站进行处理。</w:t>
      </w:r>
      <w:r>
        <w:rPr>
          <w:rFonts w:ascii="Arial" w:hAnsi="Arial" w:cs="Arial"/>
          <w:sz w:val="22"/>
        </w:rPr>
        <w:t>世行团队对湖北省随县和洪</w:t>
      </w:r>
      <w:r>
        <w:rPr>
          <w:rFonts w:hint="eastAsia" w:ascii="Arial" w:hAnsi="Arial" w:cs="Arial"/>
          <w:sz w:val="22"/>
          <w:lang w:eastAsia="zh-CN"/>
        </w:rPr>
        <w:t>湖市</w:t>
      </w:r>
      <w:r>
        <w:rPr>
          <w:rFonts w:ascii="Arial" w:hAnsi="Arial" w:cs="Arial"/>
          <w:sz w:val="22"/>
        </w:rPr>
        <w:t>、湖南省衡南等样本县市生活垃圾填埋场和焚烧发电厂等生活垃圾终端处置设施也进行了实地考察。这些设施在住建部门的严格监督下运行，且属于重点排污单位也受到生态环境部门的严格监管，因此污染治理措施比较健全，污染物监测活动也持续开展，环境风险可控。</w:t>
      </w:r>
    </w:p>
    <w:p w14:paraId="2FD66059">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4E3AF472">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中国以及湖南和湖北两省在农村生活垃圾管理方面具有比较完善的法规体系、机构设置和人员安排，该体系与世行“废物管理设施环境健康与安全指南”总体相一致并涵盖了良好的国际行业实践，基本能够满足目前的农村生活垃圾管理要求，且垃圾全过程分类和资源化利用正在逐步完善当中。实际操作中也</w:t>
      </w:r>
      <w:r>
        <w:rPr>
          <w:rFonts w:ascii="Arial" w:hAnsi="Arial" w:cs="Arial"/>
          <w:color w:val="000000" w:themeColor="text1"/>
          <w:sz w:val="22"/>
          <w:lang w:val="en-GB"/>
          <w14:textFill>
            <w14:solidFill>
              <w14:schemeClr w14:val="tx1"/>
            </w14:solidFill>
          </w14:textFill>
        </w:rPr>
        <w:t>存在一些环境问题，比如部分中转站缺少臭气收集和处理措施。</w:t>
      </w:r>
    </w:p>
    <w:p w14:paraId="46C0A982">
      <w:pPr>
        <w:pStyle w:val="4"/>
        <w:adjustRightInd w:val="0"/>
        <w:snapToGrid w:val="0"/>
        <w:spacing w:before="120" w:after="120" w:line="240" w:lineRule="auto"/>
        <w:rPr>
          <w:rFonts w:ascii="Arial" w:hAnsi="Arial" w:cs="Arial"/>
          <w:color w:val="1F4E79" w:themeColor="accent5" w:themeShade="80"/>
          <w:sz w:val="24"/>
          <w:szCs w:val="24"/>
          <w:lang w:val="en-GB"/>
        </w:rPr>
      </w:pPr>
      <w:bookmarkStart w:id="356" w:name="_Toc119937291"/>
      <w:r>
        <w:rPr>
          <w:rFonts w:ascii="Arial" w:hAnsi="Arial" w:cs="Arial"/>
          <w:color w:val="1F4E79" w:themeColor="accent5" w:themeShade="80"/>
          <w:sz w:val="24"/>
          <w:szCs w:val="24"/>
          <w:lang w:val="en-GB"/>
        </w:rPr>
        <w:t>4.3.7</w:t>
      </w:r>
      <w:r>
        <w:rPr>
          <w:rFonts w:ascii="Arial" w:hAnsi="Arial" w:cs="Arial"/>
          <w:color w:val="1F4E79" w:themeColor="accent5" w:themeShade="80"/>
          <w:sz w:val="24"/>
          <w:szCs w:val="24"/>
          <w:lang w:val="en-GB"/>
        </w:rPr>
        <w:tab/>
      </w:r>
      <w:r>
        <w:rPr>
          <w:rFonts w:ascii="Arial" w:hAnsi="Arial" w:cs="Arial"/>
          <w:color w:val="1F4E79" w:themeColor="accent5" w:themeShade="80"/>
          <w:sz w:val="24"/>
          <w:szCs w:val="24"/>
          <w:lang w:val="en-GB"/>
        </w:rPr>
        <w:t>污染土地修复</w:t>
      </w:r>
      <w:bookmarkEnd w:id="356"/>
    </w:p>
    <w:p w14:paraId="21EF0170">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6916F017">
      <w:pPr>
        <w:pStyle w:val="48"/>
        <w:numPr>
          <w:ilvl w:val="0"/>
          <w:numId w:val="5"/>
        </w:numPr>
        <w:tabs>
          <w:tab w:val="left" w:pos="709"/>
        </w:tabs>
        <w:adjustRightInd w:val="0"/>
        <w:snapToGrid w:val="0"/>
        <w:spacing w:before="120" w:after="120"/>
        <w:ind w:left="0" w:firstLine="0" w:firstLineChars="0"/>
        <w:jc w:val="both"/>
        <w:rPr>
          <w:rFonts w:ascii="Arial" w:hAnsi="Arial" w:cs="Arial"/>
          <w:sz w:val="22"/>
          <w:szCs w:val="22"/>
        </w:rPr>
      </w:pPr>
      <w:r>
        <w:rPr>
          <w:rFonts w:ascii="Arial" w:hAnsi="Arial" w:cs="Arial"/>
          <w:b/>
          <w:bCs/>
          <w:sz w:val="22"/>
          <w:szCs w:val="22"/>
        </w:rPr>
        <w:t>《</w:t>
      </w:r>
      <w:r>
        <w:rPr>
          <w:rFonts w:hint="eastAsia" w:ascii="Arial" w:hAnsi="Arial" w:cs="Arial"/>
          <w:b/>
          <w:bCs/>
          <w:sz w:val="22"/>
          <w:szCs w:val="22"/>
          <w:lang w:eastAsia="zh-CN"/>
        </w:rPr>
        <w:t>中华人民共和国土地管理法</w:t>
      </w:r>
      <w:r>
        <w:rPr>
          <w:rFonts w:ascii="Arial" w:hAnsi="Arial" w:cs="Arial"/>
          <w:b/>
          <w:bCs/>
          <w:sz w:val="22"/>
          <w:szCs w:val="22"/>
        </w:rPr>
        <w:t>》</w:t>
      </w:r>
      <w:r>
        <w:rPr>
          <w:rFonts w:hint="eastAsia" w:ascii="Arial" w:hAnsi="Arial" w:cs="Arial"/>
          <w:bCs/>
          <w:sz w:val="22"/>
          <w:szCs w:val="22"/>
          <w:lang w:eastAsia="zh-CN"/>
        </w:rPr>
        <w:t>（</w:t>
      </w:r>
      <w:r>
        <w:rPr>
          <w:rFonts w:ascii="Arial" w:hAnsi="Arial" w:cs="Arial"/>
          <w:bCs/>
          <w:sz w:val="22"/>
          <w:szCs w:val="22"/>
        </w:rPr>
        <w:t>2020年修订</w:t>
      </w:r>
      <w:r>
        <w:rPr>
          <w:rFonts w:hint="eastAsia" w:ascii="Arial" w:hAnsi="Arial" w:cs="Arial"/>
          <w:bCs/>
          <w:sz w:val="22"/>
          <w:szCs w:val="22"/>
          <w:lang w:eastAsia="zh-CN"/>
        </w:rPr>
        <w:t>）</w:t>
      </w:r>
      <w:r>
        <w:rPr>
          <w:rFonts w:ascii="Arial" w:hAnsi="Arial" w:cs="Arial"/>
          <w:bCs/>
          <w:sz w:val="22"/>
          <w:szCs w:val="22"/>
        </w:rPr>
        <w:t>：采取措施维护排灌工程设施，改良土壤，提高地力，防止土地荒漠化、盐渍化、水土流失和污染土地。</w:t>
      </w:r>
    </w:p>
    <w:p w14:paraId="30058A5B">
      <w:pPr>
        <w:pStyle w:val="48"/>
        <w:numPr>
          <w:ilvl w:val="0"/>
          <w:numId w:val="5"/>
        </w:numPr>
        <w:tabs>
          <w:tab w:val="left" w:pos="709"/>
        </w:tabs>
        <w:adjustRightInd w:val="0"/>
        <w:snapToGrid w:val="0"/>
        <w:spacing w:before="120" w:after="120"/>
        <w:ind w:left="0" w:firstLine="0" w:firstLineChars="0"/>
        <w:rPr>
          <w:rFonts w:ascii="Arial" w:hAnsi="Arial" w:cs="Arial"/>
        </w:rPr>
      </w:pPr>
      <w:r>
        <w:rPr>
          <w:rFonts w:ascii="Arial" w:hAnsi="Arial" w:cs="Arial"/>
          <w:b/>
          <w:bCs/>
          <w:sz w:val="22"/>
        </w:rPr>
        <w:t>《</w:t>
      </w:r>
      <w:r>
        <w:rPr>
          <w:rFonts w:hint="eastAsia" w:ascii="Arial" w:hAnsi="Arial" w:cs="Arial"/>
          <w:b/>
          <w:bCs/>
          <w:sz w:val="22"/>
          <w:lang w:eastAsia="zh-CN"/>
        </w:rPr>
        <w:t>中华人民共和国土壤污染防治法</w:t>
      </w:r>
      <w:r>
        <w:rPr>
          <w:rFonts w:ascii="Arial" w:hAnsi="Arial" w:cs="Arial"/>
          <w:b/>
          <w:bCs/>
          <w:sz w:val="22"/>
        </w:rPr>
        <w:t>》</w:t>
      </w:r>
      <w:r>
        <w:rPr>
          <w:rFonts w:hint="eastAsia" w:ascii="Arial" w:hAnsi="Arial" w:cs="Arial"/>
          <w:sz w:val="22"/>
          <w:lang w:eastAsia="zh-CN"/>
        </w:rPr>
        <w:t>（</w:t>
      </w:r>
      <w:r>
        <w:rPr>
          <w:rFonts w:ascii="Arial" w:hAnsi="Arial" w:cs="Arial"/>
          <w:sz w:val="22"/>
        </w:rPr>
        <w:t xml:space="preserve">2018年 </w:t>
      </w:r>
      <w:r>
        <w:rPr>
          <w:rFonts w:hint="eastAsia" w:ascii="Arial" w:hAnsi="Arial" w:cs="Arial"/>
          <w:sz w:val="22"/>
          <w:lang w:eastAsia="zh-CN"/>
        </w:rPr>
        <w:t>）</w:t>
      </w:r>
      <w:r>
        <w:rPr>
          <w:rFonts w:ascii="Arial" w:hAnsi="Arial" w:cs="Arial"/>
          <w:sz w:val="22"/>
        </w:rPr>
        <w:t>：国家建立农用地分类管理制度。按照土壤污染程度和相关标准，将农用地划分为优先保护类、安全利用类、严格管控类。</w:t>
      </w:r>
    </w:p>
    <w:p w14:paraId="5F99A364">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《土壤污染防治行动计划》</w:t>
      </w:r>
      <w:r>
        <w:rPr>
          <w:rFonts w:hint="eastAsia" w:ascii="Arial" w:hAnsi="Arial" w:cs="Arial"/>
          <w:sz w:val="22"/>
          <w:lang w:eastAsia="zh-CN"/>
        </w:rPr>
        <w:t>（</w:t>
      </w:r>
      <w:r>
        <w:rPr>
          <w:rFonts w:ascii="Arial" w:hAnsi="Arial" w:cs="Arial"/>
          <w:sz w:val="22"/>
        </w:rPr>
        <w:t>2016年</w:t>
      </w:r>
      <w:r>
        <w:rPr>
          <w:rFonts w:hint="eastAsia" w:ascii="Arial" w:hAnsi="Arial" w:cs="Arial"/>
          <w:sz w:val="22"/>
          <w:lang w:eastAsia="zh-CN"/>
        </w:rPr>
        <w:t>）：</w:t>
      </w:r>
      <w:r>
        <w:rPr>
          <w:rFonts w:ascii="Arial" w:hAnsi="Arial" w:cs="Arial"/>
          <w:sz w:val="22"/>
        </w:rPr>
        <w:t xml:space="preserve"> 到2020年，全国土壤污染加重趋势得到初步遏制，土壤环境质量总体保持稳定，农用地和建设用地土壤环境安全得到基本保障，土壤环境风险得到基本管控。到2030年，全国土壤环境质量稳中向好，农用地和建设用地土壤环境安全得到有效保障，土壤环境风险得到全面管控。到本世纪中叶，土壤环境质量全面改善，生态系统实现良性循环。</w:t>
      </w:r>
    </w:p>
    <w:p w14:paraId="241E2778">
      <w:pPr>
        <w:pStyle w:val="48"/>
        <w:numPr>
          <w:ilvl w:val="0"/>
          <w:numId w:val="5"/>
        </w:numPr>
        <w:tabs>
          <w:tab w:val="left" w:pos="851"/>
          <w:tab w:val="left" w:pos="993"/>
        </w:tabs>
        <w:adjustRightInd w:val="0"/>
        <w:snapToGrid w:val="0"/>
        <w:spacing w:before="120" w:after="120"/>
        <w:ind w:left="0" w:firstLine="0" w:firstLineChars="0"/>
        <w:rPr>
          <w:rFonts w:ascii="Arial" w:hAnsi="Arial" w:cs="Arial"/>
          <w:sz w:val="22"/>
        </w:rPr>
      </w:pPr>
      <w:r>
        <w:rPr>
          <w:rFonts w:ascii="Arial" w:hAnsi="Arial" w:cs="Arial"/>
          <w:sz w:val="22"/>
        </w:rPr>
        <w:t>此外，国家还出台了《关于进一步做好受污染耕地安全利用工作的通知》</w:t>
      </w:r>
      <w:r>
        <w:rPr>
          <w:rFonts w:hint="eastAsia" w:ascii="Arial" w:hAnsi="Arial" w:cs="Arial"/>
          <w:sz w:val="22"/>
          <w:lang w:eastAsia="zh-CN"/>
        </w:rPr>
        <w:t>（</w:t>
      </w:r>
      <w:r>
        <w:rPr>
          <w:rFonts w:ascii="Arial" w:hAnsi="Arial" w:cs="Arial"/>
          <w:sz w:val="22"/>
        </w:rPr>
        <w:t>2019年</w:t>
      </w:r>
      <w:r>
        <w:rPr>
          <w:rFonts w:hint="eastAsia" w:ascii="Arial" w:hAnsi="Arial" w:cs="Arial"/>
          <w:sz w:val="22"/>
          <w:lang w:eastAsia="zh-CN"/>
        </w:rPr>
        <w:t>）</w:t>
      </w:r>
      <w:r>
        <w:rPr>
          <w:rFonts w:ascii="Arial" w:hAnsi="Arial" w:cs="Arial"/>
          <w:sz w:val="22"/>
        </w:rPr>
        <w:t>、《土壤环境质量 农用地土壤污染风险管控标准（试行）》</w:t>
      </w:r>
      <w:r>
        <w:rPr>
          <w:rFonts w:hint="eastAsia" w:ascii="Arial" w:hAnsi="Arial" w:cs="Arial"/>
          <w:sz w:val="22"/>
          <w:lang w:val="en-GB" w:eastAsia="zh-CN"/>
        </w:rPr>
        <w:t>（</w:t>
      </w:r>
      <w:r>
        <w:rPr>
          <w:rFonts w:ascii="Arial" w:hAnsi="Arial" w:cs="Arial"/>
          <w:sz w:val="22"/>
          <w:lang w:val="en-GB"/>
        </w:rPr>
        <w:t>GB15618</w:t>
      </w:r>
      <w:r>
        <w:rPr>
          <w:rFonts w:hint="eastAsia" w:ascii="Arial" w:hAnsi="Arial" w:cs="Arial"/>
          <w:sz w:val="22"/>
          <w:lang w:val="en-GB" w:eastAsia="zh-CN"/>
        </w:rPr>
        <w:t>—</w:t>
      </w:r>
      <w:r>
        <w:rPr>
          <w:rFonts w:ascii="Arial" w:hAnsi="Arial" w:cs="Arial"/>
          <w:sz w:val="22"/>
          <w:lang w:val="en-GB"/>
        </w:rPr>
        <w:t>2018</w:t>
      </w:r>
      <w:r>
        <w:rPr>
          <w:rFonts w:hint="eastAsia" w:ascii="Arial" w:hAnsi="Arial" w:cs="Arial"/>
          <w:sz w:val="22"/>
          <w:lang w:val="en-GB" w:eastAsia="zh-CN"/>
        </w:rPr>
        <w:t>）</w:t>
      </w:r>
      <w:r>
        <w:rPr>
          <w:rFonts w:ascii="Arial" w:hAnsi="Arial" w:cs="Arial"/>
          <w:sz w:val="22"/>
          <w:lang w:val="en-GB"/>
        </w:rPr>
        <w:t>等规定和标准。</w:t>
      </w:r>
    </w:p>
    <w:p w14:paraId="33DCEEE7">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3DC5D242">
      <w:pPr>
        <w:pStyle w:val="48"/>
        <w:numPr>
          <w:ilvl w:val="0"/>
          <w:numId w:val="5"/>
        </w:numPr>
        <w:tabs>
          <w:tab w:val="left" w:pos="851"/>
          <w:tab w:val="left" w:pos="993"/>
        </w:tabs>
        <w:adjustRightInd w:val="0"/>
        <w:snapToGrid w:val="0"/>
        <w:spacing w:before="120" w:after="120"/>
        <w:ind w:left="0" w:firstLine="0" w:firstLineChars="0"/>
        <w:jc w:val="both"/>
        <w:rPr>
          <w:rFonts w:ascii="Arial" w:hAnsi="Arial" w:cs="Arial"/>
          <w:sz w:val="22"/>
          <w:lang w:val="en-GB"/>
        </w:rPr>
      </w:pPr>
      <w:r>
        <w:rPr>
          <w:rFonts w:ascii="Arial" w:hAnsi="Arial" w:cs="Arial"/>
          <w:b/>
          <w:bCs/>
          <w:sz w:val="22"/>
          <w:lang w:val="en-GB"/>
        </w:rPr>
        <w:t>重金属污染土地治理</w:t>
      </w:r>
      <w:r>
        <w:rPr>
          <w:rFonts w:ascii="Arial" w:hAnsi="Arial" w:cs="Arial"/>
          <w:sz w:val="22"/>
          <w:lang w:val="en-GB"/>
        </w:rPr>
        <w:t>：对污染土地进行分类治理并对</w:t>
      </w:r>
      <w:r>
        <w:rPr>
          <w:rFonts w:ascii="Arial" w:hAnsi="Arial" w:cs="Arial"/>
          <w:sz w:val="22"/>
        </w:rPr>
        <w:t>超标稻谷进行管控，目标是阻断重金属通过土壤进入农产品和食物链。分类治理措施包括：</w:t>
      </w:r>
      <w:r>
        <w:rPr>
          <w:rFonts w:hint="eastAsia" w:ascii="Arial" w:hAnsi="Arial" w:cs="Arial"/>
          <w:sz w:val="22"/>
          <w:lang w:val="en-GB" w:eastAsia="zh-CN"/>
        </w:rPr>
        <w:t>（</w:t>
      </w:r>
      <w:r>
        <w:rPr>
          <w:rFonts w:ascii="Arial" w:hAnsi="Arial" w:cs="Arial"/>
          <w:sz w:val="22"/>
        </w:rPr>
        <w:t>1</w:t>
      </w:r>
      <w:r>
        <w:rPr>
          <w:rFonts w:hint="eastAsia" w:ascii="Arial" w:hAnsi="Arial" w:cs="Arial"/>
          <w:sz w:val="22"/>
          <w:lang w:eastAsia="zh-CN"/>
        </w:rPr>
        <w:t>）</w:t>
      </w:r>
      <w:r>
        <w:rPr>
          <w:rFonts w:ascii="Arial" w:hAnsi="Arial" w:cs="Arial"/>
          <w:sz w:val="22"/>
        </w:rPr>
        <w:t xml:space="preserve"> 安全利用类措施，主要为农艺调控类措施，包括低吸收品种替代、叶面阻隔、施用石灰调节土壤酸度、开展水肥调控、增施有机肥、秸秆移田、土壤改制等；</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治理修复类措施，是在农艺调控的基础上，进一步实施土壤调理、开展原位钝化、实施生物修复等；</w:t>
      </w:r>
      <w:r>
        <w:rPr>
          <w:rFonts w:hint="eastAsia" w:ascii="Arial" w:hAnsi="Arial" w:cs="Arial"/>
          <w:sz w:val="22"/>
          <w:lang w:val="en-GB" w:eastAsia="zh-CN"/>
        </w:rPr>
        <w:t>（</w:t>
      </w:r>
      <w:r>
        <w:rPr>
          <w:rFonts w:ascii="Arial" w:hAnsi="Arial" w:cs="Arial"/>
          <w:sz w:val="22"/>
          <w:lang w:val="en-GB"/>
        </w:rPr>
        <w:t>3</w:t>
      </w:r>
      <w:r>
        <w:rPr>
          <w:rFonts w:hint="eastAsia" w:ascii="Arial" w:hAnsi="Arial" w:cs="Arial"/>
          <w:sz w:val="22"/>
          <w:lang w:val="en-GB" w:eastAsia="zh-CN"/>
        </w:rPr>
        <w:t>）</w:t>
      </w:r>
      <w:r>
        <w:rPr>
          <w:rFonts w:ascii="Arial" w:hAnsi="Arial" w:cs="Arial"/>
          <w:sz w:val="22"/>
          <w:lang w:val="en-GB"/>
        </w:rPr>
        <w:t xml:space="preserve"> </w:t>
      </w:r>
      <w:r>
        <w:rPr>
          <w:rFonts w:ascii="Arial" w:hAnsi="Arial" w:cs="Arial"/>
          <w:sz w:val="22"/>
        </w:rPr>
        <w:t>重度污染耕地需退耕，属于永久基本农田的，在国土空间规划修编时予以调整。</w:t>
      </w:r>
    </w:p>
    <w:p w14:paraId="0D90A653">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014975FA">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sz w:val="22"/>
        </w:rPr>
        <w:t>县级农业农村局通过农业资源保护与利用等股室（2</w:t>
      </w:r>
      <w:r>
        <w:rPr>
          <w:rFonts w:hint="eastAsia" w:ascii="Arial" w:hAnsi="Arial" w:cs="Arial"/>
          <w:sz w:val="22"/>
          <w:lang w:eastAsia="zh-CN"/>
        </w:rPr>
        <w:t>—</w:t>
      </w:r>
      <w:r>
        <w:rPr>
          <w:rFonts w:ascii="Arial" w:hAnsi="Arial" w:cs="Arial"/>
          <w:sz w:val="22"/>
        </w:rPr>
        <w:t>6人）以及下设的植保站、农村服务中心等机构（1</w:t>
      </w:r>
      <w:r>
        <w:rPr>
          <w:rFonts w:hint="eastAsia" w:ascii="Arial" w:hAnsi="Arial" w:cs="Arial"/>
          <w:sz w:val="22"/>
          <w:lang w:eastAsia="zh-CN"/>
        </w:rPr>
        <w:t>—</w:t>
      </w:r>
      <w:r>
        <w:rPr>
          <w:rFonts w:ascii="Arial" w:hAnsi="Arial" w:cs="Arial"/>
          <w:sz w:val="22"/>
        </w:rPr>
        <w:t>12人），对污染土地修复、土壤改良、秸秆还田等活动进行监管和指导。通过农业农村部门的常规管理工作以及重点项目实施，一些示范县市在污染土地修复和土壤改良工作中逐步积累了一定经验，例如：</w:t>
      </w:r>
      <w:r>
        <w:rPr>
          <w:rFonts w:ascii="Arial" w:hAnsi="Arial" w:cs="Arial"/>
        </w:rPr>
        <w:t>湖南省慈利、</w:t>
      </w:r>
      <w:r>
        <w:rPr>
          <w:rFonts w:ascii="Arial" w:hAnsi="Arial" w:cs="Arial"/>
          <w:bCs/>
          <w:color w:val="000000" w:themeColor="text1"/>
          <w14:textFill>
            <w14:solidFill>
              <w14:schemeClr w14:val="tx1"/>
            </w14:solidFill>
          </w14:textFill>
        </w:rPr>
        <w:t>衡阳、</w:t>
      </w:r>
      <w:r>
        <w:rPr>
          <w:rFonts w:ascii="Arial" w:hAnsi="Arial" w:cs="Arial"/>
          <w:color w:val="000000" w:themeColor="text1"/>
          <w14:textFill>
            <w14:solidFill>
              <w14:schemeClr w14:val="tx1"/>
            </w14:solidFill>
          </w14:textFill>
        </w:rPr>
        <w:t>衡南、花垣、永定、保靖</w:t>
      </w:r>
      <w:r>
        <w:rPr>
          <w:rFonts w:ascii="Arial" w:hAnsi="Arial" w:cs="Arial"/>
        </w:rPr>
        <w:t xml:space="preserve">等县市还参与了“世行贷款湖南省农田污染综合管理项目”，对上游工业污染源进行了关停、搬迁或技改；对项目区灌溉水源和渠道底泥进行了清理，在灌渠前端设置了沉淀池对灌溉用水进行处理；采用VIP模式（V </w:t>
      </w:r>
      <w:r>
        <w:rPr>
          <w:rFonts w:hint="eastAsia" w:ascii="Arial" w:hAnsi="Arial" w:cs="Arial"/>
          <w:lang w:eastAsia="zh-CN"/>
        </w:rPr>
        <w:t>—</w:t>
      </w:r>
      <w:r>
        <w:rPr>
          <w:rFonts w:ascii="Arial" w:hAnsi="Arial" w:cs="Arial"/>
        </w:rPr>
        <w:t xml:space="preserve"> 高累积水稻品种控制；I </w:t>
      </w:r>
      <w:r>
        <w:rPr>
          <w:rFonts w:hint="eastAsia" w:ascii="Arial" w:hAnsi="Arial" w:cs="Arial"/>
          <w:lang w:eastAsia="zh-CN"/>
        </w:rPr>
        <w:t>—</w:t>
      </w:r>
      <w:r>
        <w:rPr>
          <w:rFonts w:ascii="Arial" w:hAnsi="Arial" w:cs="Arial"/>
        </w:rPr>
        <w:t xml:space="preserve"> 优化田间水分管理；P </w:t>
      </w:r>
      <w:r>
        <w:rPr>
          <w:rFonts w:hint="eastAsia" w:ascii="Arial" w:hAnsi="Arial" w:cs="Arial"/>
          <w:lang w:eastAsia="zh-CN"/>
        </w:rPr>
        <w:t>—</w:t>
      </w:r>
      <w:r>
        <w:rPr>
          <w:rFonts w:ascii="Arial" w:hAnsi="Arial" w:cs="Arial"/>
        </w:rPr>
        <w:t xml:space="preserve"> 土壤酸化调理）对污染土壤进行修复；在种植作物替代区，实行农作物种植结构调整，将水稻替代为非食用农作物或低镉农作物；强化了灌溉水源、土壤、灌渠底泥和稻米的监测；由当地政府指定专用粮库收购超标稻米，由特定企业用于工业酒精酿造，杜绝进入口粮市场。通过该项目过去几年的实施，虽然项目区仍存在土壤重金属超标现象，但稻米中镉含量已显著降低，稻米质量均能达标。</w:t>
      </w:r>
    </w:p>
    <w:p w14:paraId="305F731F">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58D03192">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湖南省在重金属污染农田修复方面具有比较完善的法规体系、机构设置和人员安排，并在过去的工作和项目中取得了一定的成果，现有体系能够满足农田安全利用与管理要求</w:t>
      </w:r>
      <w:r>
        <w:rPr>
          <w:rFonts w:ascii="Arial" w:hAnsi="Arial" w:cs="Arial"/>
          <w:color w:val="000000" w:themeColor="text1"/>
          <w:sz w:val="22"/>
          <w:lang w:val="en-GB"/>
          <w14:textFill>
            <w14:solidFill>
              <w14:schemeClr w14:val="tx1"/>
            </w14:solidFill>
          </w14:textFill>
        </w:rPr>
        <w:t>。</w:t>
      </w:r>
    </w:p>
    <w:p w14:paraId="460A888D">
      <w:pPr>
        <w:pStyle w:val="3"/>
        <w:tabs>
          <w:tab w:val="left" w:pos="851"/>
        </w:tabs>
        <w:rPr>
          <w:color w:val="1F4E79" w:themeColor="accent5" w:themeShade="80"/>
          <w:sz w:val="24"/>
        </w:rPr>
      </w:pPr>
      <w:bookmarkStart w:id="357" w:name="_Toc109935071"/>
      <w:bookmarkStart w:id="358" w:name="_Toc119937292"/>
      <w:bookmarkStart w:id="359" w:name="_Toc112364769"/>
      <w:r>
        <w:rPr>
          <w:color w:val="1F4E79" w:themeColor="accent5" w:themeShade="80"/>
          <w:sz w:val="24"/>
        </w:rPr>
        <w:t>4.4</w:t>
      </w:r>
      <w:r>
        <w:rPr>
          <w:color w:val="1F4E79" w:themeColor="accent5" w:themeShade="80"/>
          <w:sz w:val="24"/>
        </w:rPr>
        <w:tab/>
      </w:r>
      <w:r>
        <w:rPr>
          <w:color w:val="1F4E79" w:themeColor="accent5" w:themeShade="80"/>
          <w:sz w:val="24"/>
        </w:rPr>
        <w:t>生态环境保护体系</w:t>
      </w:r>
      <w:bookmarkEnd w:id="357"/>
      <w:bookmarkEnd w:id="358"/>
      <w:bookmarkEnd w:id="359"/>
    </w:p>
    <w:p w14:paraId="1D25734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rPr>
      </w:pPr>
      <w:r>
        <w:rPr>
          <w:rFonts w:ascii="Arial" w:hAnsi="Arial" w:cs="Arial"/>
          <w:sz w:val="22"/>
        </w:rPr>
        <w:t>本项目建设活动的实施以及农业活动的开展可能涉及当地自然生态系统和生态保护红线，施工活动也可能引发局部水土流失，因此世行团队对相关的生态保护与管理体系进行了调研。</w:t>
      </w:r>
    </w:p>
    <w:p w14:paraId="40C3128D">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16AB7CD3">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w:t>
      </w:r>
      <w:r>
        <w:rPr>
          <w:rFonts w:hint="eastAsia" w:ascii="Arial" w:hAnsi="Arial" w:cs="Arial"/>
          <w:b/>
          <w:bCs/>
          <w:sz w:val="22"/>
          <w:lang w:eastAsia="zh-CN"/>
        </w:rPr>
        <w:t>中华人民共和国水土保持法</w:t>
      </w:r>
      <w:r>
        <w:rPr>
          <w:rFonts w:ascii="Arial" w:hAnsi="Arial" w:cs="Arial"/>
          <w:b/>
          <w:bCs/>
          <w:sz w:val="22"/>
        </w:rPr>
        <w:t>》</w:t>
      </w:r>
      <w:r>
        <w:rPr>
          <w:rFonts w:hint="eastAsia" w:ascii="Arial" w:hAnsi="Arial" w:cs="Arial"/>
          <w:sz w:val="22"/>
          <w:lang w:eastAsia="zh-CN"/>
        </w:rPr>
        <w:t>（</w:t>
      </w:r>
      <w:r>
        <w:rPr>
          <w:rFonts w:ascii="Arial" w:hAnsi="Arial" w:cs="Arial"/>
          <w:sz w:val="22"/>
        </w:rPr>
        <w:t>2010年修订</w:t>
      </w:r>
      <w:r>
        <w:rPr>
          <w:rFonts w:hint="eastAsia" w:ascii="Arial" w:hAnsi="Arial" w:cs="Arial"/>
          <w:sz w:val="22"/>
          <w:lang w:eastAsia="zh-CN"/>
        </w:rPr>
        <w:t>）：</w:t>
      </w:r>
      <w:r>
        <w:rPr>
          <w:rFonts w:ascii="Arial" w:hAnsi="Arial" w:cs="Arial"/>
          <w:sz w:val="22"/>
        </w:rPr>
        <w:t xml:space="preserve"> 可能造成水土流失的生产建设项目，建设单位需编制水土保持方案，报水行政主管部门审批。依法应编制水土保持方案的生产建设项目中的水土保持设施，应与主体工程同时设计、同时施工、同时投产使用；生产建设项目竣工验收，应验收水土保持设施；水土保持设施未经验收或者验收不合格的，生产建设项目不得投产使用。据此，湖南和湖北分别制定了省级《</w:t>
      </w:r>
      <w:r>
        <w:rPr>
          <w:rFonts w:hint="eastAsia" w:ascii="Arial" w:hAnsi="Arial" w:cs="Arial"/>
          <w:sz w:val="22"/>
          <w:lang w:eastAsia="zh-CN"/>
        </w:rPr>
        <w:t>中华人民共和国水土保持法</w:t>
      </w:r>
      <w:r>
        <w:rPr>
          <w:rFonts w:ascii="Arial" w:hAnsi="Arial" w:cs="Arial"/>
          <w:sz w:val="22"/>
        </w:rPr>
        <w:t>》实施办法，进一步强调了生产建设项目依法分类编制水土保持方案的要求。</w:t>
      </w:r>
    </w:p>
    <w:p w14:paraId="4BE056B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sz w:val="22"/>
        </w:rPr>
        <w:t>《</w:t>
      </w:r>
      <w:r>
        <w:rPr>
          <w:rFonts w:hint="eastAsia" w:ascii="Arial" w:hAnsi="Arial" w:cs="Arial"/>
          <w:b/>
          <w:sz w:val="22"/>
          <w:lang w:eastAsia="zh-CN"/>
        </w:rPr>
        <w:t>中华人民共和国野生动物保护法</w:t>
      </w:r>
      <w:r>
        <w:rPr>
          <w:rFonts w:ascii="Arial" w:hAnsi="Arial" w:cs="Arial"/>
          <w:b/>
          <w:sz w:val="22"/>
        </w:rPr>
        <w:t>》</w:t>
      </w:r>
      <w:r>
        <w:rPr>
          <w:rFonts w:hint="eastAsia" w:ascii="Arial" w:hAnsi="Arial" w:cs="Arial"/>
          <w:bCs/>
          <w:sz w:val="22"/>
          <w:lang w:eastAsia="zh-CN"/>
        </w:rPr>
        <w:t>（</w:t>
      </w:r>
      <w:r>
        <w:rPr>
          <w:rFonts w:ascii="Arial" w:hAnsi="Arial" w:cs="Arial"/>
          <w:bCs/>
          <w:sz w:val="22"/>
        </w:rPr>
        <w:t>2018年修订</w:t>
      </w:r>
      <w:r>
        <w:rPr>
          <w:rFonts w:hint="eastAsia" w:ascii="Arial" w:hAnsi="Arial" w:cs="Arial"/>
          <w:bCs/>
          <w:sz w:val="22"/>
          <w:lang w:eastAsia="zh-CN"/>
        </w:rPr>
        <w:t>）</w:t>
      </w:r>
      <w:r>
        <w:rPr>
          <w:rFonts w:ascii="Arial" w:hAnsi="Arial" w:cs="Arial"/>
          <w:bCs/>
          <w:sz w:val="22"/>
        </w:rPr>
        <w:t>：建设项目可能对相关自然保护区域、野生动物迁徙洄游通道产生影响的，生态环境部门在审批环评文件时，涉及国家和地方重点保护野生动物的，应征求相应级别野生动物保护主管部门意见。禁止违法猎捕野生动物、破坏野生动物栖息地。</w:t>
      </w:r>
    </w:p>
    <w:p w14:paraId="786B5676">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sz w:val="22"/>
        </w:rPr>
        <w:t>《</w:t>
      </w:r>
      <w:r>
        <w:rPr>
          <w:rFonts w:hint="eastAsia" w:ascii="Arial" w:hAnsi="Arial" w:cs="Arial"/>
          <w:b/>
          <w:sz w:val="22"/>
          <w:lang w:eastAsia="zh-CN"/>
        </w:rPr>
        <w:t>中华人民共和国野生植物保护条例</w:t>
      </w:r>
      <w:r>
        <w:rPr>
          <w:rFonts w:ascii="Arial" w:hAnsi="Arial" w:cs="Arial"/>
          <w:b/>
          <w:sz w:val="22"/>
        </w:rPr>
        <w:t>》</w:t>
      </w:r>
      <w:r>
        <w:rPr>
          <w:rFonts w:hint="eastAsia" w:ascii="Arial" w:hAnsi="Arial" w:cs="Arial"/>
          <w:bCs/>
          <w:sz w:val="22"/>
          <w:lang w:eastAsia="zh-CN"/>
        </w:rPr>
        <w:t>（</w:t>
      </w:r>
      <w:r>
        <w:rPr>
          <w:rFonts w:ascii="Arial" w:hAnsi="Arial" w:cs="Arial"/>
          <w:sz w:val="22"/>
        </w:rPr>
        <w:t>2017年修订</w:t>
      </w:r>
      <w:r>
        <w:rPr>
          <w:rFonts w:hint="eastAsia" w:ascii="Arial" w:hAnsi="Arial" w:cs="Arial"/>
          <w:bCs/>
          <w:sz w:val="22"/>
          <w:lang w:eastAsia="zh-CN"/>
        </w:rPr>
        <w:t>）</w:t>
      </w:r>
      <w:r>
        <w:rPr>
          <w:rFonts w:ascii="Arial" w:hAnsi="Arial" w:cs="Arial"/>
          <w:sz w:val="22"/>
        </w:rPr>
        <w:t>：建设项目对国家和地方重点保护野生植物的生长环境产生不利影响的，建设单位提交的环境影响报告书必须对此作出评价。禁止任何单位和个人非法采集野生植物或者破坏其生长环境。</w:t>
      </w:r>
    </w:p>
    <w:p w14:paraId="48E0DE9C">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sz w:val="22"/>
        </w:rPr>
        <w:t>《</w:t>
      </w:r>
      <w:r>
        <w:rPr>
          <w:rFonts w:hint="eastAsia" w:ascii="Arial" w:hAnsi="Arial" w:cs="Arial"/>
          <w:b/>
          <w:sz w:val="22"/>
          <w:lang w:eastAsia="zh-CN"/>
        </w:rPr>
        <w:t>中华人民共和国自然保护区条例</w:t>
      </w:r>
      <w:r>
        <w:rPr>
          <w:rFonts w:ascii="Arial" w:hAnsi="Arial" w:cs="Arial"/>
          <w:b/>
          <w:sz w:val="22"/>
        </w:rPr>
        <w:t>》</w:t>
      </w:r>
      <w:r>
        <w:rPr>
          <w:rFonts w:hint="eastAsia" w:ascii="Arial" w:hAnsi="Arial" w:cs="Arial"/>
          <w:bCs/>
          <w:sz w:val="22"/>
          <w:lang w:eastAsia="zh-CN"/>
        </w:rPr>
        <w:t>（</w:t>
      </w:r>
      <w:r>
        <w:rPr>
          <w:rFonts w:ascii="Arial" w:hAnsi="Arial" w:cs="Arial"/>
          <w:bCs/>
          <w:sz w:val="22"/>
        </w:rPr>
        <w:t>2017年修订</w:t>
      </w:r>
      <w:r>
        <w:rPr>
          <w:rFonts w:hint="eastAsia" w:ascii="Arial" w:hAnsi="Arial" w:cs="Arial"/>
          <w:bCs/>
          <w:sz w:val="22"/>
          <w:lang w:eastAsia="zh-CN"/>
        </w:rPr>
        <w:t>）</w:t>
      </w:r>
      <w:r>
        <w:rPr>
          <w:rFonts w:ascii="Arial" w:hAnsi="Arial" w:cs="Arial"/>
          <w:bCs/>
          <w:sz w:val="22"/>
        </w:rPr>
        <w:t>：</w:t>
      </w:r>
      <w:r>
        <w:rPr>
          <w:rFonts w:ascii="Arial" w:hAnsi="Arial" w:cs="Arial"/>
          <w:sz w:val="22"/>
        </w:rPr>
        <w:t>对重要的栖息地，设立自然保护区。</w:t>
      </w:r>
      <w:r>
        <w:rPr>
          <w:rFonts w:ascii="Arial" w:hAnsi="Arial" w:cs="Arial"/>
          <w:sz w:val="22"/>
          <w:lang w:val="en-GB"/>
        </w:rPr>
        <w:t>禁止任何人进入自然保护区的核心区</w:t>
      </w:r>
      <w:r>
        <w:rPr>
          <w:rFonts w:ascii="Arial" w:hAnsi="Arial" w:cs="Arial"/>
          <w:sz w:val="22"/>
        </w:rPr>
        <w:t>（经批准的科研活动除外）。在自然保护区的核心区和缓冲区内，不得建设任何生产设施，实验区内不得建设污染环境、破坏资源或者景观的生产设施。</w:t>
      </w:r>
    </w:p>
    <w:p w14:paraId="75C8D651">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《开发建设项目水土保持方案编报审批管理规定》</w:t>
      </w:r>
      <w:r>
        <w:rPr>
          <w:rFonts w:hint="eastAsia" w:ascii="Arial" w:hAnsi="Arial" w:cs="Arial"/>
          <w:sz w:val="22"/>
          <w:lang w:eastAsia="zh-CN"/>
        </w:rPr>
        <w:t>（</w:t>
      </w:r>
      <w:r>
        <w:rPr>
          <w:rFonts w:ascii="Arial" w:hAnsi="Arial" w:cs="Arial"/>
          <w:sz w:val="22"/>
        </w:rPr>
        <w:t>2017年修订</w:t>
      </w:r>
      <w:r>
        <w:rPr>
          <w:rFonts w:hint="eastAsia" w:ascii="Arial" w:hAnsi="Arial" w:cs="Arial"/>
          <w:sz w:val="22"/>
          <w:lang w:eastAsia="zh-CN"/>
        </w:rPr>
        <w:t>）</w:t>
      </w:r>
      <w:r>
        <w:rPr>
          <w:rFonts w:ascii="Arial" w:hAnsi="Arial" w:cs="Arial"/>
          <w:sz w:val="22"/>
        </w:rPr>
        <w:t>：凡从事有可能造成水土流失的开发建设单位和个人，必须编报水土保持方案。水保方案分为报告书和报告表，编报工作由开发建设单位或者个人负责。水保方案经过水行政主管部门审查批准，开发建设项目方可开工建设。</w:t>
      </w:r>
    </w:p>
    <w:p w14:paraId="34D2E4DA">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《生产建设项目水土保持监督管理办法》</w:t>
      </w:r>
      <w:r>
        <w:rPr>
          <w:rFonts w:hint="eastAsia" w:ascii="Arial" w:hAnsi="Arial" w:cs="Arial"/>
          <w:sz w:val="22"/>
          <w:lang w:eastAsia="zh-CN"/>
        </w:rPr>
        <w:t>（</w:t>
      </w:r>
      <w:r>
        <w:rPr>
          <w:rFonts w:ascii="Arial" w:hAnsi="Arial" w:cs="Arial"/>
          <w:sz w:val="22"/>
        </w:rPr>
        <w:t>2019年</w:t>
      </w:r>
      <w:r>
        <w:rPr>
          <w:rFonts w:hint="eastAsia" w:ascii="Arial" w:hAnsi="Arial" w:cs="Arial"/>
          <w:sz w:val="22"/>
          <w:lang w:eastAsia="zh-CN"/>
        </w:rPr>
        <w:t>）</w:t>
      </w:r>
      <w:r>
        <w:rPr>
          <w:rFonts w:ascii="Arial" w:hAnsi="Arial" w:cs="Arial"/>
          <w:sz w:val="22"/>
        </w:rPr>
        <w:t>：生产建设单位是生产建设项目水土保持设施验收的责任主体，应在生产建设项目投产使用或者竣工验收前，自主开展水土保持设施验收，完成报备并取得报备回执。验收合格后，及时在其官方网站或者其他公众知悉的网站公示水土保持设施验收材料，公示时间不得少于20个工作日。</w:t>
      </w:r>
    </w:p>
    <w:p w14:paraId="19A249C0">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《环境影响评价技术导则 生态影响》</w:t>
      </w:r>
      <w:r>
        <w:rPr>
          <w:rFonts w:hint="eastAsia" w:ascii="Arial" w:hAnsi="Arial" w:cs="Arial"/>
          <w:sz w:val="22"/>
          <w:lang w:eastAsia="zh-CN"/>
        </w:rPr>
        <w:t>（</w:t>
      </w:r>
      <w:r>
        <w:rPr>
          <w:rFonts w:ascii="Arial" w:hAnsi="Arial" w:cs="Arial"/>
          <w:sz w:val="22"/>
        </w:rPr>
        <w:t>HJ19</w:t>
      </w:r>
      <w:r>
        <w:rPr>
          <w:rFonts w:hint="eastAsia" w:ascii="Arial" w:hAnsi="Arial" w:cs="Arial"/>
          <w:sz w:val="22"/>
          <w:lang w:eastAsia="zh-CN"/>
        </w:rPr>
        <w:t>—</w:t>
      </w:r>
      <w:r>
        <w:rPr>
          <w:rFonts w:ascii="Arial" w:hAnsi="Arial" w:cs="Arial"/>
          <w:sz w:val="22"/>
        </w:rPr>
        <w:t>2022</w:t>
      </w:r>
      <w:r>
        <w:rPr>
          <w:rFonts w:hint="eastAsia" w:ascii="Arial" w:hAnsi="Arial" w:cs="Arial"/>
          <w:sz w:val="22"/>
          <w:lang w:eastAsia="zh-CN"/>
        </w:rPr>
        <w:t>）</w:t>
      </w:r>
      <w:r>
        <w:rPr>
          <w:rFonts w:ascii="Arial" w:hAnsi="Arial" w:cs="Arial"/>
          <w:sz w:val="22"/>
        </w:rPr>
        <w:t>：建设项目选址选线应尽量避让各类生态敏感区；识别、预测和评价建设项目不同阶段的生态影响；从生态影响角度明确建设项目是否可行；按照避让、减缓、修复和补偿的次序提出生态保护对策措施。</w:t>
      </w:r>
    </w:p>
    <w:p w14:paraId="01F41A54">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《关于建立以国家公园为主体的自然保护地体系的指导意见</w:t>
      </w:r>
      <w:r>
        <w:rPr>
          <w:rFonts w:ascii="Arial" w:hAnsi="Arial" w:cs="Arial"/>
          <w:sz w:val="22"/>
        </w:rPr>
        <w:t>》</w:t>
      </w:r>
      <w:r>
        <w:rPr>
          <w:rFonts w:hint="eastAsia" w:ascii="Arial" w:hAnsi="Arial" w:cs="Arial"/>
          <w:sz w:val="22"/>
          <w:lang w:val="en-GB" w:eastAsia="zh-CN"/>
        </w:rPr>
        <w:t>（</w:t>
      </w:r>
      <w:r>
        <w:rPr>
          <w:rFonts w:ascii="Arial" w:hAnsi="Arial" w:cs="Arial"/>
          <w:sz w:val="22"/>
          <w:lang w:val="en-GB"/>
        </w:rPr>
        <w:t>2019年</w:t>
      </w:r>
      <w:r>
        <w:rPr>
          <w:rFonts w:hint="eastAsia" w:ascii="Arial" w:hAnsi="Arial" w:cs="Arial"/>
          <w:sz w:val="22"/>
          <w:lang w:val="en-GB" w:eastAsia="zh-CN"/>
        </w:rPr>
        <w:t>）</w:t>
      </w:r>
      <w:r>
        <w:rPr>
          <w:rFonts w:ascii="Arial" w:hAnsi="Arial" w:cs="Arial"/>
          <w:sz w:val="22"/>
        </w:rPr>
        <w:t>：目标是建成中国特色的以国家公园为主体的自然保护地体系。按照自然生态系统原真性、整体性、系统性及其内在规律，将自然保护地按生态价值和保护强度高低依次分为国家公园、自然保护区、自然公园等三类。</w:t>
      </w:r>
    </w:p>
    <w:p w14:paraId="32C74E5A">
      <w:pPr>
        <w:pStyle w:val="48"/>
        <w:widowControl w:val="0"/>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《关于在国土空间规划中统筹划定落实三条控制线的指导意见》</w:t>
      </w:r>
      <w:r>
        <w:rPr>
          <w:rFonts w:hint="eastAsia" w:ascii="Arial" w:hAnsi="Arial" w:cs="Arial"/>
          <w:sz w:val="22"/>
          <w:lang w:val="en-GB" w:eastAsia="zh-CN"/>
        </w:rPr>
        <w:t>（</w:t>
      </w:r>
      <w:r>
        <w:rPr>
          <w:rFonts w:ascii="Arial" w:hAnsi="Arial" w:cs="Arial"/>
          <w:sz w:val="22"/>
          <w:lang w:val="en-GB"/>
        </w:rPr>
        <w:t>2019年</w:t>
      </w:r>
      <w:r>
        <w:rPr>
          <w:rFonts w:hint="eastAsia" w:ascii="Arial" w:hAnsi="Arial" w:cs="Arial"/>
          <w:sz w:val="22"/>
          <w:lang w:val="en-GB" w:eastAsia="zh-CN"/>
        </w:rPr>
        <w:t>）</w:t>
      </w:r>
      <w:r>
        <w:rPr>
          <w:rFonts w:ascii="Arial" w:hAnsi="Arial" w:cs="Arial"/>
          <w:sz w:val="22"/>
        </w:rPr>
        <w:t>：统筹划定落实生态保护红线、永久基本农田、城镇开发边界三条控制线。建立健全统一的国土空间基础信息平台，实现部门信息共享，严格三条控制线监测监管。涉及生态保护红线、永久基本农田占用的，报国务院审批。</w:t>
      </w:r>
    </w:p>
    <w:p w14:paraId="0CA2B840">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bCs/>
          <w:sz w:val="22"/>
        </w:rPr>
        <w:t>《关于划定并严守生态保护红线的若干意见》</w:t>
      </w:r>
      <w:r>
        <w:rPr>
          <w:rFonts w:hint="eastAsia" w:ascii="Arial" w:hAnsi="Arial" w:cs="Arial"/>
          <w:sz w:val="22"/>
          <w:lang w:val="en-GB" w:eastAsia="zh-CN"/>
        </w:rPr>
        <w:t>（</w:t>
      </w:r>
      <w:r>
        <w:rPr>
          <w:rFonts w:ascii="Arial" w:hAnsi="Arial" w:cs="Arial"/>
          <w:sz w:val="22"/>
        </w:rPr>
        <w:t>2017年</w:t>
      </w:r>
      <w:r>
        <w:rPr>
          <w:rFonts w:hint="eastAsia" w:ascii="Arial" w:hAnsi="Arial" w:cs="Arial"/>
          <w:sz w:val="22"/>
          <w:lang w:eastAsia="zh-CN"/>
        </w:rPr>
        <w:t>）</w:t>
      </w:r>
      <w:r>
        <w:rPr>
          <w:rFonts w:ascii="Arial" w:hAnsi="Arial" w:cs="Arial"/>
          <w:sz w:val="22"/>
        </w:rPr>
        <w:t>：划定并严守生态保护红线，实现一条红线管控重要生态空间，确保生态功能不降低、面积不减少、性质不改变，维护国家生态安全，促进经济社会可持续发展。生态保护红线原则上按禁止开发区域的要求进行管理。</w:t>
      </w:r>
    </w:p>
    <w:p w14:paraId="5983176A">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152615C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自然保护地机制</w:t>
      </w:r>
      <w:r>
        <w:rPr>
          <w:rFonts w:ascii="Arial" w:hAnsi="Arial" w:cs="Arial"/>
          <w:sz w:val="22"/>
        </w:rPr>
        <w:t>：林草部门对现有的各类自然保护地</w:t>
      </w:r>
      <w:r>
        <w:rPr>
          <w:rStyle w:val="46"/>
          <w:rFonts w:ascii="Arial" w:hAnsi="Arial" w:cs="Arial"/>
        </w:rPr>
        <w:footnoteReference w:id="8"/>
      </w:r>
      <w:r>
        <w:rPr>
          <w:rFonts w:ascii="Arial" w:hAnsi="Arial" w:cs="Arial"/>
          <w:sz w:val="22"/>
        </w:rPr>
        <w:t>，按照保护区域的自然属性、生态价值和管理目标进行梳理和归类，逐步形成以国家公园为主体、自然保护区为基础、各类自然公园为补充的自然保护地分类系统。国家公园和自然保护区内划分为核心保护区和一般控制区，核心保护区内原则上禁止人为活动，一般控制区内限制人为活动；自然公园原则上按一般控制区管理。</w:t>
      </w:r>
    </w:p>
    <w:p w14:paraId="711DC9B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生态保护红线机制</w:t>
      </w:r>
      <w:r>
        <w:rPr>
          <w:rFonts w:ascii="Arial" w:hAnsi="Arial" w:cs="Arial"/>
          <w:sz w:val="22"/>
        </w:rPr>
        <w:t>：自然资源、</w:t>
      </w:r>
      <w:r>
        <w:rPr>
          <w:rFonts w:ascii="Arial" w:hAnsi="Arial" w:cs="Arial"/>
          <w:sz w:val="22"/>
          <w:lang w:val="en-GB"/>
        </w:rPr>
        <w:t>生态环境等部门</w:t>
      </w:r>
      <w:r>
        <w:rPr>
          <w:rFonts w:ascii="Arial" w:hAnsi="Arial" w:cs="Arial"/>
          <w:sz w:val="22"/>
        </w:rPr>
        <w:t>整合具有重要水源涵养、</w:t>
      </w:r>
      <w:r>
        <w:rPr>
          <w:rFonts w:hint="eastAsia" w:ascii="Arial" w:hAnsi="Arial" w:cs="Arial"/>
          <w:sz w:val="22"/>
          <w:lang w:eastAsia="zh-CN"/>
        </w:rPr>
        <w:t>生物多样性保护</w:t>
      </w:r>
      <w:r>
        <w:rPr>
          <w:rFonts w:ascii="Arial" w:hAnsi="Arial" w:cs="Arial"/>
          <w:sz w:val="22"/>
        </w:rPr>
        <w:t>、水土保持、防风固沙、海岸生态稳定等功能的生态功能重要区域，以及水土流失、土地沙化、石漠化、盐渍化等生态环境敏感脆弱区域，划定区域生态保护红线。生态保护红线划定后，原则上按禁止开发区域的要求进行管理。自然资源部门牵头对建设项目选址和用地申请进行审批。建设单位在用地预审前征求林业、生态环境等部门的意见，逐一确认项目选址不存在占用生态保护红线的情况，才能完成选址和用地预审，报相应的人民政府批准。</w:t>
      </w:r>
    </w:p>
    <w:p w14:paraId="1ED005D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生态环境影响评价机制</w:t>
      </w:r>
      <w:r>
        <w:rPr>
          <w:rFonts w:ascii="Arial" w:hAnsi="Arial" w:cs="Arial"/>
          <w:sz w:val="22"/>
        </w:rPr>
        <w:t>：建设项目选址应尽量避让各类生态环境敏感区，符合生态保护红线、国土空间规划、生态环境分区管控等要求。识别、预测和评价建设项目在施工期、运行期以及服务期满后等不同阶段的生态影响，按照避让、减缓、修复和补偿的次序提出生态保护对策措施，制定相应的生态环境管理和监测计划，从生态影响角度明确建设项目是否可行。</w:t>
      </w:r>
    </w:p>
    <w:p w14:paraId="2D7DB25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水土保持方案机制：</w:t>
      </w:r>
      <w:r>
        <w:rPr>
          <w:rFonts w:hint="eastAsia" w:ascii="Arial" w:hAnsi="Arial" w:cs="Arial"/>
          <w:b/>
          <w:bCs/>
          <w:sz w:val="22"/>
          <w:lang w:val="en-GB" w:eastAsia="zh-CN"/>
        </w:rPr>
        <w:t>（</w:t>
      </w:r>
      <w:r>
        <w:rPr>
          <w:rFonts w:ascii="Arial" w:hAnsi="Arial" w:cs="Arial"/>
          <w:b/>
          <w:bCs/>
          <w:sz w:val="22"/>
          <w:lang w:val="en-GB"/>
        </w:rPr>
        <w:t>1</w:t>
      </w:r>
      <w:r>
        <w:rPr>
          <w:rFonts w:hint="eastAsia" w:ascii="Arial" w:hAnsi="Arial" w:cs="Arial"/>
          <w:b/>
          <w:bCs/>
          <w:sz w:val="22"/>
          <w:lang w:val="en-GB" w:eastAsia="zh-CN"/>
        </w:rPr>
        <w:t>）</w:t>
      </w:r>
      <w:r>
        <w:rPr>
          <w:rFonts w:ascii="Arial" w:hAnsi="Arial" w:cs="Arial"/>
          <w:b/>
          <w:bCs/>
          <w:sz w:val="22"/>
          <w:lang w:val="en-GB"/>
        </w:rPr>
        <w:t xml:space="preserve"> </w:t>
      </w:r>
      <w:r>
        <w:rPr>
          <w:rFonts w:ascii="Arial" w:hAnsi="Arial" w:cs="Arial"/>
          <w:b/>
          <w:bCs/>
          <w:sz w:val="22"/>
        </w:rPr>
        <w:t>分类管理</w:t>
      </w:r>
      <w:r>
        <w:rPr>
          <w:rFonts w:ascii="Arial" w:hAnsi="Arial" w:cs="Arial"/>
          <w:sz w:val="22"/>
        </w:rPr>
        <w:t>：依法应编报水土保持方案的生产建设项目须在开工前完成水土保持方案报批手续：征占地面积在5公顷以上或者挖填土石方总量在5万立方米以上的生产建设项目编制水土保持方案报告书；征占地面积在0.5公顷及以上5公顷及以下或者挖填土石方总量在</w:t>
      </w:r>
      <w:r>
        <w:rPr>
          <w:rFonts w:hint="eastAsia" w:ascii="Arial" w:hAnsi="Arial" w:cs="Arial"/>
          <w:sz w:val="22"/>
          <w:lang w:eastAsia="zh-CN"/>
        </w:rPr>
        <w:t>1000</w:t>
      </w:r>
      <w:r>
        <w:rPr>
          <w:rFonts w:ascii="Arial" w:hAnsi="Arial" w:cs="Arial"/>
          <w:sz w:val="22"/>
        </w:rPr>
        <w:t>立方米及以上5万立方米及以下的生产建设项目编制水土保持方案报告表；征占地面积不足0.5公顷且挖填土石方总量不足</w:t>
      </w:r>
      <w:r>
        <w:rPr>
          <w:rFonts w:hint="eastAsia" w:ascii="Arial" w:hAnsi="Arial" w:cs="Arial"/>
          <w:sz w:val="22"/>
          <w:lang w:eastAsia="zh-CN"/>
        </w:rPr>
        <w:t>1000</w:t>
      </w:r>
      <w:r>
        <w:rPr>
          <w:rFonts w:ascii="Arial" w:hAnsi="Arial" w:cs="Arial"/>
          <w:sz w:val="22"/>
        </w:rPr>
        <w:t>立方米的生产建设项目，不需办理水土保持方案报批手续，由生产建设单位和个人依法做好水土流失防治工作。</w:t>
      </w:r>
      <w:r>
        <w:rPr>
          <w:rFonts w:hint="eastAsia" w:ascii="Arial" w:hAnsi="Arial" w:cs="Arial"/>
          <w:sz w:val="22"/>
          <w:lang w:eastAsia="zh-CN"/>
        </w:rPr>
        <w:t>（</w:t>
      </w:r>
      <w:r>
        <w:rPr>
          <w:rFonts w:ascii="Arial" w:hAnsi="Arial" w:cs="Arial"/>
          <w:sz w:val="22"/>
        </w:rPr>
        <w:t>2</w:t>
      </w:r>
      <w:r>
        <w:rPr>
          <w:rFonts w:hint="eastAsia" w:ascii="Arial" w:hAnsi="Arial" w:cs="Arial"/>
          <w:sz w:val="22"/>
          <w:lang w:eastAsia="zh-CN"/>
        </w:rPr>
        <w:t>）</w:t>
      </w:r>
      <w:r>
        <w:rPr>
          <w:rFonts w:ascii="Arial" w:hAnsi="Arial" w:cs="Arial"/>
          <w:sz w:val="22"/>
        </w:rPr>
        <w:t xml:space="preserve"> </w:t>
      </w:r>
      <w:r>
        <w:rPr>
          <w:rFonts w:ascii="Arial" w:hAnsi="Arial" w:cs="Arial"/>
          <w:b/>
          <w:bCs/>
          <w:sz w:val="22"/>
        </w:rPr>
        <w:t>分级审批</w:t>
      </w:r>
      <w:r>
        <w:rPr>
          <w:rFonts w:ascii="Arial" w:hAnsi="Arial" w:cs="Arial"/>
          <w:sz w:val="22"/>
        </w:rPr>
        <w:t>：中央立项的项目，水土保持方案报告书视情况由国家或省级水利部门审批；地方立项的项目，报告书由相应级别的水利部门审批，报告表由项目所在地县级水利部门审批。</w:t>
      </w:r>
      <w:r>
        <w:rPr>
          <w:rFonts w:hint="eastAsia" w:ascii="Arial" w:hAnsi="Arial" w:cs="Arial"/>
          <w:sz w:val="22"/>
          <w:lang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w:t>
      </w:r>
      <w:r>
        <w:rPr>
          <w:rFonts w:ascii="Arial" w:hAnsi="Arial" w:cs="Arial"/>
          <w:b/>
          <w:bCs/>
          <w:sz w:val="22"/>
        </w:rPr>
        <w:t>水保验收</w:t>
      </w:r>
      <w:r>
        <w:rPr>
          <w:rFonts w:ascii="Arial" w:hAnsi="Arial" w:cs="Arial"/>
          <w:sz w:val="22"/>
        </w:rPr>
        <w:t>：生产建设单位应在项目实施中按规定开展水保监理和监测、落实水保“三同时”制度、在项目投产使用或者竣工验收前自主开展水保设施验收、组织编制水保验收报告并进行公示、向水利部门报备验收材料并取得报备回执。</w:t>
      </w:r>
      <w:r>
        <w:rPr>
          <w:rFonts w:hint="eastAsia" w:ascii="Arial" w:hAnsi="Arial" w:cs="Arial"/>
          <w:sz w:val="22"/>
          <w:lang w:eastAsia="zh-CN"/>
        </w:rPr>
        <w:t>（</w:t>
      </w:r>
      <w:r>
        <w:rPr>
          <w:rFonts w:ascii="Arial" w:hAnsi="Arial" w:cs="Arial"/>
          <w:sz w:val="22"/>
        </w:rPr>
        <w:t>4</w:t>
      </w:r>
      <w:r>
        <w:rPr>
          <w:rFonts w:hint="eastAsia" w:ascii="Arial" w:hAnsi="Arial" w:cs="Arial"/>
          <w:sz w:val="22"/>
          <w:lang w:eastAsia="zh-CN"/>
        </w:rPr>
        <w:t>）</w:t>
      </w:r>
      <w:r>
        <w:rPr>
          <w:rFonts w:ascii="Arial" w:hAnsi="Arial" w:cs="Arial"/>
          <w:sz w:val="22"/>
        </w:rPr>
        <w:t xml:space="preserve"> </w:t>
      </w:r>
      <w:r>
        <w:rPr>
          <w:rFonts w:ascii="Arial" w:hAnsi="Arial" w:cs="Arial"/>
          <w:b/>
          <w:bCs/>
          <w:sz w:val="22"/>
        </w:rPr>
        <w:t>监督检查</w:t>
      </w:r>
      <w:r>
        <w:rPr>
          <w:rFonts w:ascii="Arial" w:hAnsi="Arial" w:cs="Arial"/>
          <w:sz w:val="22"/>
        </w:rPr>
        <w:t>：水利部门负责对生产建设项目开展水土保持监督检查，包括对水土保持方案实施情况的跟踪检查和对水土保持设施自主验收情况的核查。</w:t>
      </w:r>
    </w:p>
    <w:p w14:paraId="4A2FC99D">
      <w:pPr>
        <w:pStyle w:val="48"/>
        <w:tabs>
          <w:tab w:val="left" w:pos="790"/>
          <w:tab w:val="left" w:pos="851"/>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2656583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color w:val="000000" w:themeColor="text1"/>
          <w:sz w:val="22"/>
          <w14:textFill>
            <w14:solidFill>
              <w14:schemeClr w14:val="tx1"/>
            </w14:solidFill>
          </w14:textFill>
        </w:rPr>
      </w:pPr>
      <w:r>
        <w:rPr>
          <w:rFonts w:ascii="Arial" w:hAnsi="Arial" w:cs="Arial"/>
          <w:b/>
          <w:bCs/>
          <w:color w:val="000000" w:themeColor="text1"/>
          <w:sz w:val="22"/>
          <w14:textFill>
            <w14:solidFill>
              <w14:schemeClr w14:val="tx1"/>
            </w14:solidFill>
          </w14:textFill>
        </w:rPr>
        <w:t>林业部门</w:t>
      </w:r>
      <w:r>
        <w:rPr>
          <w:rFonts w:ascii="Arial" w:hAnsi="Arial" w:cs="Arial"/>
          <w:color w:val="000000" w:themeColor="text1"/>
          <w:sz w:val="22"/>
          <w14:textFill>
            <w14:solidFill>
              <w14:schemeClr w14:val="tx1"/>
            </w14:solidFill>
          </w14:textFill>
        </w:rPr>
        <w:t>：自然保护地由林业部门负责监管。县级林业局一般设有野保股、森林资源管理股或</w:t>
      </w:r>
      <w:r>
        <w:rPr>
          <w:rFonts w:ascii="Arial" w:hAnsi="Arial" w:cs="Arial"/>
          <w:bCs/>
          <w:color w:val="000000" w:themeColor="text1"/>
          <w:sz w:val="22"/>
          <w14:textFill>
            <w14:solidFill>
              <w14:schemeClr w14:val="tx1"/>
            </w14:solidFill>
          </w14:textFill>
        </w:rPr>
        <w:t>湿地中心</w:t>
      </w:r>
      <w:r>
        <w:rPr>
          <w:rFonts w:ascii="Arial" w:hAnsi="Arial" w:cs="Arial"/>
          <w:color w:val="000000" w:themeColor="text1"/>
          <w:sz w:val="22"/>
          <w14:textFill>
            <w14:solidFill>
              <w14:schemeClr w14:val="tx1"/>
            </w14:solidFill>
          </w14:textFill>
        </w:rPr>
        <w:t>（4</w:t>
      </w:r>
      <w:r>
        <w:rPr>
          <w:rFonts w:hint="eastAsia" w:ascii="Arial" w:hAnsi="Arial" w:cs="Arial"/>
          <w:color w:val="000000" w:themeColor="text1"/>
          <w:sz w:val="22"/>
          <w:lang w:eastAsia="zh-CN"/>
          <w14:textFill>
            <w14:solidFill>
              <w14:schemeClr w14:val="tx1"/>
            </w14:solidFill>
          </w14:textFill>
        </w:rPr>
        <w:t>—</w:t>
      </w:r>
      <w:r>
        <w:rPr>
          <w:rFonts w:ascii="Arial" w:hAnsi="Arial" w:cs="Arial"/>
          <w:color w:val="000000" w:themeColor="text1"/>
          <w:sz w:val="22"/>
          <w14:textFill>
            <w14:solidFill>
              <w14:schemeClr w14:val="tx1"/>
            </w14:solidFill>
          </w14:textFill>
        </w:rPr>
        <w:t>7人），</w:t>
      </w:r>
      <w:r>
        <w:rPr>
          <w:rFonts w:ascii="Arial" w:hAnsi="Arial" w:cs="Arial"/>
          <w:bCs/>
          <w:color w:val="000000" w:themeColor="text1"/>
          <w:sz w:val="22"/>
          <w14:textFill>
            <w14:solidFill>
              <w14:schemeClr w14:val="tx1"/>
            </w14:solidFill>
          </w14:textFill>
        </w:rPr>
        <w:t>负责辖区内自然保护地的规划与管理、自然资源的保护与监测等工作，并通过自然保护地事务服务中心、乡镇林业站、国有林场等相关机构对自然保护地开展巡查巡护。</w:t>
      </w:r>
    </w:p>
    <w:p w14:paraId="5983EB9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自然资源</w:t>
      </w:r>
      <w:r>
        <w:rPr>
          <w:rFonts w:ascii="Arial" w:hAnsi="Arial" w:cs="Arial"/>
          <w:b/>
          <w:bCs/>
          <w:color w:val="000000" w:themeColor="text1"/>
          <w:sz w:val="22"/>
          <w14:textFill>
            <w14:solidFill>
              <w14:schemeClr w14:val="tx1"/>
            </w14:solidFill>
          </w14:textFill>
        </w:rPr>
        <w:t>部门</w:t>
      </w:r>
      <w:r>
        <w:rPr>
          <w:rFonts w:ascii="Arial" w:hAnsi="Arial" w:cs="Arial"/>
          <w:color w:val="000000" w:themeColor="text1"/>
          <w:sz w:val="22"/>
          <w14:textFill>
            <w14:solidFill>
              <w14:schemeClr w14:val="tx1"/>
            </w14:solidFill>
          </w14:textFill>
        </w:rPr>
        <w:t>：</w:t>
      </w:r>
      <w:r>
        <w:rPr>
          <w:rFonts w:ascii="Arial" w:hAnsi="Arial" w:cs="Arial"/>
          <w:sz w:val="22"/>
        </w:rPr>
        <w:t>生态保护红线由自然资源</w:t>
      </w:r>
      <w:r>
        <w:rPr>
          <w:rFonts w:ascii="Arial" w:hAnsi="Arial" w:cs="Arial"/>
          <w:color w:val="000000" w:themeColor="text1"/>
          <w:sz w:val="22"/>
          <w14:textFill>
            <w14:solidFill>
              <w14:schemeClr w14:val="tx1"/>
            </w14:solidFill>
          </w14:textFill>
        </w:rPr>
        <w:t>部门</w:t>
      </w:r>
      <w:r>
        <w:rPr>
          <w:rFonts w:ascii="Arial" w:hAnsi="Arial" w:cs="Arial"/>
          <w:sz w:val="22"/>
        </w:rPr>
        <w:t>牵头管理。截至2020年底，全国各省均已完成生态保护红线划定并开始实施，湖北省也于2018年制定了相应的《湖北省生态保护红线划定方案》。县级自然资源局一般设有国土空间规划股（1</w:t>
      </w:r>
      <w:r>
        <w:rPr>
          <w:rFonts w:hint="eastAsia" w:ascii="Arial" w:hAnsi="Arial" w:cs="Arial"/>
          <w:sz w:val="22"/>
          <w:lang w:eastAsia="zh-CN"/>
        </w:rPr>
        <w:t>—</w:t>
      </w:r>
      <w:r>
        <w:rPr>
          <w:rFonts w:ascii="Arial" w:hAnsi="Arial" w:cs="Arial"/>
          <w:sz w:val="22"/>
        </w:rPr>
        <w:t>7人），负责</w:t>
      </w:r>
      <w:r>
        <w:rPr>
          <w:rFonts w:ascii="Arial" w:hAnsi="Arial" w:cs="Arial"/>
          <w:bCs/>
          <w:color w:val="000000" w:themeColor="text1"/>
          <w:sz w:val="22"/>
          <w14:textFill>
            <w14:solidFill>
              <w14:schemeClr w14:val="tx1"/>
            </w14:solidFill>
          </w14:textFill>
        </w:rPr>
        <w:t>组织划定本区域生态保护红线并进行监管，承担项目占用生态保护红线的审核等工作</w:t>
      </w:r>
      <w:r>
        <w:rPr>
          <w:rFonts w:ascii="Arial" w:hAnsi="Arial" w:cs="Arial"/>
          <w:sz w:val="22"/>
        </w:rPr>
        <w:t>。</w:t>
      </w:r>
      <w:r>
        <w:rPr>
          <w:rFonts w:ascii="Arial" w:hAnsi="Arial" w:cs="Arial"/>
          <w:sz w:val="22"/>
          <w:lang w:val="en-GB"/>
        </w:rPr>
        <w:t>地方</w:t>
      </w:r>
      <w:r>
        <w:rPr>
          <w:rFonts w:ascii="Arial" w:hAnsi="Arial" w:cs="Arial"/>
          <w:sz w:val="22"/>
        </w:rPr>
        <w:t>自然资源</w:t>
      </w:r>
      <w:r>
        <w:rPr>
          <w:rFonts w:ascii="Arial" w:hAnsi="Arial" w:cs="Arial"/>
          <w:sz w:val="22"/>
          <w:lang w:val="en-GB"/>
        </w:rPr>
        <w:t>局一般采用ArcGIS等地理信息</w:t>
      </w:r>
      <w:r>
        <w:rPr>
          <w:rFonts w:ascii="Arial" w:hAnsi="Arial" w:cs="Arial"/>
          <w:sz w:val="22"/>
        </w:rPr>
        <w:t>系统对辖区内</w:t>
      </w:r>
      <w:r>
        <w:rPr>
          <w:rFonts w:ascii="Arial" w:hAnsi="Arial" w:cs="Arial"/>
          <w:bCs/>
          <w:color w:val="000000" w:themeColor="text1"/>
          <w:sz w:val="22"/>
          <w14:textFill>
            <w14:solidFill>
              <w14:schemeClr w14:val="tx1"/>
            </w14:solidFill>
          </w14:textFill>
        </w:rPr>
        <w:t>生态保护红线</w:t>
      </w:r>
      <w:r>
        <w:rPr>
          <w:rFonts w:ascii="Arial" w:hAnsi="Arial" w:cs="Arial"/>
          <w:sz w:val="22"/>
        </w:rPr>
        <w:t>进行精准定位和监管。</w:t>
      </w:r>
      <w:r>
        <w:rPr>
          <w:rFonts w:hint="eastAsia" w:ascii="Arial" w:hAnsi="Arial" w:cs="Arial"/>
          <w:sz w:val="22"/>
          <w:lang w:eastAsia="zh-CN"/>
        </w:rPr>
        <w:t>自然资源部</w:t>
      </w:r>
      <w:r>
        <w:rPr>
          <w:rFonts w:ascii="Arial" w:hAnsi="Arial" w:cs="Arial"/>
          <w:sz w:val="22"/>
        </w:rPr>
        <w:t>采用专用卫星随时监测全国国土空间变化，一旦发现不符合生态保护红线要求的图斑，就能及时锁定目标，责令地方相关部门进行核查、整改或接受惩治。生态保护红线制度实施良好。</w:t>
      </w:r>
    </w:p>
    <w:p w14:paraId="34F1A1A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生态环境部门</w:t>
      </w:r>
      <w:r>
        <w:rPr>
          <w:rFonts w:ascii="Arial" w:hAnsi="Arial" w:cs="Arial"/>
          <w:sz w:val="22"/>
        </w:rPr>
        <w:t>：自然保护地和生态保护红线管理均需要生态环境部门协同配合。</w:t>
      </w:r>
      <w:r>
        <w:rPr>
          <w:rFonts w:ascii="Arial" w:hAnsi="Arial" w:cs="Arial"/>
          <w:bCs/>
          <w:color w:val="000000" w:themeColor="text1"/>
          <w:sz w:val="22"/>
          <w14:textFill>
            <w14:solidFill>
              <w14:schemeClr w14:val="tx1"/>
            </w14:solidFill>
          </w14:textFill>
        </w:rPr>
        <w:t>自然保护地内非法开矿、修路、筑坝等造成生态破坏行为由地方生态环境部门执法队伍实施行政处罚。</w:t>
      </w:r>
      <w:r>
        <w:rPr>
          <w:rFonts w:ascii="Arial" w:hAnsi="Arial" w:cs="Arial"/>
          <w:sz w:val="22"/>
        </w:rPr>
        <w:t>县级生态环境局一般设有环评审批股（2</w:t>
      </w:r>
      <w:r>
        <w:rPr>
          <w:rFonts w:hint="eastAsia" w:ascii="Arial" w:hAnsi="Arial" w:cs="Arial"/>
          <w:sz w:val="22"/>
          <w:lang w:eastAsia="zh-CN"/>
        </w:rPr>
        <w:t>—</w:t>
      </w:r>
      <w:r>
        <w:rPr>
          <w:rFonts w:ascii="Arial" w:hAnsi="Arial" w:cs="Arial"/>
          <w:sz w:val="22"/>
        </w:rPr>
        <w:t>5人），在建设项目环评过程中征求当地自然资源、林业等部门的意见，对项目选址的生态保护红线符合性进行审查</w:t>
      </w:r>
      <w:r>
        <w:rPr>
          <w:rFonts w:ascii="Arial" w:hAnsi="Arial" w:cs="Arial"/>
          <w:sz w:val="22"/>
          <w:lang w:val="en-GB"/>
        </w:rPr>
        <w:t>；同时在环评中审查建设项目生态环境影响评价的合规性以及生态保护措施的合理性</w:t>
      </w:r>
      <w:r>
        <w:rPr>
          <w:rFonts w:ascii="Arial" w:hAnsi="Arial" w:cs="Arial"/>
          <w:sz w:val="22"/>
        </w:rPr>
        <w:t>。这一机制在</w:t>
      </w:r>
      <w:r>
        <w:rPr>
          <w:rFonts w:hint="eastAsia" w:ascii="Arial" w:hAnsi="Arial" w:cs="Arial"/>
          <w:sz w:val="22"/>
          <w:lang w:eastAsia="zh-CN"/>
        </w:rPr>
        <w:t>以往</w:t>
      </w:r>
      <w:r>
        <w:rPr>
          <w:rFonts w:ascii="Arial" w:hAnsi="Arial" w:cs="Arial"/>
          <w:sz w:val="22"/>
        </w:rPr>
        <w:t>建设项目环评中都得到了很好的贯彻执行。</w:t>
      </w:r>
    </w:p>
    <w:p w14:paraId="34D3341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b/>
          <w:bCs/>
          <w:sz w:val="22"/>
        </w:rPr>
        <w:t>水利部门</w:t>
      </w:r>
      <w:r>
        <w:rPr>
          <w:rFonts w:ascii="Arial" w:hAnsi="Arial" w:cs="Arial"/>
          <w:sz w:val="22"/>
        </w:rPr>
        <w:t>：县级水利</w:t>
      </w:r>
      <w:r>
        <w:rPr>
          <w:rFonts w:hint="eastAsia" w:ascii="Arial" w:hAnsi="Arial" w:cs="Arial"/>
          <w:sz w:val="22"/>
        </w:rPr>
        <w:t>部门</w:t>
      </w:r>
      <w:r>
        <w:rPr>
          <w:rFonts w:ascii="Arial" w:hAnsi="Arial" w:cs="Arial"/>
          <w:sz w:val="22"/>
        </w:rPr>
        <w:t>负责本项目活动涉及的水土保持方案审批和监管。</w:t>
      </w:r>
      <w:r>
        <w:rPr>
          <w:rFonts w:ascii="Arial" w:hAnsi="Arial" w:cs="Arial"/>
          <w:sz w:val="22"/>
          <w:lang w:val="en-GB"/>
        </w:rPr>
        <w:t>根据调研，样本县水利</w:t>
      </w:r>
      <w:r>
        <w:rPr>
          <w:rFonts w:hint="eastAsia" w:ascii="Arial" w:hAnsi="Arial" w:cs="Arial"/>
          <w:sz w:val="22"/>
          <w:lang w:val="en-GB"/>
        </w:rPr>
        <w:t>部门</w:t>
      </w:r>
      <w:r>
        <w:rPr>
          <w:rFonts w:ascii="Arial" w:hAnsi="Arial" w:cs="Arial"/>
          <w:sz w:val="22"/>
          <w:lang w:val="en-GB"/>
        </w:rPr>
        <w:t>内设水政水资源股等部门（3</w:t>
      </w:r>
      <w:r>
        <w:rPr>
          <w:rFonts w:hint="eastAsia" w:ascii="Arial" w:hAnsi="Arial" w:cs="Arial"/>
          <w:sz w:val="22"/>
          <w:lang w:val="en-GB" w:eastAsia="zh-CN"/>
        </w:rPr>
        <w:t>—</w:t>
      </w:r>
      <w:r>
        <w:rPr>
          <w:rFonts w:ascii="Arial" w:hAnsi="Arial" w:cs="Arial"/>
          <w:sz w:val="22"/>
          <w:lang w:val="en-GB"/>
        </w:rPr>
        <w:t>5人），负责审批地方立项的开发建设项目水保方案，一般通过当地行政审批大厅完成申报与审批流程。</w:t>
      </w:r>
      <w:r>
        <w:rPr>
          <w:rFonts w:ascii="Arial" w:hAnsi="Arial" w:cs="Arial"/>
          <w:sz w:val="22"/>
        </w:rPr>
        <w:t>县级水利</w:t>
      </w:r>
      <w:r>
        <w:rPr>
          <w:rFonts w:hint="eastAsia" w:ascii="Arial" w:hAnsi="Arial" w:cs="Arial"/>
          <w:sz w:val="22"/>
        </w:rPr>
        <w:t>部门</w:t>
      </w:r>
      <w:r>
        <w:rPr>
          <w:rFonts w:ascii="Arial" w:hAnsi="Arial" w:cs="Arial"/>
          <w:sz w:val="22"/>
        </w:rPr>
        <w:t>通过“双随机、一公开”等方式，</w:t>
      </w:r>
      <w:r>
        <w:rPr>
          <w:rFonts w:ascii="Arial" w:hAnsi="Arial" w:cs="Arial"/>
          <w:sz w:val="22"/>
          <w:lang w:val="en-GB"/>
        </w:rPr>
        <w:t>采用</w:t>
      </w:r>
      <w:r>
        <w:rPr>
          <w:rFonts w:ascii="Arial" w:hAnsi="Arial" w:cs="Arial"/>
          <w:sz w:val="22"/>
        </w:rPr>
        <w:t>遥感监测、现场巡查等方式，随机确定检查对象，对</w:t>
      </w:r>
      <w:r>
        <w:rPr>
          <w:rFonts w:ascii="Arial" w:hAnsi="Arial" w:cs="Arial"/>
          <w:sz w:val="22"/>
          <w:lang w:val="en-GB"/>
        </w:rPr>
        <w:t>项目施工期水保工程措施的实施、水保方案竣工验收、水土保持监测等情况进行监督检查</w:t>
      </w:r>
      <w:r>
        <w:rPr>
          <w:rFonts w:ascii="Arial" w:hAnsi="Arial" w:cs="Arial"/>
          <w:sz w:val="22"/>
        </w:rPr>
        <w:t>，每年现场抽查比例不低于10%。</w:t>
      </w:r>
    </w:p>
    <w:p w14:paraId="25817D6B">
      <w:pPr>
        <w:tabs>
          <w:tab w:val="left" w:pos="851"/>
          <w:tab w:val="left" w:pos="993"/>
        </w:tabs>
        <w:adjustRightInd w:val="0"/>
        <w:snapToGrid w:val="0"/>
        <w:spacing w:before="120" w:after="12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73B5346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lang w:val="en-GB"/>
        </w:rPr>
      </w:pPr>
      <w:r>
        <w:rPr>
          <w:rFonts w:ascii="Arial" w:hAnsi="Arial" w:cs="Arial"/>
          <w:sz w:val="22"/>
          <w:lang w:val="en-GB"/>
        </w:rPr>
        <w:t>本项目位于乡镇和农村已被人类活动扰动的地区，利用原有农业用地开展农业生产活动或利用建设用地开展小型基础设施建设</w:t>
      </w:r>
      <w:r>
        <w:rPr>
          <w:rFonts w:ascii="Arial" w:hAnsi="Arial" w:cs="Arial"/>
          <w:sz w:val="22"/>
        </w:rPr>
        <w:t>，不会占用重要的自然保护地或栖息地。同时，本项目环境排除原则也将任何可能影响生态保护红线等环境敏感区的活动</w:t>
      </w:r>
      <w:r>
        <w:rPr>
          <w:rFonts w:ascii="Arial" w:hAnsi="Arial" w:cs="Arial"/>
          <w:sz w:val="22"/>
          <w:lang w:val="en-GB"/>
        </w:rPr>
        <w:t>都排除在本项目范围以外。因此，关于建设项目生态环境保护及</w:t>
      </w:r>
      <w:r>
        <w:rPr>
          <w:rFonts w:ascii="Arial" w:hAnsi="Arial" w:cs="Arial"/>
          <w:sz w:val="22"/>
        </w:rPr>
        <w:t>水土保持管理</w:t>
      </w:r>
      <w:r>
        <w:rPr>
          <w:rFonts w:ascii="Arial" w:hAnsi="Arial" w:cs="Arial"/>
          <w:sz w:val="22"/>
          <w:lang w:val="en-GB"/>
        </w:rPr>
        <w:t>，相应的法规制度</w:t>
      </w:r>
      <w:r>
        <w:rPr>
          <w:rFonts w:ascii="Arial" w:hAnsi="Arial" w:cs="Arial"/>
          <w:sz w:val="22"/>
        </w:rPr>
        <w:t>合理，管理机构设置和人员配备完整，运行体制健全，</w:t>
      </w:r>
      <w:r>
        <w:rPr>
          <w:rFonts w:ascii="Arial" w:hAnsi="Arial" w:cs="Arial"/>
          <w:sz w:val="22"/>
          <w:lang w:val="en-GB"/>
        </w:rPr>
        <w:t>可以避免本项目活动对自然生态系统可能的不利影响、促进生态环境保护可持续发展</w:t>
      </w:r>
      <w:r>
        <w:rPr>
          <w:rFonts w:ascii="Arial" w:hAnsi="Arial" w:cs="Arial"/>
          <w:sz w:val="22"/>
        </w:rPr>
        <w:t>，符合世行核心原则的要求</w:t>
      </w:r>
      <w:r>
        <w:rPr>
          <w:rFonts w:ascii="Arial" w:hAnsi="Arial" w:cs="Arial"/>
          <w:sz w:val="22"/>
          <w:lang w:val="en-GB"/>
        </w:rPr>
        <w:t>。</w:t>
      </w:r>
    </w:p>
    <w:p w14:paraId="09A85F03">
      <w:pPr>
        <w:pStyle w:val="3"/>
        <w:tabs>
          <w:tab w:val="left" w:pos="851"/>
        </w:tabs>
        <w:rPr>
          <w:color w:val="1F4E79" w:themeColor="accent5" w:themeShade="80"/>
          <w:sz w:val="24"/>
        </w:rPr>
      </w:pPr>
      <w:bookmarkStart w:id="360" w:name="_Toc119937293"/>
      <w:bookmarkStart w:id="361" w:name="_Toc107747445"/>
      <w:r>
        <w:rPr>
          <w:color w:val="1F4E79" w:themeColor="accent5" w:themeShade="80"/>
          <w:sz w:val="24"/>
        </w:rPr>
        <w:t>4.5</w:t>
      </w:r>
      <w:r>
        <w:rPr>
          <w:color w:val="1F4E79" w:themeColor="accent5" w:themeShade="80"/>
          <w:sz w:val="24"/>
        </w:rPr>
        <w:tab/>
      </w:r>
      <w:r>
        <w:rPr>
          <w:color w:val="1F4E79" w:themeColor="accent5" w:themeShade="80"/>
          <w:sz w:val="24"/>
        </w:rPr>
        <w:t>健康与安全管理系统</w:t>
      </w:r>
      <w:bookmarkEnd w:id="360"/>
      <w:bookmarkEnd w:id="361"/>
    </w:p>
    <w:bookmarkEnd w:id="350"/>
    <w:bookmarkEnd w:id="351"/>
    <w:p w14:paraId="1B51B8DB">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节只针对暴露于有害物品或危险因素的活动中保护公众和工人安全的管理体系进行评价，涉及农村生活污水收集与处理、农村生活垃圾收集与转运、畜禽粪污处理与资源化利用等设施中的臭气；种植业生产中使用的农药；养殖业中产生的病死动物；有限空间作业中产生中毒和缺氧风险等，都可能对劳动者或公众产生健康风险。关于本项目工程设施建设与运行中可能涉及的健康与安全风险，中国已建有专门的职业病防治和安全生产管理体系，详情在</w:t>
      </w:r>
      <w:r>
        <w:rPr>
          <w:rFonts w:ascii="Arial" w:hAnsi="Arial" w:cs="Arial"/>
          <w:b/>
          <w:bCs/>
          <w:sz w:val="22"/>
        </w:rPr>
        <w:t>第5章</w:t>
      </w:r>
      <w:r>
        <w:rPr>
          <w:rFonts w:ascii="Arial" w:hAnsi="Arial" w:cs="Arial"/>
          <w:sz w:val="22"/>
        </w:rPr>
        <w:t>介绍。</w:t>
      </w:r>
    </w:p>
    <w:p w14:paraId="292D56F8">
      <w:pPr>
        <w:pStyle w:val="48"/>
        <w:tabs>
          <w:tab w:val="left" w:pos="709"/>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法律法规框架</w:t>
      </w:r>
    </w:p>
    <w:p w14:paraId="4B6E1E6B">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rPr>
        <w:t>《</w:t>
      </w:r>
      <w:r>
        <w:rPr>
          <w:rFonts w:hint="eastAsia" w:ascii="Arial" w:hAnsi="Arial" w:cs="Arial"/>
          <w:b/>
          <w:bCs/>
          <w:sz w:val="22"/>
          <w:lang w:eastAsia="zh-CN"/>
        </w:rPr>
        <w:t>中华人民共和国动物防疫法</w:t>
      </w:r>
      <w:r>
        <w:rPr>
          <w:rFonts w:ascii="Arial" w:hAnsi="Arial" w:cs="Arial"/>
          <w:b/>
          <w:bCs/>
          <w:sz w:val="22"/>
        </w:rPr>
        <w:t>》</w:t>
      </w:r>
      <w:r>
        <w:rPr>
          <w:rFonts w:hint="eastAsia" w:ascii="Arial" w:hAnsi="Arial" w:cs="Arial"/>
          <w:bCs/>
          <w:sz w:val="22"/>
          <w:lang w:eastAsia="zh-CN"/>
        </w:rPr>
        <w:t>（</w:t>
      </w:r>
      <w:r>
        <w:rPr>
          <w:rFonts w:ascii="Arial" w:hAnsi="Arial" w:cs="Arial"/>
          <w:bCs/>
          <w:sz w:val="22"/>
        </w:rPr>
        <w:t>2021年修订</w:t>
      </w:r>
      <w:r>
        <w:rPr>
          <w:rFonts w:hint="eastAsia" w:ascii="Arial" w:hAnsi="Arial" w:cs="Arial"/>
          <w:bCs/>
          <w:sz w:val="22"/>
          <w:lang w:eastAsia="zh-CN"/>
        </w:rPr>
        <w:t>）</w:t>
      </w:r>
      <w:r>
        <w:rPr>
          <w:rFonts w:ascii="Arial" w:hAnsi="Arial" w:cs="Arial"/>
          <w:bCs/>
          <w:sz w:val="22"/>
        </w:rPr>
        <w:t>：要求</w:t>
      </w:r>
      <w:r>
        <w:rPr>
          <w:rFonts w:ascii="Arial" w:hAnsi="Arial" w:cs="Arial"/>
          <w:sz w:val="22"/>
        </w:rPr>
        <w:t>对从事动物疫病预防、检疫、监督检查、现场处理疫情以及在工作中接触动物疫病病原体的人员，有关单位按照国家规定，采取有效的卫生防护、医疗保健措施，给予畜牧兽医医疗卫生津贴等相关待遇。</w:t>
      </w:r>
    </w:p>
    <w:p w14:paraId="5A91BCCC">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b/>
          <w:sz w:val="22"/>
        </w:rPr>
        <w:t>《农药管理条例》</w:t>
      </w:r>
      <w:r>
        <w:rPr>
          <w:rFonts w:hint="eastAsia" w:ascii="Arial" w:hAnsi="Arial" w:cs="Arial"/>
          <w:bCs/>
          <w:sz w:val="22"/>
          <w:lang w:eastAsia="zh-CN"/>
        </w:rPr>
        <w:t>（</w:t>
      </w:r>
      <w:r>
        <w:rPr>
          <w:rFonts w:ascii="Arial" w:hAnsi="Arial" w:cs="Arial"/>
          <w:bCs/>
          <w:sz w:val="22"/>
        </w:rPr>
        <w:t>2022年修订</w:t>
      </w:r>
      <w:r>
        <w:rPr>
          <w:rFonts w:hint="eastAsia" w:ascii="Arial" w:hAnsi="Arial" w:cs="Arial"/>
          <w:bCs/>
          <w:sz w:val="22"/>
          <w:lang w:eastAsia="zh-CN"/>
        </w:rPr>
        <w:t>）</w:t>
      </w:r>
      <w:r>
        <w:rPr>
          <w:rFonts w:ascii="Arial" w:hAnsi="Arial" w:cs="Arial"/>
          <w:bCs/>
          <w:sz w:val="22"/>
        </w:rPr>
        <w:t>：农药经营者需有与其他商品以及饮用水水源、生活区域等有效隔离的营业场所和仓储场所，并配备与所申请经营农药相适应的防护设施。</w:t>
      </w:r>
      <w:r>
        <w:rPr>
          <w:rFonts w:ascii="Arial" w:hAnsi="Arial" w:cs="Arial"/>
          <w:sz w:val="22"/>
        </w:rPr>
        <w:t>农药使用者应当遵守国家有关农药安全、合理使用制度，妥善保管农药，并在配药、用药过程中采取必要的防护措施。</w:t>
      </w:r>
    </w:p>
    <w:p w14:paraId="2404B45B">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rPr>
        <w:t>《病死及病害动物无害化处理技术规范》</w:t>
      </w:r>
      <w:r>
        <w:rPr>
          <w:rFonts w:hint="eastAsia" w:ascii="Arial" w:hAnsi="Arial" w:cs="Arial"/>
          <w:sz w:val="22"/>
          <w:lang w:val="en-GB" w:eastAsia="zh-CN"/>
        </w:rPr>
        <w:t>（</w:t>
      </w:r>
      <w:r>
        <w:rPr>
          <w:rFonts w:ascii="Arial" w:hAnsi="Arial" w:cs="Arial"/>
          <w:sz w:val="22"/>
        </w:rPr>
        <w:t>2017年</w:t>
      </w:r>
      <w:r>
        <w:rPr>
          <w:rFonts w:hint="eastAsia" w:ascii="Arial" w:hAnsi="Arial" w:cs="Arial"/>
          <w:sz w:val="22"/>
          <w:lang w:eastAsia="zh-CN"/>
        </w:rPr>
        <w:t>）</w:t>
      </w:r>
      <w:r>
        <w:rPr>
          <w:rFonts w:ascii="Arial" w:hAnsi="Arial" w:cs="Arial"/>
          <w:sz w:val="22"/>
        </w:rPr>
        <w:t>：规定了处理病死、病害动物和相关产品的人员防护和记录要求。</w:t>
      </w:r>
    </w:p>
    <w:p w14:paraId="6387BD28">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rPr>
        <w:t>《建设项目职业病危害风险分类管理目录》</w:t>
      </w:r>
      <w:r>
        <w:rPr>
          <w:rFonts w:hint="eastAsia" w:ascii="Arial" w:hAnsi="Arial" w:cs="Arial"/>
          <w:sz w:val="22"/>
          <w:lang w:val="en-GB" w:eastAsia="zh-CN"/>
        </w:rPr>
        <w:t>（</w:t>
      </w:r>
      <w:r>
        <w:rPr>
          <w:rFonts w:ascii="Arial" w:hAnsi="Arial" w:cs="Arial"/>
          <w:sz w:val="22"/>
          <w:lang w:val="en-GB"/>
        </w:rPr>
        <w:t>2021年</w:t>
      </w:r>
      <w:r>
        <w:rPr>
          <w:rFonts w:hint="eastAsia" w:ascii="Arial" w:hAnsi="Arial" w:cs="Arial"/>
          <w:sz w:val="22"/>
          <w:lang w:val="en-GB" w:eastAsia="zh-CN"/>
        </w:rPr>
        <w:t>）</w:t>
      </w:r>
      <w:r>
        <w:rPr>
          <w:rFonts w:ascii="Arial" w:hAnsi="Arial" w:cs="Arial"/>
          <w:sz w:val="22"/>
        </w:rPr>
        <w:t>：规定了12大类风险类别（84个行业，281个具体生产活动），其中畜牧、污水处理、环境卫生管理划为具有职业病危害一般风险的行业类别。</w:t>
      </w:r>
    </w:p>
    <w:p w14:paraId="697086EA">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hint="eastAsia" w:ascii="Arial" w:hAnsi="Arial" w:cs="Arial"/>
          <w:b/>
          <w:bCs/>
          <w:sz w:val="22"/>
          <w:lang w:eastAsia="zh-CN"/>
        </w:rPr>
        <w:t>《职业病分类和目录（2013年）》</w:t>
      </w:r>
      <w:r>
        <w:rPr>
          <w:rFonts w:ascii="Arial" w:hAnsi="Arial" w:cs="Arial"/>
          <w:sz w:val="22"/>
        </w:rPr>
        <w:t>：列出了呼吸、皮肤、化学、物理等十大类132小类职业病类型，将氨中毒和硫化氢中毒列为职业性化学中毒。</w:t>
      </w:r>
    </w:p>
    <w:p w14:paraId="1CF4A19E">
      <w:pPr>
        <w:pStyle w:val="48"/>
        <w:numPr>
          <w:ilvl w:val="0"/>
          <w:numId w:val="5"/>
        </w:numPr>
        <w:tabs>
          <w:tab w:val="left" w:pos="709"/>
        </w:tabs>
        <w:adjustRightInd w:val="0"/>
        <w:snapToGrid w:val="0"/>
        <w:spacing w:before="120" w:after="120"/>
        <w:ind w:left="0" w:firstLine="0" w:firstLineChars="0"/>
        <w:rPr>
          <w:rFonts w:ascii="Arial" w:hAnsi="Arial" w:cs="Arial"/>
          <w:sz w:val="22"/>
        </w:rPr>
      </w:pPr>
      <w:r>
        <w:rPr>
          <w:rFonts w:ascii="Arial" w:hAnsi="Arial" w:cs="Arial"/>
          <w:b/>
          <w:bCs/>
          <w:sz w:val="22"/>
        </w:rPr>
        <w:t>《有限空间作业安全指导手册》</w:t>
      </w:r>
      <w:r>
        <w:rPr>
          <w:rFonts w:hint="eastAsia" w:ascii="Arial" w:hAnsi="Arial" w:cs="Arial"/>
          <w:sz w:val="22"/>
          <w:lang w:val="en-GB" w:eastAsia="zh-CN"/>
        </w:rPr>
        <w:t>（</w:t>
      </w:r>
      <w:r>
        <w:rPr>
          <w:rFonts w:ascii="Arial" w:hAnsi="Arial" w:cs="Arial"/>
          <w:sz w:val="22"/>
          <w:lang w:val="en-GB"/>
        </w:rPr>
        <w:t>2020年</w:t>
      </w:r>
      <w:r>
        <w:rPr>
          <w:rFonts w:hint="eastAsia" w:ascii="Arial" w:hAnsi="Arial" w:cs="Arial"/>
          <w:sz w:val="22"/>
          <w:lang w:val="en-GB" w:eastAsia="zh-CN"/>
        </w:rPr>
        <w:t>）</w:t>
      </w:r>
      <w:r>
        <w:rPr>
          <w:rFonts w:ascii="Arial" w:hAnsi="Arial" w:cs="Arial"/>
          <w:sz w:val="22"/>
        </w:rPr>
        <w:t>：针对地上、地下、密闭设备等不同类型的有限空间作业，提出中毒、缺氧窒息、燃爆、淹溺、高处坠落等主要安全风险的识别方法和防护措施。</w:t>
      </w:r>
    </w:p>
    <w:p w14:paraId="6FE8DF5F">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2022年9月份湖南省颁布了《湖南省职业病防治若干规定》</w:t>
      </w:r>
      <w:r>
        <w:rPr>
          <w:rFonts w:hint="eastAsia" w:ascii="Arial" w:hAnsi="Arial" w:cs="Arial"/>
          <w:sz w:val="22"/>
          <w:lang w:eastAsia="zh-CN"/>
        </w:rPr>
        <w:t>（</w:t>
      </w:r>
      <w:r>
        <w:rPr>
          <w:rFonts w:ascii="Arial" w:hAnsi="Arial" w:cs="Arial"/>
          <w:sz w:val="22"/>
        </w:rPr>
        <w:t>2022年</w:t>
      </w:r>
      <w:r>
        <w:rPr>
          <w:rFonts w:hint="eastAsia" w:ascii="Arial" w:hAnsi="Arial" w:cs="Arial"/>
          <w:sz w:val="22"/>
          <w:lang w:eastAsia="zh-CN"/>
        </w:rPr>
        <w:t>）</w:t>
      </w:r>
      <w:r>
        <w:rPr>
          <w:rFonts w:ascii="Arial" w:hAnsi="Arial" w:cs="Arial"/>
          <w:sz w:val="22"/>
        </w:rPr>
        <w:t>，强调用人单位作为职业病防治责任主体，需要开展职业病防治规章制度、操作规程、投入保障、风险管控、隐患排查、教育培训等要求。湖北省制定了《湖北省“十四五”职业病防治规划》，强化用人单位的主体责任，严格落实职业病危害项目申报、建设项目职业病防护设施“三同时”、职业病危害因素检测评价、劳动者职业健康检查和健康培训等制度。</w:t>
      </w:r>
    </w:p>
    <w:p w14:paraId="53CE2976">
      <w:pPr>
        <w:pStyle w:val="48"/>
        <w:tabs>
          <w:tab w:val="left" w:pos="709"/>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实施机制</w:t>
      </w:r>
    </w:p>
    <w:p w14:paraId="271967B7">
      <w:pPr>
        <w:pStyle w:val="48"/>
        <w:numPr>
          <w:ilvl w:val="0"/>
          <w:numId w:val="5"/>
        </w:numPr>
        <w:tabs>
          <w:tab w:val="left" w:pos="709"/>
        </w:tabs>
        <w:adjustRightInd w:val="0"/>
        <w:snapToGrid w:val="0"/>
        <w:spacing w:before="120" w:after="120"/>
        <w:ind w:left="0" w:firstLine="0" w:firstLineChars="0"/>
        <w:jc w:val="both"/>
        <w:rPr>
          <w:rFonts w:ascii="Arial" w:hAnsi="Arial" w:cs="Arial"/>
          <w:sz w:val="22"/>
        </w:rPr>
      </w:pPr>
      <w:r>
        <w:rPr>
          <w:rFonts w:ascii="Arial" w:hAnsi="Arial" w:cs="Arial"/>
          <w:sz w:val="22"/>
        </w:rPr>
        <w:tab/>
      </w:r>
      <w:r>
        <w:rPr>
          <w:rFonts w:ascii="Arial" w:hAnsi="Arial" w:cs="Arial"/>
          <w:b/>
          <w:bCs/>
          <w:sz w:val="22"/>
        </w:rPr>
        <w:t>农药</w:t>
      </w:r>
      <w:r>
        <w:rPr>
          <w:rFonts w:ascii="Arial" w:hAnsi="Arial" w:cs="Arial"/>
          <w:sz w:val="22"/>
        </w:rPr>
        <w:t>：农药生产者应办理农药登记并取得生产许可证。农药经营者应取得经营许可证。农药使用者应遵守农药安全使用制度，妥善保管农药，并在配药、用药过程中采取必要的防护措施（如口罩、护目镜、手套等），避免发生农药使用事故。</w:t>
      </w:r>
    </w:p>
    <w:p w14:paraId="14AC94C6">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臭气</w:t>
      </w:r>
      <w:r>
        <w:rPr>
          <w:rFonts w:ascii="Arial" w:hAnsi="Arial" w:cs="Arial"/>
          <w:sz w:val="22"/>
        </w:rPr>
        <w:t>：在应急管理、卫生健康以及行业主管部门的监督和指导下，生产经营单位作为责任主体，负责完善臭气处理措施与设施，从源头消减臭气的产生及对周边社区的影响；开展安全生产和职业病防护设施“三同时”，并建立相关档案资料；为员工提供安全生产与职业健康培训、健康体检，并配备安全防护设施和个人防护用品。</w:t>
      </w:r>
    </w:p>
    <w:p w14:paraId="3BD439BC">
      <w:pPr>
        <w:pStyle w:val="48"/>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有限空间</w:t>
      </w:r>
      <w:r>
        <w:rPr>
          <w:rFonts w:ascii="Arial" w:hAnsi="Arial" w:cs="Arial"/>
          <w:sz w:val="22"/>
        </w:rPr>
        <w:t>：污水收集与处理、畜禽粪污处理等活动的生产经营单位，从事检查井室、沼气池、化粪池、污水处理池、发酵池、管道等有限空间的清掏、疏通、维修等作业时，必须严格遵守操作流程，防止有毒气体中毒、窒息、燃爆等事件的发生。</w:t>
      </w:r>
    </w:p>
    <w:p w14:paraId="57B7B7EA">
      <w:pPr>
        <w:pStyle w:val="48"/>
        <w:tabs>
          <w:tab w:val="left" w:pos="709"/>
        </w:tabs>
        <w:adjustRightInd w:val="0"/>
        <w:snapToGrid w:val="0"/>
        <w:spacing w:before="120" w:after="120"/>
        <w:ind w:firstLine="0" w:firstLineChars="0"/>
        <w:rPr>
          <w:rFonts w:ascii="Arial" w:hAnsi="Arial" w:cs="Arial"/>
          <w:b/>
          <w:bCs/>
          <w:color w:val="1F4E79" w:themeColor="accent5" w:themeShade="80"/>
          <w:sz w:val="22"/>
          <w:lang w:val="en-GB"/>
        </w:rPr>
      </w:pP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机构设置与管理绩效</w:t>
      </w:r>
    </w:p>
    <w:p w14:paraId="3E1764F3">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原则上，卫健和应急管理部门对生产经营活动的安全与健康问题进行宏观协调与监督。在实际操作中，具体的安全与健康管理工作由项目单位或企业主体负责、由县级各行业主管部门（农业农村、生态环境、住建、城管）监管。县级行业主管部门一般在每个月的例行督察中同时检查职业健康与安全生产情况，比如生态环境、住建、农业农村等部门会开展现场检查并要求污水处理设施、垃圾转运站、畜禽养殖场等改进除臭措施并加强工人卫生防疫和健康防护措施；应急管理部门会定期针对安全生产（包括有限空间作业）要求为相关行业提供培训和指导；农业农村部门会指导农户安全保管农药、使用时佩戴必要的防护用具，避免对公众或使用者造成毒性事故等。</w:t>
      </w:r>
    </w:p>
    <w:p w14:paraId="6AFEC290">
      <w:pPr>
        <w:pStyle w:val="48"/>
        <w:numPr>
          <w:ilvl w:val="0"/>
          <w:numId w:val="5"/>
        </w:numPr>
        <w:tabs>
          <w:tab w:val="left" w:pos="851"/>
        </w:tabs>
        <w:adjustRightInd w:val="0"/>
        <w:snapToGrid w:val="0"/>
        <w:spacing w:before="120" w:after="120"/>
        <w:ind w:left="0" w:firstLine="0" w:firstLineChars="0"/>
        <w:rPr>
          <w:rFonts w:ascii="Arial" w:hAnsi="Arial" w:cs="Arial"/>
          <w:sz w:val="22"/>
        </w:rPr>
      </w:pPr>
      <w:bookmarkStart w:id="362" w:name="_Toc79939259"/>
      <w:r>
        <w:rPr>
          <w:rFonts w:ascii="Arial" w:hAnsi="Arial" w:cs="Arial"/>
          <w:sz w:val="22"/>
        </w:rPr>
        <w:t>世行团队在对样本县的调查中发现，污水处理设施的进水、污泥处理等产生臭气的主要环节</w:t>
      </w:r>
      <w:r>
        <w:rPr>
          <w:rFonts w:hint="eastAsia" w:ascii="Arial" w:hAnsi="Arial" w:cs="Arial"/>
          <w:sz w:val="22"/>
          <w:lang w:eastAsia="zh-CN"/>
        </w:rPr>
        <w:t>基本</w:t>
      </w:r>
      <w:r>
        <w:rPr>
          <w:rFonts w:ascii="Arial" w:hAnsi="Arial" w:cs="Arial"/>
          <w:sz w:val="22"/>
        </w:rPr>
        <w:t>能按设计要求进行封闭，作业人员也能够在运维时配戴口罩等防护装备，因此臭气管理情况普遍较好。但部分老旧垃圾转运站、传统畜禽养殖场还应加强恶臭气体处理措施，因地制宜采取场所密闭、喷洒除臭剂、生物吸附、建设绿化隔离带、及时清理畜禽养殖废弃物等手段减少恶臭气体扩散，降低恶臭气体对场区作业人员和周边居民的影响。城管/环卫部门对于检修污水管道、检查井室等设施的作业人员也都要求配备相应的保护用品。</w:t>
      </w:r>
    </w:p>
    <w:bookmarkEnd w:id="340"/>
    <w:bookmarkEnd w:id="362"/>
    <w:p w14:paraId="4A7AFE68">
      <w:pPr>
        <w:pStyle w:val="48"/>
        <w:tabs>
          <w:tab w:val="left" w:pos="851"/>
          <w:tab w:val="left" w:pos="993"/>
        </w:tabs>
        <w:adjustRightInd w:val="0"/>
        <w:snapToGrid w:val="0"/>
        <w:spacing w:before="120" w:after="120"/>
        <w:ind w:firstLine="0" w:firstLineChars="0"/>
        <w:rPr>
          <w:rFonts w:ascii="Arial" w:hAnsi="Arial" w:cs="Arial"/>
          <w:b/>
          <w:bCs/>
          <w:color w:val="1F4E79" w:themeColor="accent5" w:themeShade="80"/>
          <w:sz w:val="22"/>
          <w:lang w:val="en-GB"/>
        </w:rPr>
      </w:pPr>
      <w:bookmarkStart w:id="363" w:name="_Toc112364774"/>
      <w:bookmarkStart w:id="364" w:name="_Toc109935076"/>
      <w:r>
        <w:rPr>
          <w:rFonts w:ascii="Arial" w:hAnsi="Arial" w:cs="Arial"/>
          <w:b/>
          <w:bCs/>
          <w:color w:val="1F4E79" w:themeColor="accent5" w:themeShade="80"/>
          <w:sz w:val="22"/>
          <w:lang w:val="en-GB"/>
        </w:rPr>
        <w:tab/>
      </w:r>
      <w:r>
        <w:rPr>
          <w:rFonts w:ascii="Arial" w:hAnsi="Arial" w:cs="Arial"/>
          <w:b/>
          <w:bCs/>
          <w:color w:val="1F4E79" w:themeColor="accent5" w:themeShade="80"/>
          <w:sz w:val="22"/>
          <w:lang w:val="en-GB"/>
        </w:rPr>
        <w:t>小结</w:t>
      </w:r>
    </w:p>
    <w:p w14:paraId="6B7EAB6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中国以及湖南和湖北两省在本项目相关的健康与安全管理方面具有相应的法规、程序、机构和人员安排，该体系与世行“环境健康与安全指南总则</w:t>
      </w:r>
      <w:r>
        <w:rPr>
          <w:rFonts w:hint="eastAsia" w:ascii="Arial" w:hAnsi="Arial" w:cs="Arial"/>
          <w:sz w:val="22"/>
          <w:lang w:eastAsia="zh-CN"/>
        </w:rPr>
        <w:t>”“</w:t>
      </w:r>
      <w:r>
        <w:rPr>
          <w:rFonts w:ascii="Arial" w:hAnsi="Arial" w:cs="Arial"/>
          <w:sz w:val="22"/>
        </w:rPr>
        <w:t>废物管理设施环境健康与安全指南</w:t>
      </w:r>
      <w:r>
        <w:rPr>
          <w:rFonts w:hint="eastAsia" w:ascii="Arial" w:hAnsi="Arial" w:cs="Arial"/>
          <w:sz w:val="22"/>
          <w:lang w:eastAsia="zh-CN"/>
        </w:rPr>
        <w:t>”“</w:t>
      </w:r>
      <w:r>
        <w:rPr>
          <w:rFonts w:ascii="Arial" w:hAnsi="Arial" w:cs="Arial"/>
          <w:sz w:val="22"/>
        </w:rPr>
        <w:t>水与卫生环境健康与安全指南”总体一致。建议完善垃圾转运和畜禽养殖除臭措施，进一步保障公众</w:t>
      </w:r>
      <w:r>
        <w:rPr>
          <w:rFonts w:hint="eastAsia" w:ascii="Arial" w:hAnsi="Arial" w:cs="Arial"/>
          <w:sz w:val="22"/>
          <w:lang w:eastAsia="zh-CN"/>
        </w:rPr>
        <w:t>的</w:t>
      </w:r>
      <w:r>
        <w:rPr>
          <w:rFonts w:ascii="Arial" w:hAnsi="Arial" w:cs="Arial"/>
          <w:sz w:val="22"/>
        </w:rPr>
        <w:t>职业健康与安全。</w:t>
      </w:r>
    </w:p>
    <w:p w14:paraId="75837805">
      <w:pPr>
        <w:pStyle w:val="3"/>
        <w:tabs>
          <w:tab w:val="left" w:pos="851"/>
        </w:tabs>
        <w:rPr>
          <w:color w:val="1F4E79" w:themeColor="accent5" w:themeShade="80"/>
          <w:sz w:val="24"/>
        </w:rPr>
      </w:pPr>
      <w:bookmarkStart w:id="365" w:name="_Toc119937294"/>
      <w:r>
        <w:rPr>
          <w:color w:val="1F4E79" w:themeColor="accent5" w:themeShade="80"/>
          <w:sz w:val="24"/>
        </w:rPr>
        <w:t>4.6</w:t>
      </w:r>
      <w:r>
        <w:rPr>
          <w:color w:val="1F4E79" w:themeColor="accent5" w:themeShade="80"/>
          <w:sz w:val="24"/>
        </w:rPr>
        <w:tab/>
      </w:r>
      <w:r>
        <w:rPr>
          <w:color w:val="1F4E79" w:themeColor="accent5" w:themeShade="80"/>
          <w:sz w:val="24"/>
        </w:rPr>
        <w:t>世行环境原则符合性分析</w:t>
      </w:r>
      <w:bookmarkEnd w:id="363"/>
      <w:bookmarkEnd w:id="364"/>
      <w:bookmarkEnd w:id="365"/>
    </w:p>
    <w:p w14:paraId="4FA048B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通过对国内环境管理系统中与本项目相关的四个体系，即环评与事中事后监管体系、污染防治体系、生态环境保护体系、</w:t>
      </w:r>
      <w:r>
        <w:rPr>
          <w:rFonts w:ascii="Arial" w:hAnsi="Arial" w:cs="Arial"/>
          <w:sz w:val="22"/>
          <w:lang w:val="en-GB"/>
        </w:rPr>
        <w:t>环境</w:t>
      </w:r>
      <w:r>
        <w:rPr>
          <w:rFonts w:ascii="Arial" w:hAnsi="Arial" w:cs="Arial"/>
          <w:sz w:val="22"/>
        </w:rPr>
        <w:t>安全与健康管理体系所开展的评价，世行团队将其与世行PforR环境管理核心原则及关键要素进行了对比分析，主要发现如下（详细的对比分析见</w:t>
      </w:r>
      <w:r>
        <w:rPr>
          <w:rFonts w:ascii="Arial" w:hAnsi="Arial" w:cs="Arial"/>
          <w:b/>
          <w:bCs/>
          <w:sz w:val="22"/>
        </w:rPr>
        <w:fldChar w:fldCharType="begin"/>
      </w:r>
      <w:r>
        <w:rPr>
          <w:rFonts w:ascii="Arial" w:hAnsi="Arial" w:cs="Arial"/>
          <w:b/>
          <w:bCs/>
          <w:sz w:val="22"/>
        </w:rPr>
        <w:instrText xml:space="preserve"> REF _Ref91096120 \r \h  \* MERGEFORMAT </w:instrText>
      </w:r>
      <w:r>
        <w:rPr>
          <w:rFonts w:ascii="Arial" w:hAnsi="Arial" w:cs="Arial"/>
          <w:b/>
          <w:bCs/>
          <w:sz w:val="22"/>
        </w:rPr>
        <w:fldChar w:fldCharType="separate"/>
      </w:r>
      <w:r>
        <w:rPr>
          <w:rFonts w:ascii="Arial" w:hAnsi="Arial" w:cs="Arial"/>
          <w:b/>
          <w:bCs/>
          <w:sz w:val="22"/>
        </w:rPr>
        <w:t>附件3</w:t>
      </w:r>
      <w:r>
        <w:rPr>
          <w:rFonts w:ascii="Arial" w:hAnsi="Arial" w:cs="Arial"/>
          <w:b/>
          <w:bCs/>
          <w:sz w:val="22"/>
        </w:rPr>
        <w:fldChar w:fldCharType="end"/>
      </w:r>
      <w:r>
        <w:rPr>
          <w:rFonts w:ascii="Arial" w:hAnsi="Arial" w:cs="Arial"/>
          <w:sz w:val="22"/>
        </w:rPr>
        <w:t>）：</w:t>
      </w:r>
    </w:p>
    <w:p w14:paraId="531323F2">
      <w:pPr>
        <w:autoSpaceDE w:val="0"/>
        <w:autoSpaceDN w:val="0"/>
        <w:adjustRightInd w:val="0"/>
        <w:snapToGrid w:val="0"/>
        <w:spacing w:before="120" w:beforeLines="50" w:after="120" w:afterLines="50"/>
        <w:rPr>
          <w:rFonts w:ascii="Arial" w:hAnsi="Arial" w:cs="Arial"/>
          <w:b/>
          <w:sz w:val="22"/>
          <w:szCs w:val="22"/>
        </w:rPr>
      </w:pPr>
      <w:r>
        <w:rPr>
          <w:rFonts w:ascii="Arial" w:hAnsi="Arial" w:cs="Arial"/>
          <w:b/>
          <w:sz w:val="22"/>
          <w:szCs w:val="22"/>
        </w:rPr>
        <w:t xml:space="preserve">核心原则1 </w:t>
      </w:r>
      <w:r>
        <w:rPr>
          <w:rFonts w:hint="eastAsia" w:ascii="Arial" w:hAnsi="Arial" w:cs="Arial"/>
          <w:b/>
          <w:sz w:val="22"/>
          <w:szCs w:val="22"/>
          <w:lang w:eastAsia="zh-CN"/>
        </w:rPr>
        <w:t>—</w:t>
      </w:r>
      <w:r>
        <w:rPr>
          <w:rFonts w:ascii="Arial" w:hAnsi="Arial" w:cs="Arial"/>
          <w:b/>
          <w:sz w:val="22"/>
          <w:szCs w:val="22"/>
        </w:rPr>
        <w:t xml:space="preserve"> 环境影响评价和环境管理</w:t>
      </w:r>
      <w:r>
        <w:rPr>
          <w:rFonts w:ascii="Arial" w:hAnsi="Arial" w:cs="Arial"/>
          <w:bCs/>
          <w:sz w:val="22"/>
          <w:szCs w:val="22"/>
        </w:rPr>
        <w:t>：PforR项目环境管理系统应该能够促进环境可持续发展</w:t>
      </w:r>
      <w:r>
        <w:rPr>
          <w:rFonts w:ascii="Arial" w:hAnsi="Arial" w:cs="Arial"/>
          <w:bCs/>
          <w:sz w:val="22"/>
          <w:szCs w:val="22"/>
          <w:lang w:val="en-GB"/>
        </w:rPr>
        <w:t>，</w:t>
      </w:r>
      <w:r>
        <w:rPr>
          <w:rFonts w:ascii="Arial" w:hAnsi="Arial" w:cs="Arial"/>
          <w:bCs/>
          <w:sz w:val="22"/>
          <w:szCs w:val="22"/>
        </w:rPr>
        <w:t>避免、减少或缓解不利影响，从环境影响方面为项目决策提供建议（其他内容在第5章介绍）：</w:t>
      </w:r>
    </w:p>
    <w:p w14:paraId="2056D7F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中国已经形成了以《</w:t>
      </w:r>
      <w:r>
        <w:rPr>
          <w:rFonts w:hint="eastAsia" w:ascii="Arial" w:hAnsi="Arial" w:cs="Arial"/>
          <w:sz w:val="22"/>
          <w:lang w:eastAsia="zh-CN"/>
        </w:rPr>
        <w:t>中华人民共和国环境保护法</w:t>
      </w:r>
      <w:r>
        <w:rPr>
          <w:rFonts w:ascii="Arial" w:hAnsi="Arial" w:cs="Arial"/>
          <w:sz w:val="22"/>
        </w:rPr>
        <w:t>》为基本法和一系列单行法为支撑，由众多法规、规章、标准、规范等共同构建的环境评价、环境管理与污染防治法律法规体系。环评体系要求在项目设计和环评初期开展环境影响筛查，并根据环境影响程度进行环评分类管理。建设项目环评一般都要比选替代方案、预测环境影响、提出环保措施、明确实施机构和职责、制定环境管理与监测计划、开展公众参与和信息披露等。近年来国家强化事中事后监管，正在逐步实现环评及全过程管理。世行团队通过现场调研发现，本项目涉及的大部分类型活动都能按要求完成环评、环保“三同时”、环保验收、排污许可、污染物监测等环境管理工作；生态环境、农业农村、住建等相关部门利用分工明确的行政机构与执法队伍，通过随机抽查、专项检查、在线调查、现场</w:t>
      </w:r>
      <w:r>
        <w:rPr>
          <w:rFonts w:hint="eastAsia" w:ascii="Arial" w:hAnsi="Arial" w:cs="Arial"/>
          <w:sz w:val="22"/>
          <w:lang w:eastAsia="zh-CN"/>
        </w:rPr>
        <w:t>督查</w:t>
      </w:r>
      <w:r>
        <w:rPr>
          <w:rFonts w:ascii="Arial" w:hAnsi="Arial" w:cs="Arial"/>
          <w:sz w:val="22"/>
        </w:rPr>
        <w:t>等形式开展行业监管与污染防治监察。通过现场考察和工作记录查阅，国内环评与事中事后监管体系的完善性得到了进一步印证。对于实施环节中的一些不足，可以通过技术和管理措施改进生活垃圾和畜禽粪污臭气管理水平。</w:t>
      </w:r>
    </w:p>
    <w:p w14:paraId="3EA85C39">
      <w:pPr>
        <w:adjustRightInd w:val="0"/>
        <w:snapToGrid w:val="0"/>
        <w:spacing w:before="120" w:beforeLines="50" w:after="120" w:afterLines="50"/>
        <w:jc w:val="both"/>
        <w:rPr>
          <w:rFonts w:ascii="Arial" w:hAnsi="Arial" w:cs="Arial"/>
          <w:bCs/>
          <w:sz w:val="22"/>
          <w:szCs w:val="22"/>
        </w:rPr>
      </w:pPr>
      <w:r>
        <w:rPr>
          <w:rFonts w:ascii="Arial" w:hAnsi="Arial" w:cs="Arial"/>
          <w:b/>
          <w:sz w:val="22"/>
          <w:szCs w:val="22"/>
        </w:rPr>
        <w:t xml:space="preserve">核心原则2 </w:t>
      </w:r>
      <w:r>
        <w:rPr>
          <w:rFonts w:hint="eastAsia" w:ascii="Arial" w:hAnsi="Arial" w:cs="Arial"/>
          <w:b/>
          <w:sz w:val="22"/>
          <w:szCs w:val="22"/>
          <w:lang w:eastAsia="zh-CN"/>
        </w:rPr>
        <w:t>—</w:t>
      </w:r>
      <w:r>
        <w:rPr>
          <w:rFonts w:ascii="Arial" w:hAnsi="Arial" w:cs="Arial"/>
          <w:b/>
          <w:sz w:val="22"/>
          <w:szCs w:val="22"/>
        </w:rPr>
        <w:t xml:space="preserve"> 自然栖息地保护</w:t>
      </w:r>
      <w:r>
        <w:rPr>
          <w:rFonts w:ascii="Arial" w:hAnsi="Arial" w:cs="Arial"/>
          <w:bCs/>
          <w:sz w:val="22"/>
          <w:szCs w:val="22"/>
        </w:rPr>
        <w:t>：环境管理系统应能够避免、减少或缓解本项目活动对自然栖息地的影响，项目活动若涉及重要自然栖息地重大破坏或显著退化则不被PforR项目所支持（其他内容在第5章介绍）：</w:t>
      </w:r>
    </w:p>
    <w:p w14:paraId="5BE6DEB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中国已将重要自然栖息地纳入生态保护红线范围加以严格保护和管理。生态环境要素（包括重要栖息地、生物多样性）属于国内建设项目环评要求识别的重要环境保护目标之一，生态环境影响评价也是环评文件的重要内容之一。环评工作必须严格执行生态保护红线机制，项目选址是否触及生态保护红线必须经过自然资源、生态环境、林业等政府部门的审核，因此项目位置与自然栖息地等生态环境敏感区的潜在关系都会在项目准备早期得以识别和避让。本项目活动都位于农村或乡镇等已经人类活动扰动的地区，不会占用重要自然栖息地；实施过程中也会按照环评制定的生态保护措施对人工生态系统的影响进行消减或补偿；本项目环境排除原则也将任何可能影响重要自然栖息地的活动排除在项目范围之外，因此本项目实施不会对重要自然栖息地造成重大破坏或显著退化。同时，中国实行的水土保持方案制度还能够有效防治建设项目水土流失，对保护生态环境质量起到积极的作用。</w:t>
      </w:r>
    </w:p>
    <w:p w14:paraId="42FAA417">
      <w:pPr>
        <w:adjustRightInd w:val="0"/>
        <w:snapToGrid w:val="0"/>
        <w:spacing w:before="120" w:beforeLines="50" w:after="120" w:afterLines="50"/>
        <w:ind w:right="133"/>
        <w:rPr>
          <w:rFonts w:ascii="Arial" w:hAnsi="Arial" w:cs="Arial"/>
          <w:b/>
          <w:sz w:val="22"/>
          <w:szCs w:val="22"/>
        </w:rPr>
      </w:pPr>
      <w:r>
        <w:rPr>
          <w:rFonts w:ascii="Arial" w:hAnsi="Arial" w:cs="Arial"/>
          <w:b/>
          <w:sz w:val="22"/>
          <w:szCs w:val="22"/>
        </w:rPr>
        <w:t xml:space="preserve">核心原则3 </w:t>
      </w:r>
      <w:r>
        <w:rPr>
          <w:rFonts w:hint="eastAsia" w:ascii="Arial" w:hAnsi="Arial" w:cs="Arial"/>
          <w:b/>
          <w:sz w:val="22"/>
          <w:szCs w:val="22"/>
          <w:lang w:eastAsia="zh-CN"/>
        </w:rPr>
        <w:t>—</w:t>
      </w:r>
      <w:r>
        <w:rPr>
          <w:rFonts w:ascii="Arial" w:hAnsi="Arial" w:cs="Arial"/>
          <w:b/>
          <w:sz w:val="22"/>
          <w:szCs w:val="22"/>
        </w:rPr>
        <w:t xml:space="preserve"> </w:t>
      </w:r>
      <w:r>
        <w:rPr>
          <w:rFonts w:ascii="Arial" w:hAnsi="Arial" w:cs="Arial"/>
          <w:b/>
          <w:bCs/>
          <w:sz w:val="22"/>
          <w:szCs w:val="22"/>
        </w:rPr>
        <w:t>健康与安全</w:t>
      </w:r>
      <w:r>
        <w:rPr>
          <w:rFonts w:ascii="Arial" w:hAnsi="Arial" w:cs="Arial"/>
          <w:bCs/>
          <w:sz w:val="22"/>
          <w:szCs w:val="22"/>
        </w:rPr>
        <w:t>：环境管理系统应在设施运行和暴露于有毒化学品、危险废物或其他危险物品的活动中保护公众和工人安全（其他内容在第5章介绍）：</w:t>
      </w:r>
    </w:p>
    <w:p w14:paraId="2475D42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针对生活垃圾和畜禽粪污恶臭影响、养殖场病死畜禽疫病传染风险、农药安全风险等问题，湖南和湖北两省具有相应的法规框架、实施机制和机构安排进行管理。生产经营单位基本能够落实环境风险防范设施与措施，从源头消除恶臭物质排放、病死畜禽传染、有限空间作业风险等环境安全、公共卫生和职业健康等隐患，并按要求建立和执行安全生产和职业健康管理制度；作业人员接受专业培训、使用符合标准的生产安全风险防范用品。农户将接受培训和指导，按要求购买、使用和管理农药。相关政府部门会通过随机抽查和专项检查进行监管和指导，并提供必要的培训。因此该管理体系基本满足本项目环境安全与健康管理工作的需要。对于实施环节中的不足，可以通过技术和管理措施解决臭气对公众</w:t>
      </w:r>
      <w:r>
        <w:rPr>
          <w:rFonts w:hint="eastAsia" w:ascii="Arial" w:hAnsi="Arial" w:cs="Arial"/>
          <w:sz w:val="22"/>
          <w:lang w:val="en-US" w:eastAsia="zh-CN"/>
        </w:rPr>
        <w:t>的</w:t>
      </w:r>
      <w:r>
        <w:rPr>
          <w:rFonts w:ascii="Arial" w:hAnsi="Arial" w:cs="Arial"/>
          <w:sz w:val="22"/>
        </w:rPr>
        <w:t>职业健康的影响。</w:t>
      </w:r>
    </w:p>
    <w:p w14:paraId="5757E4A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符合性分析结论</w:t>
      </w:r>
      <w:r>
        <w:rPr>
          <w:rFonts w:ascii="Arial" w:hAnsi="Arial" w:cs="Arial"/>
          <w:sz w:val="22"/>
        </w:rPr>
        <w:t>：与本项目相关的国内环境管理系统在法律框架、实施机制、机构设置和人员安排等方面都比较完善，管理绩效也比较令人满意，总体上符合世行PforR政策、核心原则和关键要素的要求，能够满足本项目下农村生活污水收集与处理、农村生活垃圾收集与转运、畜禽粪污处理与资源化利用、水产养殖尾水治理、酸化和重金属污染农田修复等活动的环境管理需要。针对调研中发现的不足，本报告提出了相应的建议措施和行动计划（详见第7章），希望通过本项目的实施加以改进和完善。</w:t>
      </w:r>
    </w:p>
    <w:p w14:paraId="61EBE5BC">
      <w:pPr>
        <w:rPr>
          <w:rFonts w:ascii="Arial" w:hAnsi="Arial" w:cs="Arial"/>
          <w:b/>
          <w:bCs/>
          <w:color w:val="1F4E79" w:themeColor="accent5" w:themeShade="80"/>
          <w:kern w:val="44"/>
          <w:sz w:val="28"/>
          <w:szCs w:val="28"/>
        </w:rPr>
      </w:pPr>
      <w:bookmarkStart w:id="366" w:name="_Toc77355654"/>
      <w:bookmarkEnd w:id="366"/>
      <w:bookmarkStart w:id="367" w:name="_Toc79939265"/>
      <w:r>
        <w:rPr>
          <w:rFonts w:ascii="Arial" w:hAnsi="Arial" w:cs="Arial"/>
          <w:color w:val="1F4E79" w:themeColor="accent5" w:themeShade="80"/>
          <w:sz w:val="28"/>
          <w:szCs w:val="28"/>
        </w:rPr>
        <w:br w:type="page"/>
      </w:r>
    </w:p>
    <w:p w14:paraId="31D93BEF">
      <w:pPr>
        <w:pStyle w:val="2"/>
        <w:numPr>
          <w:ilvl w:val="0"/>
          <w:numId w:val="4"/>
        </w:numPr>
        <w:tabs>
          <w:tab w:val="left" w:pos="709"/>
        </w:tabs>
        <w:adjustRightInd w:val="0"/>
        <w:snapToGrid w:val="0"/>
        <w:spacing w:before="120" w:after="120" w:line="240" w:lineRule="auto"/>
        <w:rPr>
          <w:rFonts w:ascii="Arial" w:hAnsi="Arial" w:cs="Arial"/>
          <w:color w:val="1F4E79" w:themeColor="accent5" w:themeShade="80"/>
          <w:sz w:val="28"/>
          <w:szCs w:val="28"/>
        </w:rPr>
      </w:pPr>
      <w:r>
        <w:rPr>
          <w:rFonts w:ascii="Arial" w:hAnsi="Arial" w:cs="Arial"/>
          <w:color w:val="1F4E79" w:themeColor="accent5" w:themeShade="80"/>
          <w:sz w:val="28"/>
          <w:szCs w:val="28"/>
        </w:rPr>
        <w:tab/>
      </w:r>
      <w:bookmarkStart w:id="368" w:name="_Toc119937295"/>
      <w:r>
        <w:rPr>
          <w:rFonts w:ascii="Arial" w:hAnsi="Arial" w:cs="Arial"/>
          <w:color w:val="1F4E79" w:themeColor="accent5" w:themeShade="80"/>
          <w:sz w:val="28"/>
          <w:szCs w:val="28"/>
        </w:rPr>
        <w:t>社会管理系统评价</w:t>
      </w:r>
      <w:bookmarkEnd w:id="368"/>
    </w:p>
    <w:p w14:paraId="75DD031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369" w:name="_Hlk77948184"/>
      <w:r>
        <w:rPr>
          <w:rFonts w:ascii="Arial" w:hAnsi="Arial" w:cs="Arial"/>
          <w:sz w:val="22"/>
        </w:rPr>
        <w:t>世行结果导向型贷款环境和社会管理系统评估指南为系统评估借款国的环境和社会系统</w:t>
      </w:r>
      <w:r>
        <w:rPr>
          <w:rFonts w:ascii="Arial" w:hAnsi="Arial" w:cs="Arial"/>
          <w:sz w:val="22"/>
          <w:szCs w:val="22"/>
        </w:rPr>
        <w:t>制定了一套政策。本章将对照指南要求的6项核心原则和13个要素，识别项目主要社会影响与风险类型，从本项目相关的社会管理法规、管理机制与能力、实施管理效果三个方面进行系统评估，对识别出存在的差距提出改进建议和行动计划。</w:t>
      </w:r>
    </w:p>
    <w:p w14:paraId="3ACD275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报告第三章显示，本项目活动涉及的社会影响与风险类型有：综合性社会影响（如社会冲突、公平性、透明性、邻避效应等）、物质文化遗产影响，公众安全与劳动者安全、移民与土地限制使用，少数民族和弱势群体非包容性影响。</w:t>
      </w:r>
    </w:p>
    <w:p w14:paraId="6B6BB45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为管理社会风险，中国从中央到地方通过制定并执行一系列的法律和政策，建立并运行相应管理机构与机制，实现整个社会的和谐发展。</w:t>
      </w:r>
      <w:r>
        <w:rPr>
          <w:rFonts w:hint="eastAsia" w:ascii="Arial" w:hAnsi="Arial" w:cs="Arial"/>
          <w:sz w:val="22"/>
          <w:lang w:eastAsia="zh-CN"/>
        </w:rPr>
        <w:t>社会治理体系</w:t>
      </w:r>
      <w:r>
        <w:rPr>
          <w:rFonts w:ascii="Arial" w:hAnsi="Arial" w:cs="Arial"/>
          <w:sz w:val="22"/>
        </w:rPr>
        <w:t>由法律法规、管理机构及机制及管理实践三部分构成。在中国社会管理系统中，不同社会影响与风险依托于不同的政府机构进行管理（见表5</w:t>
      </w:r>
      <w:r>
        <w:rPr>
          <w:rFonts w:hint="eastAsia" w:ascii="Arial" w:hAnsi="Arial" w:cs="Arial"/>
          <w:sz w:val="22"/>
          <w:lang w:eastAsia="zh-CN"/>
        </w:rPr>
        <w:t>—</w:t>
      </w:r>
      <w:r>
        <w:rPr>
          <w:rFonts w:ascii="Arial" w:hAnsi="Arial" w:cs="Arial"/>
          <w:sz w:val="22"/>
        </w:rPr>
        <w:t>1）。</w:t>
      </w:r>
    </w:p>
    <w:p w14:paraId="1DF21EC3">
      <w:pPr>
        <w:pStyle w:val="3"/>
        <w:numPr>
          <w:ilvl w:val="1"/>
          <w:numId w:val="21"/>
        </w:numPr>
        <w:rPr>
          <w:color w:val="1F4E79" w:themeColor="accent5" w:themeShade="80"/>
          <w:sz w:val="24"/>
        </w:rPr>
      </w:pPr>
      <w:bookmarkStart w:id="370" w:name="_Toc119937296"/>
      <w:bookmarkStart w:id="371" w:name="_Toc90729520"/>
      <w:bookmarkStart w:id="372" w:name="_Toc79402235"/>
      <w:bookmarkStart w:id="373" w:name="_Toc114235828"/>
      <w:bookmarkStart w:id="374" w:name="_Toc86683185"/>
      <w:r>
        <w:rPr>
          <w:color w:val="1F4E79" w:themeColor="accent5" w:themeShade="80"/>
          <w:sz w:val="24"/>
        </w:rPr>
        <w:t>世行原则相关性分析</w:t>
      </w:r>
      <w:bookmarkEnd w:id="370"/>
      <w:bookmarkEnd w:id="371"/>
      <w:bookmarkEnd w:id="372"/>
      <w:bookmarkEnd w:id="373"/>
      <w:bookmarkEnd w:id="374"/>
    </w:p>
    <w:p w14:paraId="6C92D84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总的来说，世行结果导向环境和社会系统评估的6个核心原则均与项目社会管理系统相关。世行中国社会管理系统与世行政策的相关性分析如表5</w:t>
      </w:r>
      <w:r>
        <w:rPr>
          <w:rFonts w:hint="eastAsia" w:ascii="Arial" w:hAnsi="Arial" w:cs="Arial"/>
          <w:sz w:val="22"/>
          <w:lang w:eastAsia="zh-CN"/>
        </w:rPr>
        <w:t>—</w:t>
      </w:r>
      <w:r>
        <w:rPr>
          <w:rFonts w:ascii="Arial" w:hAnsi="Arial" w:cs="Arial"/>
          <w:sz w:val="22"/>
        </w:rPr>
        <w:t>1所示。</w:t>
      </w:r>
    </w:p>
    <w:p w14:paraId="588134C0">
      <w:pPr>
        <w:pStyle w:val="11"/>
        <w:spacing w:before="120" w:beforeLines="50" w:after="120" w:afterLines="50"/>
        <w:jc w:val="center"/>
        <w:rPr>
          <w:rFonts w:ascii="Arial" w:hAnsi="Arial" w:eastAsia="宋体" w:cs="Arial"/>
          <w:b/>
          <w:bCs/>
          <w:sz w:val="22"/>
          <w:szCs w:val="22"/>
        </w:rPr>
      </w:pPr>
      <w:bookmarkStart w:id="375" w:name="_Ref85468384"/>
      <w:bookmarkStart w:id="376" w:name="_Hlk75336809"/>
      <w:r>
        <w:rPr>
          <w:rFonts w:ascii="Arial" w:hAnsi="Arial" w:eastAsia="宋体" w:cs="Arial"/>
          <w:b/>
          <w:bCs/>
          <w:sz w:val="22"/>
          <w:szCs w:val="22"/>
        </w:rPr>
        <w:t>表5</w:t>
      </w:r>
      <w:r>
        <w:rPr>
          <w:rFonts w:hint="eastAsia" w:ascii="Arial" w:hAnsi="Arial" w:eastAsia="宋体" w:cs="Arial"/>
          <w:b/>
          <w:bCs/>
          <w:sz w:val="22"/>
          <w:szCs w:val="22"/>
          <w:lang w:eastAsia="zh-CN"/>
        </w:rPr>
        <w:t>—</w:t>
      </w:r>
      <w:r>
        <w:rPr>
          <w:rFonts w:ascii="Arial" w:hAnsi="Arial" w:eastAsia="宋体" w:cs="Arial"/>
          <w:b/>
          <w:bCs/>
          <w:sz w:val="22"/>
          <w:szCs w:val="22"/>
        </w:rPr>
        <w:fldChar w:fldCharType="begin"/>
      </w:r>
      <w:r>
        <w:rPr>
          <w:rFonts w:ascii="Arial" w:hAnsi="Arial" w:eastAsia="宋体" w:cs="Arial"/>
          <w:b/>
          <w:bCs/>
          <w:sz w:val="22"/>
          <w:szCs w:val="22"/>
        </w:rPr>
        <w:instrText xml:space="preserve"> SEQ 表 \* ARABIC \s 1 </w:instrText>
      </w:r>
      <w:r>
        <w:rPr>
          <w:rFonts w:ascii="Arial" w:hAnsi="Arial" w:eastAsia="宋体" w:cs="Arial"/>
          <w:b/>
          <w:bCs/>
          <w:sz w:val="22"/>
          <w:szCs w:val="22"/>
        </w:rPr>
        <w:fldChar w:fldCharType="separate"/>
      </w:r>
      <w:r>
        <w:rPr>
          <w:rFonts w:ascii="Arial" w:hAnsi="Arial" w:eastAsia="宋体" w:cs="Arial"/>
          <w:b/>
          <w:bCs/>
          <w:sz w:val="22"/>
          <w:szCs w:val="22"/>
        </w:rPr>
        <w:t>1</w:t>
      </w:r>
      <w:r>
        <w:rPr>
          <w:rFonts w:ascii="Arial" w:hAnsi="Arial" w:eastAsia="宋体" w:cs="Arial"/>
          <w:b/>
          <w:bCs/>
          <w:sz w:val="22"/>
          <w:szCs w:val="22"/>
        </w:rPr>
        <w:fldChar w:fldCharType="end"/>
      </w:r>
      <w:bookmarkEnd w:id="375"/>
      <w:r>
        <w:rPr>
          <w:rFonts w:ascii="Arial" w:hAnsi="Arial" w:eastAsia="宋体" w:cs="Arial"/>
          <w:b/>
          <w:bCs/>
          <w:sz w:val="22"/>
          <w:szCs w:val="22"/>
        </w:rPr>
        <w:t>：中国社会管理系统与世行政策相关性分析</w:t>
      </w:r>
      <w:bookmarkEnd w:id="376"/>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040"/>
        <w:gridCol w:w="5357"/>
        <w:gridCol w:w="2301"/>
      </w:tblGrid>
      <w:tr w14:paraId="5E5D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84" w:type="pct"/>
            <w:vMerge w:val="restart"/>
            <w:shd w:val="clear" w:color="auto" w:fill="F1F1F1" w:themeFill="background1" w:themeFillShade="F2"/>
          </w:tcPr>
          <w:p w14:paraId="6FD192DF">
            <w:pPr>
              <w:jc w:val="center"/>
              <w:rPr>
                <w:rFonts w:ascii="Arial" w:hAnsi="Arial" w:cs="Arial"/>
                <w:b/>
                <w:sz w:val="20"/>
                <w:szCs w:val="20"/>
              </w:rPr>
            </w:pPr>
            <w:bookmarkStart w:id="377" w:name="_Hlk78460371"/>
            <w:r>
              <w:rPr>
                <w:rFonts w:ascii="Arial" w:hAnsi="Arial" w:cs="Arial"/>
                <w:b/>
                <w:sz w:val="20"/>
                <w:szCs w:val="20"/>
              </w:rPr>
              <w:t>社会影响和风险</w:t>
            </w:r>
          </w:p>
        </w:tc>
        <w:tc>
          <w:tcPr>
            <w:tcW w:w="528" w:type="pct"/>
            <w:vMerge w:val="restart"/>
            <w:shd w:val="clear" w:color="auto" w:fill="F1F1F1" w:themeFill="background1" w:themeFillShade="F2"/>
          </w:tcPr>
          <w:p w14:paraId="55FC6F25">
            <w:pPr>
              <w:jc w:val="center"/>
              <w:rPr>
                <w:rFonts w:ascii="Arial" w:hAnsi="Arial" w:cs="Arial"/>
                <w:b/>
                <w:sz w:val="20"/>
                <w:szCs w:val="20"/>
              </w:rPr>
            </w:pPr>
            <w:r>
              <w:rPr>
                <w:rFonts w:ascii="Arial" w:hAnsi="Arial" w:cs="Arial"/>
                <w:b/>
                <w:sz w:val="20"/>
                <w:szCs w:val="20"/>
              </w:rPr>
              <w:t>世行政策原则</w:t>
            </w:r>
          </w:p>
        </w:tc>
        <w:tc>
          <w:tcPr>
            <w:tcW w:w="3888" w:type="pct"/>
            <w:gridSpan w:val="2"/>
            <w:shd w:val="clear" w:color="auto" w:fill="F1F1F1" w:themeFill="background1" w:themeFillShade="F2"/>
          </w:tcPr>
          <w:p w14:paraId="5040BB47">
            <w:pPr>
              <w:jc w:val="center"/>
              <w:rPr>
                <w:rFonts w:ascii="Arial" w:hAnsi="Arial" w:cs="Arial"/>
                <w:b/>
                <w:sz w:val="20"/>
                <w:szCs w:val="20"/>
              </w:rPr>
            </w:pPr>
            <w:r>
              <w:rPr>
                <w:rFonts w:ascii="Arial" w:hAnsi="Arial" w:cs="Arial"/>
                <w:b/>
                <w:sz w:val="20"/>
                <w:szCs w:val="20"/>
              </w:rPr>
              <w:t>中国社会风险与影响管理系统</w:t>
            </w:r>
          </w:p>
        </w:tc>
      </w:tr>
      <w:tr w14:paraId="7085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584" w:type="pct"/>
            <w:vMerge w:val="continue"/>
            <w:shd w:val="clear" w:color="auto" w:fill="F1F1F1" w:themeFill="background1" w:themeFillShade="F2"/>
          </w:tcPr>
          <w:p w14:paraId="416AF108">
            <w:pPr>
              <w:jc w:val="center"/>
              <w:rPr>
                <w:rFonts w:ascii="Arial" w:hAnsi="Arial" w:cs="Arial"/>
                <w:b/>
                <w:sz w:val="20"/>
                <w:szCs w:val="20"/>
              </w:rPr>
            </w:pPr>
          </w:p>
        </w:tc>
        <w:tc>
          <w:tcPr>
            <w:tcW w:w="528" w:type="pct"/>
            <w:vMerge w:val="continue"/>
            <w:shd w:val="clear" w:color="auto" w:fill="F1F1F1" w:themeFill="background1" w:themeFillShade="F2"/>
          </w:tcPr>
          <w:p w14:paraId="3EAD9D1E">
            <w:pPr>
              <w:jc w:val="center"/>
              <w:rPr>
                <w:rFonts w:ascii="Arial" w:hAnsi="Arial" w:cs="Arial"/>
                <w:b/>
                <w:sz w:val="20"/>
                <w:szCs w:val="20"/>
              </w:rPr>
            </w:pPr>
          </w:p>
        </w:tc>
        <w:tc>
          <w:tcPr>
            <w:tcW w:w="2720" w:type="pct"/>
            <w:shd w:val="clear" w:color="auto" w:fill="F1F1F1" w:themeFill="background1" w:themeFillShade="F2"/>
          </w:tcPr>
          <w:p w14:paraId="2571603E">
            <w:pPr>
              <w:jc w:val="center"/>
              <w:rPr>
                <w:rFonts w:ascii="Arial" w:hAnsi="Arial" w:cs="Arial"/>
                <w:sz w:val="20"/>
                <w:szCs w:val="20"/>
              </w:rPr>
            </w:pPr>
            <w:r>
              <w:rPr>
                <w:rFonts w:ascii="Arial" w:hAnsi="Arial" w:cs="Arial"/>
                <w:b/>
                <w:sz w:val="20"/>
                <w:szCs w:val="20"/>
              </w:rPr>
              <w:t>相关社会法律法规</w:t>
            </w:r>
          </w:p>
        </w:tc>
        <w:tc>
          <w:tcPr>
            <w:tcW w:w="1168" w:type="pct"/>
            <w:shd w:val="clear" w:color="auto" w:fill="F1F1F1" w:themeFill="background1" w:themeFillShade="F2"/>
          </w:tcPr>
          <w:p w14:paraId="0985E3EC">
            <w:pPr>
              <w:jc w:val="center"/>
              <w:rPr>
                <w:rFonts w:ascii="Arial" w:hAnsi="Arial" w:cs="Arial"/>
                <w:b/>
                <w:sz w:val="20"/>
                <w:szCs w:val="20"/>
              </w:rPr>
            </w:pPr>
            <w:r>
              <w:rPr>
                <w:rFonts w:ascii="Arial" w:hAnsi="Arial" w:cs="Arial"/>
                <w:b/>
                <w:sz w:val="20"/>
                <w:szCs w:val="20"/>
              </w:rPr>
              <w:t>社会管理机构</w:t>
            </w:r>
          </w:p>
        </w:tc>
      </w:tr>
      <w:tr w14:paraId="0D54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restart"/>
          </w:tcPr>
          <w:p w14:paraId="4E90883C">
            <w:pPr>
              <w:rPr>
                <w:rFonts w:ascii="Arial" w:hAnsi="Arial" w:cs="Arial"/>
                <w:sz w:val="20"/>
                <w:szCs w:val="20"/>
              </w:rPr>
            </w:pPr>
            <w:r>
              <w:rPr>
                <w:rFonts w:ascii="Arial" w:hAnsi="Arial" w:cs="Arial"/>
                <w:sz w:val="20"/>
                <w:szCs w:val="20"/>
              </w:rPr>
              <w:t>综合性社会影响，如社会冲突、公平性、透明性、邻避效应等</w:t>
            </w:r>
          </w:p>
        </w:tc>
        <w:tc>
          <w:tcPr>
            <w:tcW w:w="528" w:type="pct"/>
            <w:vMerge w:val="restart"/>
          </w:tcPr>
          <w:p w14:paraId="19C7519F">
            <w:pPr>
              <w:rPr>
                <w:rFonts w:ascii="Arial" w:hAnsi="Arial" w:cs="Arial"/>
                <w:bCs/>
                <w:sz w:val="20"/>
                <w:szCs w:val="20"/>
              </w:rPr>
            </w:pPr>
            <w:r>
              <w:rPr>
                <w:rFonts w:ascii="Arial" w:hAnsi="Arial" w:cs="Arial"/>
                <w:b/>
                <w:sz w:val="20"/>
                <w:szCs w:val="20"/>
              </w:rPr>
              <w:t>原则1：</w:t>
            </w:r>
            <w:r>
              <w:rPr>
                <w:rFonts w:ascii="Arial" w:hAnsi="Arial" w:cs="Arial"/>
                <w:bCs/>
                <w:sz w:val="20"/>
                <w:szCs w:val="20"/>
              </w:rPr>
              <w:t>社会影响和风险评价及管理体系</w:t>
            </w:r>
          </w:p>
          <w:p w14:paraId="0E9302DA">
            <w:pPr>
              <w:rPr>
                <w:rFonts w:ascii="Arial" w:hAnsi="Arial" w:cs="Arial"/>
                <w:bCs/>
                <w:sz w:val="20"/>
                <w:szCs w:val="20"/>
              </w:rPr>
            </w:pPr>
          </w:p>
          <w:p w14:paraId="38E1209D">
            <w:pPr>
              <w:rPr>
                <w:rFonts w:ascii="Arial" w:hAnsi="Arial" w:cs="Arial"/>
                <w:sz w:val="20"/>
                <w:szCs w:val="20"/>
              </w:rPr>
            </w:pPr>
            <w:r>
              <w:rPr>
                <w:rFonts w:ascii="Arial" w:hAnsi="Arial" w:cs="Arial"/>
                <w:b/>
                <w:sz w:val="20"/>
                <w:szCs w:val="20"/>
              </w:rPr>
              <w:t>原则6：</w:t>
            </w:r>
            <w:r>
              <w:rPr>
                <w:rFonts w:ascii="Arial" w:hAnsi="Arial" w:cs="Arial"/>
                <w:bCs/>
                <w:sz w:val="20"/>
                <w:szCs w:val="20"/>
              </w:rPr>
              <w:t>社会冲突</w:t>
            </w:r>
          </w:p>
        </w:tc>
        <w:tc>
          <w:tcPr>
            <w:tcW w:w="2720" w:type="pct"/>
            <w:shd w:val="clear" w:color="auto" w:fill="auto"/>
          </w:tcPr>
          <w:p w14:paraId="2FAD0273">
            <w:pPr>
              <w:rPr>
                <w:rFonts w:ascii="Arial" w:hAnsi="Arial" w:cs="Arial"/>
                <w:b/>
                <w:sz w:val="20"/>
                <w:szCs w:val="20"/>
              </w:rPr>
            </w:pPr>
            <w:r>
              <w:rPr>
                <w:rFonts w:ascii="Arial" w:hAnsi="Arial" w:cs="Arial"/>
                <w:sz w:val="20"/>
                <w:szCs w:val="20"/>
              </w:rPr>
              <w:t>《国家发展改革委关于印发国家发展改革委重大固定资产投资项目社会稳定风险评估办法的通知》（2021年修订）</w:t>
            </w:r>
          </w:p>
        </w:tc>
        <w:tc>
          <w:tcPr>
            <w:tcW w:w="1168" w:type="pct"/>
            <w:vMerge w:val="restart"/>
          </w:tcPr>
          <w:p w14:paraId="1B43C055">
            <w:pPr>
              <w:rPr>
                <w:rFonts w:ascii="Arial" w:hAnsi="Arial" w:cs="Arial"/>
                <w:sz w:val="20"/>
                <w:szCs w:val="20"/>
                <w:lang w:bidi="en-US"/>
              </w:rPr>
            </w:pPr>
            <w:r>
              <w:rPr>
                <w:rFonts w:ascii="Arial" w:hAnsi="Arial" w:cs="Arial"/>
                <w:b/>
                <w:bCs/>
                <w:sz w:val="20"/>
                <w:szCs w:val="20"/>
                <w:lang w:bidi="en-US"/>
              </w:rPr>
              <w:t>国家：</w:t>
            </w:r>
            <w:r>
              <w:rPr>
                <w:rFonts w:hint="eastAsia" w:ascii="Arial" w:hAnsi="Arial" w:cs="Arial"/>
                <w:b/>
                <w:bCs/>
                <w:sz w:val="20"/>
                <w:szCs w:val="20"/>
                <w:lang w:eastAsia="zh-CN" w:bidi="en-US"/>
              </w:rPr>
              <w:t>国家发展改革委</w:t>
            </w:r>
            <w:r>
              <w:rPr>
                <w:rFonts w:ascii="Arial" w:hAnsi="Arial" w:cs="Arial"/>
                <w:sz w:val="20"/>
                <w:szCs w:val="20"/>
                <w:lang w:bidi="en-US"/>
              </w:rPr>
              <w:t>；</w:t>
            </w:r>
          </w:p>
          <w:p w14:paraId="11364C75">
            <w:pPr>
              <w:shd w:val="clear" w:color="auto" w:fill="FFFFFF"/>
              <w:rPr>
                <w:rFonts w:ascii="Arial" w:hAnsi="Arial" w:cs="Arial"/>
                <w:b/>
                <w:bCs/>
                <w:sz w:val="20"/>
                <w:szCs w:val="20"/>
                <w:shd w:val="clear" w:color="auto" w:fill="FFFFFF"/>
              </w:rPr>
            </w:pPr>
            <w:r>
              <w:rPr>
                <w:rFonts w:ascii="Arial" w:hAnsi="Arial" w:cs="Arial"/>
                <w:b/>
                <w:bCs/>
                <w:sz w:val="20"/>
                <w:szCs w:val="20"/>
                <w:shd w:val="clear" w:color="auto" w:fill="FFFFFF"/>
              </w:rPr>
              <w:t>湖北、湖南省：</w:t>
            </w:r>
          </w:p>
          <w:p w14:paraId="6B1FD43B">
            <w:pPr>
              <w:pStyle w:val="48"/>
              <w:numPr>
                <w:ilvl w:val="0"/>
                <w:numId w:val="22"/>
              </w:numPr>
              <w:shd w:val="clear" w:color="auto" w:fill="FFFFFF"/>
              <w:ind w:left="173" w:hanging="173" w:firstLineChars="0"/>
              <w:rPr>
                <w:rFonts w:ascii="Arial" w:hAnsi="Arial" w:cs="Arial"/>
                <w:sz w:val="20"/>
                <w:szCs w:val="20"/>
                <w:shd w:val="clear" w:color="auto" w:fill="FFFFFF"/>
              </w:rPr>
            </w:pPr>
            <w:r>
              <w:rPr>
                <w:rFonts w:ascii="Arial" w:hAnsi="Arial" w:cs="Arial"/>
                <w:b/>
                <w:bCs/>
                <w:sz w:val="20"/>
                <w:szCs w:val="20"/>
                <w:shd w:val="clear" w:color="auto" w:fill="FFFFFF"/>
              </w:rPr>
              <w:t>领导部门</w:t>
            </w:r>
            <w:r>
              <w:rPr>
                <w:rFonts w:hint="eastAsia" w:ascii="Arial" w:hAnsi="Arial" w:cs="Arial"/>
                <w:b/>
                <w:bCs/>
                <w:sz w:val="20"/>
                <w:szCs w:val="20"/>
                <w:shd w:val="clear" w:color="auto" w:fill="FFFFFF"/>
                <w:lang w:eastAsia="zh-CN"/>
              </w:rPr>
              <w:t>—</w:t>
            </w:r>
            <w:r>
              <w:rPr>
                <w:rFonts w:ascii="Arial" w:hAnsi="Arial" w:cs="Arial"/>
                <w:sz w:val="20"/>
                <w:szCs w:val="20"/>
                <w:shd w:val="clear" w:color="auto" w:fill="FFFFFF"/>
              </w:rPr>
              <w:t>省发改委和政法委、各县</w:t>
            </w:r>
            <w:r>
              <w:rPr>
                <w:rFonts w:hint="eastAsia" w:ascii="Arial" w:hAnsi="Arial" w:cs="Arial"/>
                <w:sz w:val="20"/>
                <w:szCs w:val="20"/>
                <w:shd w:val="clear" w:color="auto" w:fill="FFFFFF"/>
                <w:lang w:eastAsia="zh-CN"/>
              </w:rPr>
              <w:t>市委政法委</w:t>
            </w:r>
            <w:r>
              <w:rPr>
                <w:rFonts w:ascii="Arial" w:hAnsi="Arial" w:cs="Arial"/>
                <w:sz w:val="20"/>
                <w:szCs w:val="20"/>
                <w:shd w:val="clear" w:color="auto" w:fill="FFFFFF"/>
              </w:rPr>
              <w:t>、信访部门；</w:t>
            </w:r>
          </w:p>
          <w:p w14:paraId="3F1DD052">
            <w:pPr>
              <w:pStyle w:val="48"/>
              <w:numPr>
                <w:ilvl w:val="0"/>
                <w:numId w:val="22"/>
              </w:numPr>
              <w:shd w:val="clear" w:color="auto" w:fill="FFFFFF"/>
              <w:ind w:left="173" w:hanging="173" w:firstLineChars="0"/>
              <w:rPr>
                <w:rFonts w:ascii="Arial" w:hAnsi="Arial" w:cs="Arial"/>
                <w:sz w:val="20"/>
                <w:szCs w:val="20"/>
                <w:shd w:val="clear" w:color="auto" w:fill="FFFFFF"/>
              </w:rPr>
            </w:pPr>
            <w:r>
              <w:rPr>
                <w:rFonts w:ascii="Arial" w:hAnsi="Arial" w:cs="Arial"/>
                <w:b/>
                <w:bCs/>
                <w:sz w:val="20"/>
                <w:szCs w:val="20"/>
                <w:shd w:val="clear" w:color="auto" w:fill="FFFFFF"/>
              </w:rPr>
              <w:t>评估主体</w:t>
            </w:r>
            <w:r>
              <w:rPr>
                <w:rFonts w:hint="eastAsia" w:ascii="Arial" w:hAnsi="Arial" w:cs="Arial"/>
                <w:sz w:val="20"/>
                <w:szCs w:val="20"/>
                <w:shd w:val="clear" w:color="auto" w:fill="FFFFFF"/>
                <w:lang w:eastAsia="zh-CN"/>
              </w:rPr>
              <w:t>—</w:t>
            </w:r>
            <w:r>
              <w:rPr>
                <w:rFonts w:ascii="Arial" w:hAnsi="Arial" w:cs="Arial"/>
                <w:sz w:val="20"/>
                <w:szCs w:val="20"/>
                <w:shd w:val="clear" w:color="auto" w:fill="FFFFFF"/>
              </w:rPr>
              <w:t>市县主管部门（例如污水处理设施的主管部门，县住建局）及其委托的第三方评估机构</w:t>
            </w:r>
          </w:p>
          <w:p w14:paraId="75CDC169">
            <w:pPr>
              <w:pStyle w:val="48"/>
              <w:numPr>
                <w:ilvl w:val="0"/>
                <w:numId w:val="22"/>
              </w:numPr>
              <w:shd w:val="clear" w:color="auto" w:fill="FFFFFF"/>
              <w:ind w:left="173" w:hanging="173" w:firstLineChars="0"/>
              <w:rPr>
                <w:rFonts w:ascii="Arial" w:hAnsi="Arial" w:cs="Arial"/>
                <w:sz w:val="20"/>
                <w:szCs w:val="20"/>
                <w:shd w:val="clear" w:color="auto" w:fill="FFFFFF"/>
              </w:rPr>
            </w:pPr>
            <w:r>
              <w:rPr>
                <w:rFonts w:ascii="Arial" w:hAnsi="Arial" w:cs="Arial"/>
                <w:b/>
                <w:bCs/>
                <w:sz w:val="20"/>
                <w:szCs w:val="20"/>
                <w:shd w:val="clear" w:color="auto" w:fill="FFFFFF"/>
              </w:rPr>
              <w:t>备案机构</w:t>
            </w:r>
            <w:r>
              <w:rPr>
                <w:rFonts w:hint="eastAsia" w:ascii="Arial" w:hAnsi="Arial" w:cs="Arial"/>
                <w:sz w:val="20"/>
                <w:szCs w:val="20"/>
                <w:shd w:val="clear" w:color="auto" w:fill="FFFFFF"/>
                <w:lang w:eastAsia="zh-CN"/>
              </w:rPr>
              <w:t>—</w:t>
            </w:r>
            <w:r>
              <w:rPr>
                <w:rFonts w:ascii="Arial" w:hAnsi="Arial" w:cs="Arial"/>
                <w:sz w:val="20"/>
                <w:szCs w:val="20"/>
                <w:shd w:val="clear" w:color="auto" w:fill="FFFFFF"/>
              </w:rPr>
              <w:t>省级政法委（涉及跨地区和跨部门的项目），或市</w:t>
            </w:r>
            <w:r>
              <w:rPr>
                <w:rFonts w:hint="eastAsia" w:ascii="Arial" w:hAnsi="Arial" w:cs="Arial"/>
                <w:sz w:val="20"/>
                <w:szCs w:val="20"/>
                <w:shd w:val="clear" w:color="auto" w:fill="FFFFFF"/>
                <w:lang w:eastAsia="zh-CN"/>
              </w:rPr>
              <w:t>县委政法委</w:t>
            </w:r>
          </w:p>
          <w:p w14:paraId="7181E15D">
            <w:pPr>
              <w:pStyle w:val="48"/>
              <w:numPr>
                <w:ilvl w:val="0"/>
                <w:numId w:val="22"/>
              </w:numPr>
              <w:shd w:val="clear" w:color="auto" w:fill="FFFFFF"/>
              <w:ind w:left="173" w:hanging="173" w:firstLineChars="0"/>
              <w:rPr>
                <w:rFonts w:ascii="Arial" w:hAnsi="Arial" w:cs="Arial"/>
                <w:sz w:val="20"/>
                <w:szCs w:val="20"/>
                <w:shd w:val="clear" w:color="auto" w:fill="FFFFFF"/>
              </w:rPr>
            </w:pPr>
            <w:r>
              <w:rPr>
                <w:rFonts w:ascii="Arial" w:hAnsi="Arial" w:cs="Arial"/>
                <w:b/>
                <w:bCs/>
                <w:sz w:val="20"/>
                <w:szCs w:val="20"/>
                <w:shd w:val="clear" w:color="auto" w:fill="FFFFFF"/>
              </w:rPr>
              <w:t>决策部门</w:t>
            </w:r>
            <w:r>
              <w:rPr>
                <w:rFonts w:hint="eastAsia" w:ascii="Arial" w:hAnsi="Arial" w:cs="Arial"/>
                <w:sz w:val="20"/>
                <w:szCs w:val="20"/>
                <w:shd w:val="clear" w:color="auto" w:fill="FFFFFF"/>
                <w:lang w:eastAsia="zh-CN"/>
              </w:rPr>
              <w:t>—</w:t>
            </w:r>
            <w:r>
              <w:rPr>
                <w:rFonts w:ascii="Arial" w:hAnsi="Arial" w:cs="Arial"/>
                <w:sz w:val="20"/>
                <w:szCs w:val="20"/>
                <w:shd w:val="clear" w:color="auto" w:fill="FFFFFF"/>
              </w:rPr>
              <w:t>市县党政领导办公会</w:t>
            </w:r>
          </w:p>
          <w:p w14:paraId="1EAF8F51">
            <w:pPr>
              <w:pStyle w:val="48"/>
              <w:numPr>
                <w:ilvl w:val="0"/>
                <w:numId w:val="22"/>
              </w:numPr>
              <w:shd w:val="clear" w:color="auto" w:fill="FFFFFF"/>
              <w:ind w:left="173" w:hanging="173" w:firstLineChars="0"/>
              <w:rPr>
                <w:rFonts w:ascii="Arial" w:hAnsi="Arial" w:cs="Arial"/>
                <w:sz w:val="20"/>
                <w:szCs w:val="20"/>
                <w:shd w:val="clear" w:color="auto" w:fill="FFFFFF"/>
              </w:rPr>
            </w:pPr>
            <w:r>
              <w:rPr>
                <w:rFonts w:ascii="Arial" w:hAnsi="Arial" w:cs="Arial"/>
                <w:b/>
                <w:bCs/>
                <w:sz w:val="20"/>
                <w:szCs w:val="20"/>
                <w:shd w:val="clear" w:color="auto" w:fill="FFFFFF"/>
              </w:rPr>
              <w:t>实施机构</w:t>
            </w:r>
            <w:r>
              <w:rPr>
                <w:rFonts w:hint="eastAsia" w:ascii="Arial" w:hAnsi="Arial" w:cs="Arial"/>
                <w:sz w:val="20"/>
                <w:szCs w:val="20"/>
                <w:shd w:val="clear" w:color="auto" w:fill="FFFFFF"/>
                <w:lang w:eastAsia="zh-CN"/>
              </w:rPr>
              <w:t>—</w:t>
            </w:r>
            <w:r>
              <w:rPr>
                <w:rFonts w:ascii="Arial" w:hAnsi="Arial" w:cs="Arial"/>
                <w:sz w:val="20"/>
                <w:szCs w:val="20"/>
                <w:shd w:val="clear" w:color="auto" w:fill="FFFFFF"/>
              </w:rPr>
              <w:t>评估主体及其委托的运营单位</w:t>
            </w:r>
          </w:p>
          <w:p w14:paraId="5019EADF">
            <w:pPr>
              <w:pStyle w:val="48"/>
              <w:numPr>
                <w:ilvl w:val="0"/>
                <w:numId w:val="22"/>
              </w:numPr>
              <w:shd w:val="clear" w:color="auto" w:fill="FFFFFF"/>
              <w:ind w:left="173" w:hanging="173" w:firstLineChars="0"/>
              <w:rPr>
                <w:rFonts w:ascii="Arial" w:hAnsi="Arial" w:cs="Arial"/>
                <w:sz w:val="20"/>
                <w:szCs w:val="20"/>
              </w:rPr>
            </w:pPr>
            <w:r>
              <w:rPr>
                <w:rFonts w:ascii="Arial" w:hAnsi="Arial" w:cs="Arial"/>
                <w:b/>
                <w:bCs/>
                <w:sz w:val="20"/>
                <w:szCs w:val="20"/>
                <w:shd w:val="clear" w:color="auto" w:fill="FFFFFF"/>
              </w:rPr>
              <w:t>监督机构</w:t>
            </w:r>
            <w:r>
              <w:rPr>
                <w:rFonts w:hint="eastAsia" w:ascii="Arial" w:hAnsi="Arial" w:cs="Arial"/>
                <w:sz w:val="20"/>
                <w:szCs w:val="20"/>
                <w:shd w:val="clear" w:color="auto" w:fill="FFFFFF"/>
                <w:lang w:eastAsia="zh-CN"/>
              </w:rPr>
              <w:t>—</w:t>
            </w:r>
            <w:r>
              <w:rPr>
                <w:rFonts w:ascii="Arial" w:hAnsi="Arial" w:cs="Arial"/>
                <w:sz w:val="20"/>
                <w:szCs w:val="20"/>
                <w:shd w:val="clear" w:color="auto" w:fill="FFFFFF"/>
              </w:rPr>
              <w:t>市县人民政府及其下属基层机构（如乡镇政府等）</w:t>
            </w:r>
          </w:p>
        </w:tc>
      </w:tr>
      <w:tr w14:paraId="7713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3829E22">
            <w:pPr>
              <w:rPr>
                <w:rFonts w:ascii="Arial" w:hAnsi="Arial" w:cs="Arial"/>
                <w:sz w:val="20"/>
                <w:szCs w:val="20"/>
              </w:rPr>
            </w:pPr>
          </w:p>
        </w:tc>
        <w:tc>
          <w:tcPr>
            <w:tcW w:w="528" w:type="pct"/>
            <w:vMerge w:val="continue"/>
          </w:tcPr>
          <w:p w14:paraId="74F97E54">
            <w:pPr>
              <w:rPr>
                <w:rFonts w:ascii="Arial" w:hAnsi="Arial" w:cs="Arial"/>
                <w:sz w:val="20"/>
                <w:szCs w:val="20"/>
              </w:rPr>
            </w:pPr>
          </w:p>
        </w:tc>
        <w:tc>
          <w:tcPr>
            <w:tcW w:w="2720" w:type="pct"/>
            <w:shd w:val="clear" w:color="auto" w:fill="auto"/>
          </w:tcPr>
          <w:p w14:paraId="22703FA6">
            <w:pPr>
              <w:rPr>
                <w:rFonts w:ascii="Arial" w:hAnsi="Arial" w:cs="Arial"/>
                <w:sz w:val="20"/>
                <w:szCs w:val="20"/>
              </w:rPr>
            </w:pPr>
            <w:r>
              <w:rPr>
                <w:rFonts w:ascii="Arial" w:hAnsi="Arial" w:cs="Arial"/>
                <w:sz w:val="20"/>
                <w:szCs w:val="20"/>
              </w:rPr>
              <w:t>《国家发展改革委办公厅关于印发重大固定资产投资项目社会稳定风险分析篇章和评估报告编制大纲（试行）的通知（发改办投资</w:t>
            </w:r>
            <w:r>
              <w:rPr>
                <w:rFonts w:hint="eastAsia" w:ascii="Arial" w:hAnsi="Arial" w:cs="Arial"/>
                <w:sz w:val="20"/>
                <w:szCs w:val="20"/>
                <w:lang w:eastAsia="zh-CN"/>
              </w:rPr>
              <w:t>〔2013〕428号</w:t>
            </w:r>
            <w:r>
              <w:rPr>
                <w:rFonts w:ascii="Arial" w:hAnsi="Arial" w:cs="Arial"/>
                <w:sz w:val="20"/>
                <w:szCs w:val="20"/>
              </w:rPr>
              <w:t>）》</w:t>
            </w:r>
          </w:p>
        </w:tc>
        <w:tc>
          <w:tcPr>
            <w:tcW w:w="1168" w:type="pct"/>
            <w:vMerge w:val="continue"/>
          </w:tcPr>
          <w:p w14:paraId="474682C5">
            <w:pPr>
              <w:rPr>
                <w:rFonts w:ascii="Arial" w:hAnsi="Arial" w:cs="Arial"/>
                <w:sz w:val="20"/>
                <w:szCs w:val="20"/>
              </w:rPr>
            </w:pPr>
          </w:p>
        </w:tc>
      </w:tr>
      <w:tr w14:paraId="6863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513A669">
            <w:pPr>
              <w:rPr>
                <w:rFonts w:ascii="Arial" w:hAnsi="Arial" w:cs="Arial"/>
                <w:b/>
                <w:sz w:val="20"/>
                <w:szCs w:val="20"/>
              </w:rPr>
            </w:pPr>
          </w:p>
        </w:tc>
        <w:tc>
          <w:tcPr>
            <w:tcW w:w="528" w:type="pct"/>
            <w:vMerge w:val="continue"/>
          </w:tcPr>
          <w:p w14:paraId="1DE3EE07">
            <w:pPr>
              <w:rPr>
                <w:rFonts w:ascii="Arial" w:hAnsi="Arial" w:cs="Arial"/>
                <w:b/>
                <w:sz w:val="20"/>
                <w:szCs w:val="20"/>
              </w:rPr>
            </w:pPr>
          </w:p>
        </w:tc>
        <w:tc>
          <w:tcPr>
            <w:tcW w:w="2720" w:type="pct"/>
            <w:shd w:val="clear" w:color="auto" w:fill="auto"/>
          </w:tcPr>
          <w:p w14:paraId="4C2F3AE3">
            <w:pPr>
              <w:rPr>
                <w:rFonts w:ascii="Arial" w:hAnsi="Arial" w:cs="Arial"/>
                <w:bCs/>
                <w:sz w:val="20"/>
                <w:szCs w:val="20"/>
              </w:rPr>
            </w:pPr>
            <w:bookmarkStart w:id="378" w:name="_Hlk90039346"/>
            <w:r>
              <w:rPr>
                <w:rFonts w:ascii="Arial" w:hAnsi="Arial" w:cs="Arial"/>
                <w:bCs/>
                <w:sz w:val="20"/>
                <w:szCs w:val="20"/>
              </w:rPr>
              <w:t>湖北省委、省政府办公厅《关于加强新形势下重大决策社会稳定风险评估工作的实施意见》（2021.12.13）</w:t>
            </w:r>
            <w:bookmarkEnd w:id="378"/>
          </w:p>
        </w:tc>
        <w:tc>
          <w:tcPr>
            <w:tcW w:w="1168" w:type="pct"/>
            <w:vMerge w:val="continue"/>
          </w:tcPr>
          <w:p w14:paraId="4AF30715">
            <w:pPr>
              <w:rPr>
                <w:rFonts w:ascii="Arial" w:hAnsi="Arial" w:cs="Arial"/>
                <w:color w:val="000000"/>
                <w:sz w:val="20"/>
                <w:szCs w:val="20"/>
              </w:rPr>
            </w:pPr>
          </w:p>
        </w:tc>
      </w:tr>
      <w:tr w14:paraId="09F6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84" w:type="pct"/>
            <w:vMerge w:val="continue"/>
          </w:tcPr>
          <w:p w14:paraId="4DCC8EE1">
            <w:pPr>
              <w:rPr>
                <w:rFonts w:ascii="Arial" w:hAnsi="Arial" w:cs="Arial"/>
                <w:b/>
                <w:sz w:val="20"/>
                <w:szCs w:val="20"/>
              </w:rPr>
            </w:pPr>
          </w:p>
        </w:tc>
        <w:tc>
          <w:tcPr>
            <w:tcW w:w="528" w:type="pct"/>
            <w:vMerge w:val="continue"/>
          </w:tcPr>
          <w:p w14:paraId="3B921AC4">
            <w:pPr>
              <w:rPr>
                <w:rFonts w:ascii="Arial" w:hAnsi="Arial" w:cs="Arial"/>
                <w:b/>
                <w:sz w:val="20"/>
                <w:szCs w:val="20"/>
              </w:rPr>
            </w:pPr>
          </w:p>
        </w:tc>
        <w:tc>
          <w:tcPr>
            <w:tcW w:w="2720" w:type="pct"/>
            <w:shd w:val="clear" w:color="auto" w:fill="auto"/>
          </w:tcPr>
          <w:p w14:paraId="6F19A08D">
            <w:pPr>
              <w:rPr>
                <w:rFonts w:ascii="Arial" w:hAnsi="Arial" w:cs="Arial"/>
                <w:color w:val="000000"/>
                <w:sz w:val="20"/>
                <w:szCs w:val="20"/>
              </w:rPr>
            </w:pPr>
            <w:r>
              <w:rPr>
                <w:rFonts w:ascii="Arial" w:hAnsi="Arial" w:cs="Arial"/>
                <w:sz w:val="20"/>
              </w:rPr>
              <w:t>《湖南省司法行政系统重大决策（事项）社会稳定风险评估实施办法（试行）》（2012.9.20）</w:t>
            </w:r>
          </w:p>
        </w:tc>
        <w:tc>
          <w:tcPr>
            <w:tcW w:w="1168" w:type="pct"/>
            <w:vMerge w:val="continue"/>
          </w:tcPr>
          <w:p w14:paraId="453128C6">
            <w:pPr>
              <w:rPr>
                <w:rFonts w:ascii="Arial" w:hAnsi="Arial" w:cs="Arial"/>
                <w:color w:val="000000"/>
                <w:sz w:val="20"/>
                <w:szCs w:val="20"/>
              </w:rPr>
            </w:pPr>
          </w:p>
        </w:tc>
      </w:tr>
      <w:tr w14:paraId="2F8D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84" w:type="pct"/>
            <w:vMerge w:val="continue"/>
          </w:tcPr>
          <w:p w14:paraId="3FA90E2B">
            <w:pPr>
              <w:rPr>
                <w:rFonts w:ascii="Arial" w:hAnsi="Arial" w:cs="Arial"/>
                <w:b/>
                <w:sz w:val="20"/>
                <w:szCs w:val="20"/>
              </w:rPr>
            </w:pPr>
          </w:p>
        </w:tc>
        <w:tc>
          <w:tcPr>
            <w:tcW w:w="528" w:type="pct"/>
            <w:vMerge w:val="continue"/>
          </w:tcPr>
          <w:p w14:paraId="53916BCD">
            <w:pPr>
              <w:rPr>
                <w:rFonts w:ascii="Arial" w:hAnsi="Arial" w:cs="Arial"/>
                <w:b/>
                <w:sz w:val="20"/>
                <w:szCs w:val="20"/>
              </w:rPr>
            </w:pPr>
          </w:p>
        </w:tc>
        <w:tc>
          <w:tcPr>
            <w:tcW w:w="2720" w:type="pct"/>
            <w:shd w:val="clear" w:color="auto" w:fill="auto"/>
          </w:tcPr>
          <w:p w14:paraId="0CE16BB2">
            <w:pPr>
              <w:rPr>
                <w:rFonts w:ascii="Arial" w:hAnsi="Arial" w:cs="Arial"/>
                <w:sz w:val="20"/>
              </w:rPr>
            </w:pPr>
            <w:r>
              <w:rPr>
                <w:rFonts w:ascii="Arial" w:hAnsi="Arial" w:cs="Arial"/>
                <w:sz w:val="20"/>
              </w:rPr>
              <w:t>《关于加强新形势下重大决策社会稳定风险评估工作的实施意见》（湘办发</w:t>
            </w:r>
            <w:r>
              <w:rPr>
                <w:rFonts w:hint="eastAsia" w:ascii="Arial" w:hAnsi="Arial" w:cs="Arial"/>
                <w:sz w:val="20"/>
                <w:lang w:eastAsia="zh-CN"/>
              </w:rPr>
              <w:t>〔2021〕27号</w:t>
            </w:r>
            <w:r>
              <w:rPr>
                <w:rFonts w:ascii="Arial" w:hAnsi="Arial" w:cs="Arial"/>
                <w:sz w:val="20"/>
              </w:rPr>
              <w:t>）（2021.12）</w:t>
            </w:r>
          </w:p>
        </w:tc>
        <w:tc>
          <w:tcPr>
            <w:tcW w:w="1168" w:type="pct"/>
            <w:vMerge w:val="continue"/>
          </w:tcPr>
          <w:p w14:paraId="3EED456F">
            <w:pPr>
              <w:rPr>
                <w:rFonts w:ascii="Arial" w:hAnsi="Arial" w:cs="Arial"/>
                <w:color w:val="000000"/>
                <w:sz w:val="20"/>
                <w:szCs w:val="20"/>
              </w:rPr>
            </w:pPr>
          </w:p>
        </w:tc>
      </w:tr>
      <w:tr w14:paraId="74CE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4AF72F4">
            <w:pPr>
              <w:rPr>
                <w:rFonts w:ascii="Arial" w:hAnsi="Arial" w:cs="Arial"/>
                <w:b/>
                <w:sz w:val="20"/>
                <w:szCs w:val="20"/>
              </w:rPr>
            </w:pPr>
          </w:p>
        </w:tc>
        <w:tc>
          <w:tcPr>
            <w:tcW w:w="528" w:type="pct"/>
            <w:vMerge w:val="continue"/>
          </w:tcPr>
          <w:p w14:paraId="39D9E856">
            <w:pPr>
              <w:rPr>
                <w:rFonts w:ascii="Arial" w:hAnsi="Arial" w:cs="Arial"/>
                <w:b/>
                <w:sz w:val="20"/>
                <w:szCs w:val="20"/>
              </w:rPr>
            </w:pPr>
          </w:p>
        </w:tc>
        <w:tc>
          <w:tcPr>
            <w:tcW w:w="2720" w:type="pct"/>
            <w:shd w:val="clear" w:color="auto" w:fill="auto"/>
          </w:tcPr>
          <w:p w14:paraId="77B30215">
            <w:pPr>
              <w:rPr>
                <w:rFonts w:ascii="Arial" w:hAnsi="Arial" w:cs="Arial"/>
                <w:color w:val="000000"/>
                <w:sz w:val="20"/>
                <w:szCs w:val="20"/>
              </w:rPr>
            </w:pPr>
            <w:r>
              <w:rPr>
                <w:rFonts w:ascii="Arial" w:hAnsi="Arial" w:cs="Arial"/>
                <w:sz w:val="20"/>
                <w:szCs w:val="20"/>
              </w:rPr>
              <w:t>《重大行政决策程序暂行条例》（2019.9.1）</w:t>
            </w:r>
          </w:p>
        </w:tc>
        <w:tc>
          <w:tcPr>
            <w:tcW w:w="1168" w:type="pct"/>
            <w:vMerge w:val="continue"/>
          </w:tcPr>
          <w:p w14:paraId="2963CD7A">
            <w:pPr>
              <w:rPr>
                <w:rFonts w:ascii="Arial" w:hAnsi="Arial" w:cs="Arial"/>
                <w:sz w:val="20"/>
                <w:szCs w:val="20"/>
              </w:rPr>
            </w:pPr>
          </w:p>
        </w:tc>
      </w:tr>
      <w:tr w14:paraId="2EA3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10CF4A4">
            <w:pPr>
              <w:rPr>
                <w:rFonts w:ascii="Arial" w:hAnsi="Arial" w:cs="Arial"/>
                <w:b/>
                <w:sz w:val="20"/>
                <w:szCs w:val="20"/>
              </w:rPr>
            </w:pPr>
          </w:p>
        </w:tc>
        <w:tc>
          <w:tcPr>
            <w:tcW w:w="528" w:type="pct"/>
            <w:vMerge w:val="continue"/>
          </w:tcPr>
          <w:p w14:paraId="59121503">
            <w:pPr>
              <w:rPr>
                <w:rFonts w:ascii="Arial" w:hAnsi="Arial" w:cs="Arial"/>
                <w:b/>
                <w:sz w:val="20"/>
                <w:szCs w:val="20"/>
              </w:rPr>
            </w:pPr>
          </w:p>
        </w:tc>
        <w:tc>
          <w:tcPr>
            <w:tcW w:w="2720" w:type="pct"/>
            <w:shd w:val="clear" w:color="auto" w:fill="auto"/>
          </w:tcPr>
          <w:p w14:paraId="25BD0156">
            <w:pPr>
              <w:rPr>
                <w:rFonts w:ascii="Arial" w:hAnsi="Arial" w:cs="Arial"/>
                <w:sz w:val="20"/>
                <w:szCs w:val="20"/>
              </w:rPr>
            </w:pPr>
            <w:r>
              <w:rPr>
                <w:rFonts w:ascii="Arial" w:hAnsi="Arial" w:cs="Arial"/>
                <w:sz w:val="20"/>
                <w:szCs w:val="20"/>
              </w:rPr>
              <w:t>《信访工作条例》（2022.2.25）</w:t>
            </w:r>
          </w:p>
        </w:tc>
        <w:tc>
          <w:tcPr>
            <w:tcW w:w="1168" w:type="pct"/>
            <w:vMerge w:val="continue"/>
          </w:tcPr>
          <w:p w14:paraId="5EE913A3">
            <w:pPr>
              <w:rPr>
                <w:rFonts w:ascii="Arial" w:hAnsi="Arial" w:cs="Arial"/>
                <w:sz w:val="20"/>
                <w:szCs w:val="20"/>
              </w:rPr>
            </w:pPr>
          </w:p>
        </w:tc>
      </w:tr>
      <w:tr w14:paraId="45B8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61EF5C4">
            <w:pPr>
              <w:rPr>
                <w:rFonts w:ascii="Arial" w:hAnsi="Arial" w:cs="Arial"/>
                <w:b/>
                <w:sz w:val="20"/>
                <w:szCs w:val="20"/>
              </w:rPr>
            </w:pPr>
          </w:p>
        </w:tc>
        <w:tc>
          <w:tcPr>
            <w:tcW w:w="528" w:type="pct"/>
            <w:vMerge w:val="continue"/>
          </w:tcPr>
          <w:p w14:paraId="2CC73493">
            <w:pPr>
              <w:rPr>
                <w:rFonts w:ascii="Arial" w:hAnsi="Arial" w:cs="Arial"/>
                <w:b/>
                <w:sz w:val="20"/>
                <w:szCs w:val="20"/>
              </w:rPr>
            </w:pPr>
          </w:p>
        </w:tc>
        <w:tc>
          <w:tcPr>
            <w:tcW w:w="2720" w:type="pct"/>
            <w:shd w:val="clear" w:color="auto" w:fill="auto"/>
          </w:tcPr>
          <w:p w14:paraId="7138B31B">
            <w:pPr>
              <w:rPr>
                <w:rFonts w:ascii="Arial" w:hAnsi="Arial" w:cs="Arial"/>
                <w:sz w:val="20"/>
                <w:szCs w:val="20"/>
              </w:rPr>
            </w:pPr>
            <w:r>
              <w:rPr>
                <w:rFonts w:ascii="Arial" w:hAnsi="Arial" w:cs="Arial"/>
                <w:sz w:val="20"/>
                <w:szCs w:val="20"/>
              </w:rPr>
              <w:t>《保障农民工工资支付条例》（2020.1.7）</w:t>
            </w:r>
          </w:p>
        </w:tc>
        <w:tc>
          <w:tcPr>
            <w:tcW w:w="1168" w:type="pct"/>
            <w:vMerge w:val="continue"/>
          </w:tcPr>
          <w:p w14:paraId="273C0C7E">
            <w:pPr>
              <w:rPr>
                <w:rFonts w:ascii="Arial" w:hAnsi="Arial" w:cs="Arial"/>
                <w:sz w:val="20"/>
                <w:szCs w:val="20"/>
              </w:rPr>
            </w:pPr>
          </w:p>
        </w:tc>
      </w:tr>
      <w:tr w14:paraId="40A5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257B4BE">
            <w:pPr>
              <w:rPr>
                <w:rFonts w:ascii="Arial" w:hAnsi="Arial" w:cs="Arial"/>
                <w:b/>
                <w:sz w:val="20"/>
                <w:szCs w:val="20"/>
              </w:rPr>
            </w:pPr>
          </w:p>
        </w:tc>
        <w:tc>
          <w:tcPr>
            <w:tcW w:w="528" w:type="pct"/>
            <w:vMerge w:val="continue"/>
          </w:tcPr>
          <w:p w14:paraId="39BDB105">
            <w:pPr>
              <w:rPr>
                <w:rFonts w:ascii="Arial" w:hAnsi="Arial" w:cs="Arial"/>
                <w:b/>
                <w:sz w:val="20"/>
                <w:szCs w:val="20"/>
              </w:rPr>
            </w:pPr>
          </w:p>
        </w:tc>
        <w:tc>
          <w:tcPr>
            <w:tcW w:w="2720" w:type="pct"/>
            <w:shd w:val="clear" w:color="auto" w:fill="auto"/>
          </w:tcPr>
          <w:p w14:paraId="3D3CD80B">
            <w:pPr>
              <w:rPr>
                <w:rFonts w:ascii="Arial" w:hAnsi="Arial" w:cs="Arial"/>
                <w:sz w:val="20"/>
                <w:szCs w:val="20"/>
              </w:rPr>
            </w:pPr>
            <w:r>
              <w:rPr>
                <w:rFonts w:ascii="Arial" w:hAnsi="Arial" w:cs="Arial"/>
                <w:color w:val="000000" w:themeColor="text1"/>
                <w:sz w:val="20"/>
                <w:szCs w:val="20"/>
                <w14:textFill>
                  <w14:solidFill>
                    <w14:schemeClr w14:val="tx1"/>
                  </w14:solidFill>
                </w14:textFill>
              </w:rPr>
              <w:t>《农业农村部办公厅关于做好2022年高素质农民培育工作的通知》（2022.4.15）</w:t>
            </w:r>
          </w:p>
        </w:tc>
        <w:tc>
          <w:tcPr>
            <w:tcW w:w="1168" w:type="pct"/>
            <w:vMerge w:val="continue"/>
          </w:tcPr>
          <w:p w14:paraId="623905EB">
            <w:pPr>
              <w:rPr>
                <w:rFonts w:ascii="Arial" w:hAnsi="Arial" w:cs="Arial"/>
                <w:sz w:val="20"/>
                <w:szCs w:val="20"/>
              </w:rPr>
            </w:pPr>
          </w:p>
        </w:tc>
      </w:tr>
      <w:tr w14:paraId="3A2F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5E7E558">
            <w:pPr>
              <w:rPr>
                <w:rFonts w:ascii="Arial" w:hAnsi="Arial" w:cs="Arial"/>
                <w:b/>
                <w:sz w:val="20"/>
                <w:szCs w:val="20"/>
              </w:rPr>
            </w:pPr>
          </w:p>
        </w:tc>
        <w:tc>
          <w:tcPr>
            <w:tcW w:w="528" w:type="pct"/>
            <w:vMerge w:val="continue"/>
          </w:tcPr>
          <w:p w14:paraId="7C5628E6">
            <w:pPr>
              <w:rPr>
                <w:rFonts w:ascii="Arial" w:hAnsi="Arial" w:cs="Arial"/>
                <w:b/>
                <w:sz w:val="20"/>
                <w:szCs w:val="20"/>
              </w:rPr>
            </w:pPr>
          </w:p>
        </w:tc>
        <w:tc>
          <w:tcPr>
            <w:tcW w:w="2720" w:type="pct"/>
            <w:shd w:val="clear" w:color="auto" w:fill="auto"/>
          </w:tcPr>
          <w:p w14:paraId="106BE7C8">
            <w:pPr>
              <w:rPr>
                <w:rFonts w:ascii="Arial" w:hAnsi="Arial" w:cs="Arial"/>
                <w:sz w:val="20"/>
                <w:szCs w:val="20"/>
                <w:highlight w:val="yellow"/>
              </w:rPr>
            </w:pPr>
            <w:r>
              <w:rPr>
                <w:rFonts w:ascii="Arial" w:hAnsi="Arial" w:cs="Arial"/>
                <w:color w:val="000000" w:themeColor="text1"/>
                <w:sz w:val="20"/>
                <w:szCs w:val="20"/>
                <w14:textFill>
                  <w14:solidFill>
                    <w14:schemeClr w14:val="tx1"/>
                  </w14:solidFill>
                </w14:textFill>
              </w:rPr>
              <w:t>《2022年湖北省农业农村工作要点的通知》（2022.3.1）</w:t>
            </w:r>
          </w:p>
        </w:tc>
        <w:tc>
          <w:tcPr>
            <w:tcW w:w="1168" w:type="pct"/>
            <w:vMerge w:val="continue"/>
          </w:tcPr>
          <w:p w14:paraId="16A7B09C">
            <w:pPr>
              <w:rPr>
                <w:rFonts w:ascii="Arial" w:hAnsi="Arial" w:cs="Arial"/>
                <w:sz w:val="20"/>
                <w:szCs w:val="20"/>
              </w:rPr>
            </w:pPr>
          </w:p>
        </w:tc>
      </w:tr>
      <w:tr w14:paraId="2135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BE0F365">
            <w:pPr>
              <w:rPr>
                <w:rFonts w:ascii="Arial" w:hAnsi="Arial" w:cs="Arial"/>
                <w:b/>
                <w:sz w:val="20"/>
                <w:szCs w:val="20"/>
              </w:rPr>
            </w:pPr>
          </w:p>
        </w:tc>
        <w:tc>
          <w:tcPr>
            <w:tcW w:w="528" w:type="pct"/>
            <w:vMerge w:val="continue"/>
          </w:tcPr>
          <w:p w14:paraId="3FE64435">
            <w:pPr>
              <w:rPr>
                <w:rFonts w:ascii="Arial" w:hAnsi="Arial" w:cs="Arial"/>
                <w:b/>
                <w:sz w:val="20"/>
                <w:szCs w:val="20"/>
              </w:rPr>
            </w:pPr>
          </w:p>
        </w:tc>
        <w:tc>
          <w:tcPr>
            <w:tcW w:w="2720" w:type="pct"/>
            <w:shd w:val="clear" w:color="auto" w:fill="auto"/>
          </w:tcPr>
          <w:p w14:paraId="7FD368E9">
            <w:pPr>
              <w:rPr>
                <w:rFonts w:ascii="Arial" w:hAnsi="Arial" w:cs="Arial"/>
                <w:color w:val="000000"/>
                <w:sz w:val="20"/>
                <w:szCs w:val="20"/>
                <w:highlight w:val="yellow"/>
              </w:rPr>
            </w:pPr>
            <w:r>
              <w:rPr>
                <w:rFonts w:ascii="Arial" w:hAnsi="Arial" w:cs="Arial"/>
                <w:color w:val="000000" w:themeColor="text1"/>
                <w:sz w:val="20"/>
                <w:szCs w:val="20"/>
                <w14:textFill>
                  <w14:solidFill>
                    <w14:schemeClr w14:val="tx1"/>
                  </w14:solidFill>
                </w14:textFill>
              </w:rPr>
              <w:t>《湖南省高素质农民教育培训规范（试行）》（湘农发</w:t>
            </w:r>
            <w:r>
              <w:rPr>
                <w:rFonts w:hint="eastAsia" w:ascii="Arial" w:hAnsi="Arial" w:cs="Arial"/>
                <w:color w:val="000000" w:themeColor="text1"/>
                <w:sz w:val="20"/>
                <w:szCs w:val="20"/>
                <w:lang w:eastAsia="zh-CN"/>
                <w14:textFill>
                  <w14:solidFill>
                    <w14:schemeClr w14:val="tx1"/>
                  </w14:solidFill>
                </w14:textFill>
              </w:rPr>
              <w:t>〔2020〕48号</w:t>
            </w:r>
            <w:r>
              <w:rPr>
                <w:rFonts w:ascii="Arial" w:hAnsi="Arial" w:cs="Arial"/>
                <w:color w:val="000000" w:themeColor="text1"/>
                <w:sz w:val="20"/>
                <w:szCs w:val="20"/>
                <w14:textFill>
                  <w14:solidFill>
                    <w14:schemeClr w14:val="tx1"/>
                  </w14:solidFill>
                </w14:textFill>
              </w:rPr>
              <w:t>）</w:t>
            </w:r>
          </w:p>
        </w:tc>
        <w:tc>
          <w:tcPr>
            <w:tcW w:w="1168" w:type="pct"/>
            <w:vMerge w:val="continue"/>
          </w:tcPr>
          <w:p w14:paraId="6C6CB3AB">
            <w:pPr>
              <w:rPr>
                <w:rFonts w:ascii="Arial" w:hAnsi="Arial" w:cs="Arial"/>
                <w:sz w:val="20"/>
                <w:szCs w:val="20"/>
              </w:rPr>
            </w:pPr>
          </w:p>
        </w:tc>
      </w:tr>
      <w:tr w14:paraId="5E0E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restart"/>
          </w:tcPr>
          <w:p w14:paraId="212A7ADE">
            <w:pPr>
              <w:rPr>
                <w:rFonts w:ascii="Arial" w:hAnsi="Arial" w:cs="Arial"/>
                <w:bCs/>
                <w:sz w:val="20"/>
                <w:szCs w:val="20"/>
              </w:rPr>
            </w:pPr>
            <w:r>
              <w:rPr>
                <w:rFonts w:ascii="Arial" w:hAnsi="Arial" w:cs="Arial"/>
                <w:bCs/>
                <w:sz w:val="20"/>
                <w:szCs w:val="20"/>
              </w:rPr>
              <w:t>物质文化遗产</w:t>
            </w:r>
          </w:p>
        </w:tc>
        <w:tc>
          <w:tcPr>
            <w:tcW w:w="528" w:type="pct"/>
            <w:vMerge w:val="restart"/>
          </w:tcPr>
          <w:p w14:paraId="75B867B8">
            <w:pPr>
              <w:rPr>
                <w:rFonts w:ascii="Arial" w:hAnsi="Arial" w:cs="Arial"/>
                <w:bCs/>
                <w:sz w:val="20"/>
                <w:szCs w:val="20"/>
              </w:rPr>
            </w:pPr>
            <w:r>
              <w:rPr>
                <w:rFonts w:ascii="Arial" w:hAnsi="Arial" w:cs="Arial"/>
                <w:b/>
                <w:bCs/>
                <w:sz w:val="20"/>
                <w:szCs w:val="20"/>
              </w:rPr>
              <w:t>原则2：</w:t>
            </w:r>
            <w:r>
              <w:rPr>
                <w:rFonts w:ascii="Arial" w:hAnsi="Arial" w:cs="Arial"/>
                <w:sz w:val="20"/>
                <w:szCs w:val="20"/>
              </w:rPr>
              <w:t>文物保护</w:t>
            </w:r>
          </w:p>
        </w:tc>
        <w:tc>
          <w:tcPr>
            <w:tcW w:w="2720" w:type="pct"/>
            <w:shd w:val="clear" w:color="auto" w:fill="auto"/>
          </w:tcPr>
          <w:p w14:paraId="3E6FEC37">
            <w:pPr>
              <w:rPr>
                <w:rFonts w:ascii="Arial" w:hAnsi="Arial" w:cs="Arial"/>
                <w:color w:val="000000"/>
                <w:sz w:val="20"/>
                <w:szCs w:val="20"/>
              </w:rPr>
            </w:pPr>
            <w:r>
              <w:rPr>
                <w:rFonts w:ascii="Arial" w:hAnsi="Arial" w:cs="Arial"/>
                <w:sz w:val="20"/>
                <w:szCs w:val="20"/>
              </w:rPr>
              <w:t>《</w:t>
            </w:r>
            <w:r>
              <w:rPr>
                <w:rFonts w:hint="eastAsia" w:ascii="Arial" w:hAnsi="Arial" w:cs="Arial"/>
                <w:sz w:val="20"/>
                <w:szCs w:val="20"/>
                <w:lang w:eastAsia="zh-CN"/>
              </w:rPr>
              <w:t>中华人民共和国文物保护法</w:t>
            </w:r>
            <w:r>
              <w:rPr>
                <w:rFonts w:ascii="Arial" w:hAnsi="Arial" w:cs="Arial"/>
                <w:sz w:val="20"/>
                <w:szCs w:val="20"/>
              </w:rPr>
              <w:t>》（2017年修订）</w:t>
            </w:r>
          </w:p>
        </w:tc>
        <w:tc>
          <w:tcPr>
            <w:tcW w:w="1168" w:type="pct"/>
            <w:vMerge w:val="restart"/>
          </w:tcPr>
          <w:p w14:paraId="66C5C2E2">
            <w:pPr>
              <w:shd w:val="clear" w:color="auto" w:fill="FFFFFF"/>
              <w:rPr>
                <w:rFonts w:ascii="Arial" w:hAnsi="Arial" w:cs="Arial"/>
                <w:sz w:val="20"/>
                <w:szCs w:val="20"/>
                <w:shd w:val="clear" w:color="auto" w:fill="FFFFFF"/>
                <w:lang w:bidi="ar"/>
              </w:rPr>
            </w:pPr>
            <w:r>
              <w:rPr>
                <w:rFonts w:ascii="Arial" w:hAnsi="Arial" w:cs="Arial"/>
                <w:b/>
                <w:bCs/>
                <w:sz w:val="20"/>
                <w:szCs w:val="20"/>
                <w:shd w:val="clear" w:color="auto" w:fill="FFFFFF"/>
                <w:lang w:bidi="ar"/>
              </w:rPr>
              <w:t>国家：</w:t>
            </w:r>
            <w:r>
              <w:rPr>
                <w:rFonts w:ascii="Arial" w:hAnsi="Arial" w:cs="Arial"/>
                <w:color w:val="3D3D3D"/>
                <w:sz w:val="20"/>
                <w:szCs w:val="20"/>
              </w:rPr>
              <w:t>国家文物局</w:t>
            </w:r>
          </w:p>
          <w:p w14:paraId="4BD24E30">
            <w:pPr>
              <w:rPr>
                <w:rFonts w:ascii="Arial" w:hAnsi="Arial" w:cs="Arial"/>
                <w:sz w:val="20"/>
                <w:szCs w:val="20"/>
              </w:rPr>
            </w:pPr>
            <w:r>
              <w:rPr>
                <w:rFonts w:ascii="Arial" w:hAnsi="Arial" w:cs="Arial"/>
                <w:b/>
                <w:bCs/>
                <w:sz w:val="20"/>
                <w:szCs w:val="20"/>
                <w:shd w:val="clear" w:color="auto" w:fill="FFFFFF"/>
                <w:lang w:bidi="ar"/>
              </w:rPr>
              <w:t>湖北、湖南省：</w:t>
            </w:r>
            <w:r>
              <w:rPr>
                <w:rFonts w:ascii="Arial" w:hAnsi="Arial" w:cs="Arial"/>
                <w:color w:val="3D3D3D"/>
                <w:sz w:val="20"/>
                <w:szCs w:val="20"/>
              </w:rPr>
              <w:t>省、市、县级文物保护部门</w:t>
            </w:r>
          </w:p>
        </w:tc>
      </w:tr>
      <w:tr w14:paraId="1BB1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A3DA0E0">
            <w:pPr>
              <w:rPr>
                <w:rFonts w:ascii="Arial" w:hAnsi="Arial" w:cs="Arial"/>
                <w:b/>
                <w:sz w:val="20"/>
                <w:szCs w:val="20"/>
              </w:rPr>
            </w:pPr>
          </w:p>
        </w:tc>
        <w:tc>
          <w:tcPr>
            <w:tcW w:w="528" w:type="pct"/>
            <w:vMerge w:val="continue"/>
          </w:tcPr>
          <w:p w14:paraId="595199C0">
            <w:pPr>
              <w:rPr>
                <w:rFonts w:ascii="Arial" w:hAnsi="Arial" w:cs="Arial"/>
                <w:b/>
                <w:sz w:val="20"/>
                <w:szCs w:val="20"/>
              </w:rPr>
            </w:pPr>
          </w:p>
        </w:tc>
        <w:tc>
          <w:tcPr>
            <w:tcW w:w="2720" w:type="pct"/>
            <w:shd w:val="clear" w:color="auto" w:fill="auto"/>
          </w:tcPr>
          <w:p w14:paraId="2A843591">
            <w:pPr>
              <w:rPr>
                <w:rFonts w:ascii="Arial" w:hAnsi="Arial" w:cs="Arial"/>
                <w:color w:val="000000"/>
                <w:sz w:val="20"/>
                <w:szCs w:val="20"/>
              </w:rPr>
            </w:pPr>
            <w:r>
              <w:rPr>
                <w:rFonts w:ascii="Arial" w:hAnsi="Arial" w:cs="Arial"/>
                <w:sz w:val="20"/>
                <w:szCs w:val="20"/>
              </w:rPr>
              <w:t>《</w:t>
            </w:r>
            <w:r>
              <w:rPr>
                <w:rFonts w:hint="eastAsia" w:ascii="Arial" w:hAnsi="Arial" w:cs="Arial"/>
                <w:sz w:val="20"/>
                <w:szCs w:val="20"/>
                <w:lang w:eastAsia="zh-CN"/>
              </w:rPr>
              <w:t>中华人民共和国文物保护法实施条例</w:t>
            </w:r>
            <w:r>
              <w:rPr>
                <w:rFonts w:ascii="Arial" w:hAnsi="Arial" w:cs="Arial"/>
                <w:sz w:val="20"/>
                <w:szCs w:val="20"/>
              </w:rPr>
              <w:t>》（2017）</w:t>
            </w:r>
          </w:p>
        </w:tc>
        <w:tc>
          <w:tcPr>
            <w:tcW w:w="1168" w:type="pct"/>
            <w:vMerge w:val="continue"/>
          </w:tcPr>
          <w:p w14:paraId="2D07B4D9">
            <w:pPr>
              <w:rPr>
                <w:rFonts w:ascii="Arial" w:hAnsi="Arial" w:cs="Arial"/>
                <w:sz w:val="20"/>
                <w:szCs w:val="20"/>
              </w:rPr>
            </w:pPr>
          </w:p>
        </w:tc>
      </w:tr>
      <w:tr w14:paraId="017F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restart"/>
          </w:tcPr>
          <w:p w14:paraId="0B2D4D30">
            <w:pPr>
              <w:rPr>
                <w:rFonts w:ascii="Arial" w:hAnsi="Arial" w:cs="Arial"/>
                <w:sz w:val="20"/>
                <w:szCs w:val="20"/>
              </w:rPr>
            </w:pPr>
            <w:r>
              <w:rPr>
                <w:rFonts w:ascii="Arial" w:hAnsi="Arial" w:cs="Arial"/>
                <w:sz w:val="20"/>
                <w:szCs w:val="20"/>
              </w:rPr>
              <w:t>公众安全与劳动者安全</w:t>
            </w:r>
          </w:p>
        </w:tc>
        <w:tc>
          <w:tcPr>
            <w:tcW w:w="528" w:type="pct"/>
            <w:vMerge w:val="restart"/>
          </w:tcPr>
          <w:p w14:paraId="63F6EEC5">
            <w:pPr>
              <w:rPr>
                <w:rFonts w:ascii="Arial" w:hAnsi="Arial" w:cs="Arial"/>
                <w:sz w:val="20"/>
                <w:szCs w:val="20"/>
              </w:rPr>
            </w:pPr>
            <w:r>
              <w:rPr>
                <w:rFonts w:ascii="Arial" w:hAnsi="Arial" w:cs="Arial"/>
                <w:b/>
                <w:bCs/>
                <w:sz w:val="20"/>
                <w:szCs w:val="20"/>
              </w:rPr>
              <w:t>原则3：</w:t>
            </w:r>
            <w:r>
              <w:rPr>
                <w:rFonts w:ascii="Arial" w:hAnsi="Arial" w:cs="Arial"/>
                <w:sz w:val="20"/>
                <w:szCs w:val="20"/>
              </w:rPr>
              <w:t>劳工及职业健康</w:t>
            </w:r>
          </w:p>
        </w:tc>
        <w:tc>
          <w:tcPr>
            <w:tcW w:w="2720" w:type="pct"/>
            <w:shd w:val="clear" w:color="auto" w:fill="auto"/>
          </w:tcPr>
          <w:p w14:paraId="1332EE96">
            <w:pPr>
              <w:rPr>
                <w:rFonts w:ascii="Arial" w:hAnsi="Arial" w:cs="Arial"/>
                <w:color w:val="000000"/>
                <w:sz w:val="20"/>
                <w:szCs w:val="20"/>
              </w:rPr>
            </w:pPr>
            <w:r>
              <w:rPr>
                <w:rFonts w:ascii="Arial" w:hAnsi="Arial" w:cs="Arial"/>
                <w:sz w:val="20"/>
                <w:szCs w:val="20"/>
              </w:rPr>
              <w:t>《中华人民共和国民法典》（2021.1）</w:t>
            </w:r>
          </w:p>
        </w:tc>
        <w:tc>
          <w:tcPr>
            <w:tcW w:w="1168" w:type="pct"/>
            <w:vMerge w:val="restart"/>
          </w:tcPr>
          <w:p w14:paraId="23F79D00">
            <w:pPr>
              <w:rPr>
                <w:rFonts w:ascii="Arial" w:hAnsi="Arial" w:cs="Arial"/>
                <w:b/>
                <w:bCs/>
                <w:sz w:val="20"/>
                <w:szCs w:val="20"/>
                <w:u w:val="single"/>
              </w:rPr>
            </w:pPr>
            <w:r>
              <w:rPr>
                <w:rFonts w:ascii="Arial" w:hAnsi="Arial" w:cs="Arial"/>
                <w:b/>
                <w:bCs/>
                <w:sz w:val="20"/>
                <w:szCs w:val="20"/>
                <w:u w:val="single"/>
              </w:rPr>
              <w:t>公众和劳动者安全：</w:t>
            </w:r>
          </w:p>
          <w:p w14:paraId="6D4EDECA">
            <w:pPr>
              <w:rPr>
                <w:rFonts w:ascii="Arial" w:hAnsi="Arial" w:cs="Arial"/>
                <w:color w:val="333333"/>
                <w:sz w:val="20"/>
                <w:szCs w:val="20"/>
                <w:shd w:val="clear" w:color="auto" w:fill="FFFFFF"/>
                <w:lang w:bidi="ar"/>
              </w:rPr>
            </w:pPr>
            <w:r>
              <w:rPr>
                <w:rFonts w:ascii="Arial" w:hAnsi="Arial" w:cs="Arial"/>
                <w:b/>
                <w:bCs/>
                <w:color w:val="333333"/>
                <w:sz w:val="20"/>
                <w:szCs w:val="20"/>
                <w:shd w:val="clear" w:color="auto" w:fill="FFFFFF"/>
                <w:lang w:bidi="ar"/>
              </w:rPr>
              <w:t>国家：</w:t>
            </w:r>
            <w:r>
              <w:rPr>
                <w:rFonts w:ascii="Arial" w:hAnsi="Arial" w:cs="Arial"/>
                <w:color w:val="333333"/>
                <w:sz w:val="20"/>
                <w:szCs w:val="20"/>
                <w:shd w:val="clear" w:color="auto" w:fill="FFFFFF"/>
                <w:lang w:bidi="ar"/>
              </w:rPr>
              <w:t>应急管理部</w:t>
            </w:r>
          </w:p>
          <w:p w14:paraId="05C5EAC4">
            <w:pPr>
              <w:rPr>
                <w:rFonts w:ascii="Arial" w:hAnsi="Arial" w:cs="Arial"/>
                <w:sz w:val="20"/>
                <w:szCs w:val="20"/>
              </w:rPr>
            </w:pPr>
            <w:r>
              <w:rPr>
                <w:rFonts w:ascii="Arial" w:hAnsi="Arial" w:cs="Arial"/>
                <w:b/>
                <w:bCs/>
                <w:color w:val="333333"/>
                <w:sz w:val="20"/>
                <w:szCs w:val="20"/>
                <w:shd w:val="clear" w:color="auto" w:fill="FFFFFF"/>
                <w:lang w:bidi="ar"/>
              </w:rPr>
              <w:t>湖北、湖南省：</w:t>
            </w:r>
            <w:r>
              <w:rPr>
                <w:rFonts w:ascii="Arial" w:hAnsi="Arial" w:cs="Arial"/>
                <w:color w:val="333333"/>
                <w:sz w:val="20"/>
                <w:szCs w:val="20"/>
                <w:shd w:val="clear" w:color="auto" w:fill="FFFFFF"/>
                <w:lang w:bidi="ar"/>
              </w:rPr>
              <w:t>省、市、县应急管理部门</w:t>
            </w:r>
            <w:r>
              <w:rPr>
                <w:rFonts w:hint="eastAsia" w:ascii="Arial" w:hAnsi="Arial" w:cs="Arial"/>
                <w:color w:val="333333"/>
                <w:sz w:val="20"/>
                <w:szCs w:val="20"/>
                <w:shd w:val="clear" w:color="auto" w:fill="FFFFFF"/>
                <w:lang w:eastAsia="zh-CN" w:bidi="ar"/>
              </w:rPr>
              <w:t>，</w:t>
            </w:r>
            <w:r>
              <w:rPr>
                <w:rFonts w:ascii="Arial" w:hAnsi="Arial" w:cs="Arial"/>
                <w:color w:val="333333"/>
                <w:sz w:val="20"/>
                <w:szCs w:val="20"/>
                <w:shd w:val="clear" w:color="auto" w:fill="FFFFFF"/>
                <w:lang w:bidi="ar"/>
              </w:rPr>
              <w:t>生产经营单位、有关协会组织、安全生产技术服务机构</w:t>
            </w:r>
          </w:p>
          <w:p w14:paraId="14CC0C97">
            <w:pPr>
              <w:rPr>
                <w:rFonts w:ascii="Arial" w:hAnsi="Arial" w:cs="Arial"/>
                <w:b/>
                <w:bCs/>
                <w:sz w:val="20"/>
                <w:szCs w:val="20"/>
                <w:u w:val="single"/>
              </w:rPr>
            </w:pPr>
            <w:r>
              <w:rPr>
                <w:rFonts w:ascii="Arial" w:hAnsi="Arial" w:cs="Arial"/>
                <w:b/>
                <w:bCs/>
                <w:sz w:val="20"/>
                <w:szCs w:val="20"/>
                <w:u w:val="single"/>
              </w:rPr>
              <w:t>公众和职业人群健康：</w:t>
            </w:r>
          </w:p>
          <w:p w14:paraId="730BB6D9">
            <w:pPr>
              <w:rPr>
                <w:rFonts w:ascii="Arial" w:hAnsi="Arial" w:cs="Arial"/>
                <w:sz w:val="20"/>
                <w:szCs w:val="20"/>
              </w:rPr>
            </w:pPr>
            <w:r>
              <w:rPr>
                <w:rFonts w:ascii="Arial" w:hAnsi="Arial" w:cs="Arial"/>
                <w:b/>
                <w:bCs/>
                <w:sz w:val="20"/>
                <w:szCs w:val="20"/>
              </w:rPr>
              <w:t>国家：</w:t>
            </w:r>
            <w:r>
              <w:rPr>
                <w:rFonts w:ascii="Arial" w:hAnsi="Arial" w:cs="Arial"/>
                <w:sz w:val="20"/>
                <w:szCs w:val="20"/>
              </w:rPr>
              <w:t>国家卫健委；</w:t>
            </w:r>
          </w:p>
          <w:p w14:paraId="2372934D">
            <w:pPr>
              <w:rPr>
                <w:rFonts w:ascii="Arial" w:hAnsi="Arial" w:cs="Arial"/>
                <w:color w:val="333333"/>
                <w:sz w:val="20"/>
                <w:szCs w:val="20"/>
                <w:shd w:val="clear" w:color="auto" w:fill="FFFFFF"/>
                <w:lang w:bidi="ar"/>
              </w:rPr>
            </w:pPr>
            <w:r>
              <w:rPr>
                <w:rFonts w:ascii="Arial" w:hAnsi="Arial" w:cs="Arial"/>
                <w:b/>
                <w:bCs/>
                <w:sz w:val="20"/>
                <w:szCs w:val="20"/>
              </w:rPr>
              <w:t>湖</w:t>
            </w:r>
            <w:r>
              <w:rPr>
                <w:rFonts w:hint="eastAsia" w:ascii="Arial" w:hAnsi="Arial" w:cs="Arial"/>
                <w:b/>
                <w:bCs/>
                <w:sz w:val="20"/>
                <w:szCs w:val="20"/>
                <w:lang w:eastAsia="zh-CN"/>
              </w:rPr>
              <w:t>北省</w:t>
            </w:r>
            <w:r>
              <w:rPr>
                <w:rFonts w:ascii="Arial" w:hAnsi="Arial" w:cs="Arial"/>
                <w:b/>
                <w:bCs/>
                <w:sz w:val="20"/>
                <w:szCs w:val="20"/>
              </w:rPr>
              <w:t>、湖南省：</w:t>
            </w:r>
            <w:r>
              <w:rPr>
                <w:rFonts w:ascii="Arial" w:hAnsi="Arial" w:cs="Arial"/>
                <w:sz w:val="20"/>
                <w:szCs w:val="20"/>
              </w:rPr>
              <w:t>省、市、县卫生健康部门，职业病防治专业机构、职业卫生技术服务机构、职业健康检查和职业病诊断机构</w:t>
            </w:r>
          </w:p>
          <w:p w14:paraId="7D89BD2C">
            <w:pPr>
              <w:rPr>
                <w:rFonts w:ascii="Arial" w:hAnsi="Arial" w:cs="Arial"/>
                <w:b/>
                <w:bCs/>
                <w:color w:val="333333"/>
                <w:sz w:val="20"/>
                <w:szCs w:val="20"/>
                <w:u w:val="single"/>
                <w:shd w:val="clear" w:color="auto" w:fill="FFFFFF"/>
              </w:rPr>
            </w:pPr>
            <w:r>
              <w:rPr>
                <w:rFonts w:ascii="Arial" w:hAnsi="Arial" w:cs="Arial"/>
                <w:b/>
                <w:bCs/>
                <w:color w:val="333333"/>
                <w:sz w:val="20"/>
                <w:szCs w:val="20"/>
                <w:u w:val="single"/>
                <w:shd w:val="clear" w:color="auto" w:fill="FFFFFF"/>
              </w:rPr>
              <w:t>劳工管理：</w:t>
            </w:r>
          </w:p>
          <w:p w14:paraId="282B36C6">
            <w:pPr>
              <w:rPr>
                <w:rFonts w:ascii="Arial" w:hAnsi="Arial" w:cs="Arial"/>
                <w:color w:val="333333"/>
                <w:sz w:val="20"/>
                <w:szCs w:val="20"/>
                <w:shd w:val="clear" w:color="auto" w:fill="FFFFFF"/>
              </w:rPr>
            </w:pPr>
            <w:r>
              <w:rPr>
                <w:rFonts w:ascii="Arial" w:hAnsi="Arial" w:cs="Arial"/>
                <w:b/>
                <w:bCs/>
                <w:color w:val="333333"/>
                <w:sz w:val="20"/>
                <w:szCs w:val="20"/>
                <w:shd w:val="clear" w:color="auto" w:fill="FFFFFF"/>
              </w:rPr>
              <w:t>国家：</w:t>
            </w:r>
            <w:r>
              <w:rPr>
                <w:rFonts w:ascii="Arial" w:hAnsi="Arial" w:cs="Arial"/>
                <w:color w:val="333333"/>
                <w:sz w:val="20"/>
                <w:szCs w:val="20"/>
                <w:shd w:val="clear" w:color="auto" w:fill="FFFFFF"/>
              </w:rPr>
              <w:t>人力资源社会保障、</w:t>
            </w:r>
            <w:r>
              <w:rPr>
                <w:rFonts w:ascii="Arial" w:hAnsi="Arial" w:cs="Arial"/>
                <w:color w:val="333333"/>
                <w:sz w:val="20"/>
                <w:szCs w:val="20"/>
                <w:shd w:val="clear" w:color="auto" w:fill="FFFFFF"/>
                <w:lang w:bidi="ar"/>
              </w:rPr>
              <w:t>中华全国总工会</w:t>
            </w:r>
          </w:p>
          <w:p w14:paraId="1CE11217">
            <w:pPr>
              <w:rPr>
                <w:rFonts w:ascii="Arial" w:hAnsi="Arial" w:cs="Arial"/>
                <w:sz w:val="20"/>
                <w:szCs w:val="20"/>
              </w:rPr>
            </w:pPr>
            <w:r>
              <w:rPr>
                <w:rFonts w:ascii="Arial" w:hAnsi="Arial" w:cs="Arial"/>
                <w:b/>
                <w:bCs/>
                <w:color w:val="333333"/>
                <w:sz w:val="20"/>
                <w:szCs w:val="20"/>
                <w:shd w:val="clear" w:color="auto" w:fill="FFFFFF"/>
              </w:rPr>
              <w:t>湖北、湖南省</w:t>
            </w:r>
            <w:r>
              <w:rPr>
                <w:rFonts w:ascii="Arial" w:hAnsi="Arial" w:cs="Arial"/>
                <w:color w:val="333333"/>
                <w:sz w:val="20"/>
                <w:szCs w:val="20"/>
                <w:shd w:val="clear" w:color="auto" w:fill="FFFFFF"/>
              </w:rPr>
              <w:t>：省市县各级辖区总工会；各级产业工会；企事业单位工会</w:t>
            </w:r>
          </w:p>
        </w:tc>
      </w:tr>
      <w:tr w14:paraId="2454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A13755B">
            <w:pPr>
              <w:rPr>
                <w:rFonts w:ascii="Arial" w:hAnsi="Arial" w:cs="Arial"/>
                <w:sz w:val="20"/>
                <w:szCs w:val="20"/>
              </w:rPr>
            </w:pPr>
          </w:p>
        </w:tc>
        <w:tc>
          <w:tcPr>
            <w:tcW w:w="528" w:type="pct"/>
            <w:vMerge w:val="continue"/>
          </w:tcPr>
          <w:p w14:paraId="7789E698">
            <w:pPr>
              <w:rPr>
                <w:rFonts w:ascii="Arial" w:hAnsi="Arial" w:cs="Arial"/>
                <w:sz w:val="20"/>
                <w:szCs w:val="20"/>
              </w:rPr>
            </w:pPr>
          </w:p>
        </w:tc>
        <w:tc>
          <w:tcPr>
            <w:tcW w:w="2720" w:type="pct"/>
            <w:shd w:val="clear" w:color="auto" w:fill="auto"/>
          </w:tcPr>
          <w:p w14:paraId="006045F4">
            <w:pPr>
              <w:rPr>
                <w:rFonts w:ascii="Arial" w:hAnsi="Arial" w:cs="Arial"/>
                <w:color w:val="000000"/>
                <w:sz w:val="20"/>
                <w:szCs w:val="20"/>
              </w:rPr>
            </w:pPr>
            <w:r>
              <w:rPr>
                <w:rFonts w:ascii="Arial" w:hAnsi="Arial" w:cs="Arial"/>
                <w:sz w:val="20"/>
                <w:szCs w:val="20"/>
              </w:rPr>
              <w:t>《中华人民共和国安全生产法》（2021.6）</w:t>
            </w:r>
          </w:p>
        </w:tc>
        <w:tc>
          <w:tcPr>
            <w:tcW w:w="1168" w:type="pct"/>
            <w:vMerge w:val="continue"/>
          </w:tcPr>
          <w:p w14:paraId="08684CBA">
            <w:pPr>
              <w:rPr>
                <w:rFonts w:ascii="Arial" w:hAnsi="Arial" w:cs="Arial"/>
                <w:sz w:val="20"/>
                <w:szCs w:val="20"/>
              </w:rPr>
            </w:pPr>
          </w:p>
        </w:tc>
      </w:tr>
      <w:tr w14:paraId="2A07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F2A420D">
            <w:pPr>
              <w:rPr>
                <w:rFonts w:ascii="Arial" w:hAnsi="Arial" w:cs="Arial"/>
                <w:sz w:val="20"/>
                <w:szCs w:val="20"/>
              </w:rPr>
            </w:pPr>
          </w:p>
        </w:tc>
        <w:tc>
          <w:tcPr>
            <w:tcW w:w="528" w:type="pct"/>
            <w:vMerge w:val="continue"/>
          </w:tcPr>
          <w:p w14:paraId="2334C9AC">
            <w:pPr>
              <w:rPr>
                <w:rFonts w:ascii="Arial" w:hAnsi="Arial" w:cs="Arial"/>
                <w:sz w:val="20"/>
                <w:szCs w:val="20"/>
              </w:rPr>
            </w:pPr>
          </w:p>
        </w:tc>
        <w:tc>
          <w:tcPr>
            <w:tcW w:w="2720" w:type="pct"/>
            <w:shd w:val="clear" w:color="auto" w:fill="auto"/>
          </w:tcPr>
          <w:p w14:paraId="3B299EA8">
            <w:pPr>
              <w:rPr>
                <w:rFonts w:ascii="Arial" w:hAnsi="Arial" w:cs="Arial"/>
                <w:color w:val="000000"/>
                <w:sz w:val="20"/>
                <w:szCs w:val="20"/>
              </w:rPr>
            </w:pPr>
            <w:r>
              <w:rPr>
                <w:rFonts w:ascii="Arial" w:hAnsi="Arial" w:cs="Arial"/>
                <w:sz w:val="20"/>
                <w:szCs w:val="20"/>
              </w:rPr>
              <w:t>《中华人民共和国职业病防治法》（2018.12）</w:t>
            </w:r>
          </w:p>
        </w:tc>
        <w:tc>
          <w:tcPr>
            <w:tcW w:w="1168" w:type="pct"/>
            <w:vMerge w:val="continue"/>
          </w:tcPr>
          <w:p w14:paraId="46B85E56">
            <w:pPr>
              <w:rPr>
                <w:rFonts w:ascii="Arial" w:hAnsi="Arial" w:cs="Arial"/>
                <w:sz w:val="20"/>
                <w:szCs w:val="20"/>
              </w:rPr>
            </w:pPr>
          </w:p>
        </w:tc>
      </w:tr>
      <w:tr w14:paraId="6A6F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9076C2E">
            <w:pPr>
              <w:rPr>
                <w:rFonts w:ascii="Arial" w:hAnsi="Arial" w:cs="Arial"/>
                <w:sz w:val="20"/>
                <w:szCs w:val="20"/>
              </w:rPr>
            </w:pPr>
          </w:p>
        </w:tc>
        <w:tc>
          <w:tcPr>
            <w:tcW w:w="528" w:type="pct"/>
            <w:vMerge w:val="continue"/>
          </w:tcPr>
          <w:p w14:paraId="7CCDCC9E">
            <w:pPr>
              <w:rPr>
                <w:rFonts w:ascii="Arial" w:hAnsi="Arial" w:cs="Arial"/>
                <w:sz w:val="20"/>
                <w:szCs w:val="20"/>
              </w:rPr>
            </w:pPr>
          </w:p>
        </w:tc>
        <w:tc>
          <w:tcPr>
            <w:tcW w:w="2720" w:type="pct"/>
            <w:shd w:val="clear" w:color="auto" w:fill="auto"/>
          </w:tcPr>
          <w:p w14:paraId="7E2FB42B">
            <w:pPr>
              <w:rPr>
                <w:rFonts w:ascii="Arial" w:hAnsi="Arial" w:cs="Arial"/>
                <w:color w:val="000000"/>
                <w:sz w:val="20"/>
                <w:szCs w:val="20"/>
              </w:rPr>
            </w:pPr>
            <w:r>
              <w:rPr>
                <w:rFonts w:ascii="Arial" w:hAnsi="Arial" w:cs="Arial"/>
                <w:sz w:val="20"/>
                <w:szCs w:val="20"/>
              </w:rPr>
              <w:t>《用人单位职业病防治指南》（2010.8）</w:t>
            </w:r>
          </w:p>
        </w:tc>
        <w:tc>
          <w:tcPr>
            <w:tcW w:w="1168" w:type="pct"/>
            <w:vMerge w:val="continue"/>
          </w:tcPr>
          <w:p w14:paraId="071FCFAF">
            <w:pPr>
              <w:rPr>
                <w:rFonts w:ascii="Arial" w:hAnsi="Arial" w:cs="Arial"/>
                <w:sz w:val="20"/>
                <w:szCs w:val="20"/>
              </w:rPr>
            </w:pPr>
          </w:p>
        </w:tc>
      </w:tr>
      <w:tr w14:paraId="520A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3922B61">
            <w:pPr>
              <w:rPr>
                <w:rFonts w:ascii="Arial" w:hAnsi="Arial" w:cs="Arial"/>
                <w:sz w:val="20"/>
                <w:szCs w:val="20"/>
              </w:rPr>
            </w:pPr>
          </w:p>
        </w:tc>
        <w:tc>
          <w:tcPr>
            <w:tcW w:w="528" w:type="pct"/>
            <w:vMerge w:val="continue"/>
          </w:tcPr>
          <w:p w14:paraId="5996F9FC">
            <w:pPr>
              <w:rPr>
                <w:rFonts w:ascii="Arial" w:hAnsi="Arial" w:cs="Arial"/>
                <w:sz w:val="20"/>
                <w:szCs w:val="20"/>
              </w:rPr>
            </w:pPr>
          </w:p>
        </w:tc>
        <w:tc>
          <w:tcPr>
            <w:tcW w:w="2720" w:type="pct"/>
            <w:shd w:val="clear" w:color="auto" w:fill="auto"/>
          </w:tcPr>
          <w:p w14:paraId="100118E8">
            <w:pPr>
              <w:rPr>
                <w:rFonts w:ascii="Arial" w:hAnsi="Arial" w:cs="Arial"/>
                <w:color w:val="000000"/>
                <w:sz w:val="20"/>
                <w:szCs w:val="20"/>
              </w:rPr>
            </w:pPr>
            <w:r>
              <w:rPr>
                <w:rFonts w:ascii="Arial" w:hAnsi="Arial" w:cs="Arial"/>
                <w:sz w:val="20"/>
                <w:szCs w:val="20"/>
              </w:rPr>
              <w:t>《职业健康安全管理体系要求及使用指南》（2018.3）</w:t>
            </w:r>
          </w:p>
        </w:tc>
        <w:tc>
          <w:tcPr>
            <w:tcW w:w="1168" w:type="pct"/>
            <w:vMerge w:val="continue"/>
          </w:tcPr>
          <w:p w14:paraId="15254663">
            <w:pPr>
              <w:rPr>
                <w:rFonts w:ascii="Arial" w:hAnsi="Arial" w:cs="Arial"/>
                <w:sz w:val="20"/>
                <w:szCs w:val="20"/>
              </w:rPr>
            </w:pPr>
          </w:p>
        </w:tc>
      </w:tr>
      <w:tr w14:paraId="0D87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718312C">
            <w:pPr>
              <w:rPr>
                <w:rFonts w:ascii="Arial" w:hAnsi="Arial" w:cs="Arial"/>
                <w:sz w:val="20"/>
                <w:szCs w:val="20"/>
              </w:rPr>
            </w:pPr>
          </w:p>
        </w:tc>
        <w:tc>
          <w:tcPr>
            <w:tcW w:w="528" w:type="pct"/>
            <w:vMerge w:val="continue"/>
          </w:tcPr>
          <w:p w14:paraId="262357A0">
            <w:pPr>
              <w:rPr>
                <w:rFonts w:ascii="Arial" w:hAnsi="Arial" w:cs="Arial"/>
                <w:sz w:val="20"/>
                <w:szCs w:val="20"/>
              </w:rPr>
            </w:pPr>
          </w:p>
        </w:tc>
        <w:tc>
          <w:tcPr>
            <w:tcW w:w="2720" w:type="pct"/>
            <w:shd w:val="clear" w:color="auto" w:fill="auto"/>
          </w:tcPr>
          <w:p w14:paraId="34E56B85">
            <w:pPr>
              <w:rPr>
                <w:rFonts w:ascii="Arial" w:hAnsi="Arial" w:cs="Arial"/>
                <w:sz w:val="20"/>
                <w:szCs w:val="20"/>
              </w:rPr>
            </w:pPr>
            <w:r>
              <w:rPr>
                <w:rFonts w:hint="eastAsia" w:ascii="Arial" w:hAnsi="Arial" w:cs="Arial"/>
                <w:sz w:val="20"/>
                <w:szCs w:val="20"/>
                <w:lang w:eastAsia="zh-CN"/>
              </w:rPr>
              <w:t>《职业病分类和目录（2013）》</w:t>
            </w:r>
          </w:p>
        </w:tc>
        <w:tc>
          <w:tcPr>
            <w:tcW w:w="1168" w:type="pct"/>
            <w:vMerge w:val="continue"/>
          </w:tcPr>
          <w:p w14:paraId="605A915A">
            <w:pPr>
              <w:rPr>
                <w:rFonts w:ascii="Arial" w:hAnsi="Arial" w:cs="Arial"/>
                <w:sz w:val="20"/>
                <w:szCs w:val="20"/>
              </w:rPr>
            </w:pPr>
          </w:p>
        </w:tc>
      </w:tr>
      <w:tr w14:paraId="0BAF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F37F51A">
            <w:pPr>
              <w:rPr>
                <w:rFonts w:ascii="Arial" w:hAnsi="Arial" w:cs="Arial"/>
                <w:sz w:val="20"/>
                <w:szCs w:val="20"/>
              </w:rPr>
            </w:pPr>
          </w:p>
        </w:tc>
        <w:tc>
          <w:tcPr>
            <w:tcW w:w="528" w:type="pct"/>
            <w:vMerge w:val="continue"/>
          </w:tcPr>
          <w:p w14:paraId="70C29460">
            <w:pPr>
              <w:rPr>
                <w:rFonts w:ascii="Arial" w:hAnsi="Arial" w:cs="Arial"/>
                <w:sz w:val="20"/>
                <w:szCs w:val="20"/>
              </w:rPr>
            </w:pPr>
          </w:p>
        </w:tc>
        <w:tc>
          <w:tcPr>
            <w:tcW w:w="2720" w:type="pct"/>
            <w:shd w:val="clear" w:color="auto" w:fill="auto"/>
          </w:tcPr>
          <w:p w14:paraId="73C30DF9">
            <w:pPr>
              <w:rPr>
                <w:rFonts w:ascii="Arial" w:hAnsi="Arial" w:cs="Arial"/>
                <w:sz w:val="20"/>
                <w:szCs w:val="20"/>
              </w:rPr>
            </w:pPr>
            <w:r>
              <w:rPr>
                <w:rFonts w:ascii="Arial" w:hAnsi="Arial" w:cs="Arial"/>
                <w:sz w:val="20"/>
                <w:szCs w:val="20"/>
              </w:rPr>
              <w:t>《建设项目职业病危害风险分类管理目录》（2021.3.12）</w:t>
            </w:r>
          </w:p>
        </w:tc>
        <w:tc>
          <w:tcPr>
            <w:tcW w:w="1168" w:type="pct"/>
            <w:vMerge w:val="continue"/>
          </w:tcPr>
          <w:p w14:paraId="1CFC0744">
            <w:pPr>
              <w:rPr>
                <w:rFonts w:ascii="Arial" w:hAnsi="Arial" w:cs="Arial"/>
                <w:sz w:val="20"/>
                <w:szCs w:val="20"/>
              </w:rPr>
            </w:pPr>
          </w:p>
        </w:tc>
      </w:tr>
      <w:tr w14:paraId="5EE4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4268AEF">
            <w:pPr>
              <w:rPr>
                <w:rFonts w:ascii="Arial" w:hAnsi="Arial" w:cs="Arial"/>
                <w:sz w:val="20"/>
                <w:szCs w:val="20"/>
              </w:rPr>
            </w:pPr>
          </w:p>
        </w:tc>
        <w:tc>
          <w:tcPr>
            <w:tcW w:w="528" w:type="pct"/>
            <w:vMerge w:val="continue"/>
          </w:tcPr>
          <w:p w14:paraId="35ACD74E">
            <w:pPr>
              <w:rPr>
                <w:rFonts w:ascii="Arial" w:hAnsi="Arial" w:cs="Arial"/>
                <w:sz w:val="20"/>
                <w:szCs w:val="20"/>
              </w:rPr>
            </w:pPr>
          </w:p>
        </w:tc>
        <w:tc>
          <w:tcPr>
            <w:tcW w:w="2720" w:type="pct"/>
            <w:shd w:val="clear" w:color="auto" w:fill="auto"/>
          </w:tcPr>
          <w:p w14:paraId="42CC9511">
            <w:pPr>
              <w:rPr>
                <w:rFonts w:hint="eastAsia" w:ascii="Arial" w:hAnsi="Arial" w:eastAsia="宋体" w:cs="Arial"/>
                <w:sz w:val="20"/>
                <w:szCs w:val="20"/>
                <w:lang w:eastAsia="zh-CN"/>
              </w:rPr>
            </w:pPr>
            <w:r>
              <w:rPr>
                <w:rFonts w:ascii="Arial" w:hAnsi="Arial" w:cs="Arial"/>
                <w:sz w:val="20"/>
                <w:szCs w:val="20"/>
              </w:rPr>
              <w:t>《女职工劳动保护特别规定》（国务院令第619号）</w:t>
            </w:r>
            <w:r>
              <w:rPr>
                <w:rFonts w:hint="eastAsia" w:ascii="Arial" w:hAnsi="Arial" w:cs="Arial"/>
                <w:sz w:val="20"/>
                <w:szCs w:val="20"/>
                <w:lang w:eastAsia="zh-CN"/>
              </w:rPr>
              <w:t>（</w:t>
            </w:r>
            <w:r>
              <w:rPr>
                <w:rFonts w:ascii="Arial" w:hAnsi="Arial" w:cs="Arial"/>
                <w:sz w:val="20"/>
                <w:szCs w:val="20"/>
              </w:rPr>
              <w:t>2012.5</w:t>
            </w:r>
            <w:r>
              <w:rPr>
                <w:rFonts w:hint="eastAsia" w:ascii="Arial" w:hAnsi="Arial" w:cs="Arial"/>
                <w:sz w:val="20"/>
                <w:szCs w:val="20"/>
                <w:lang w:eastAsia="zh-CN"/>
              </w:rPr>
              <w:t>）</w:t>
            </w:r>
          </w:p>
        </w:tc>
        <w:tc>
          <w:tcPr>
            <w:tcW w:w="1168" w:type="pct"/>
            <w:vMerge w:val="continue"/>
          </w:tcPr>
          <w:p w14:paraId="3D7F7CD3">
            <w:pPr>
              <w:rPr>
                <w:rFonts w:ascii="Arial" w:hAnsi="Arial" w:cs="Arial"/>
                <w:sz w:val="20"/>
                <w:szCs w:val="20"/>
              </w:rPr>
            </w:pPr>
          </w:p>
        </w:tc>
      </w:tr>
      <w:tr w14:paraId="3F30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03741E3">
            <w:pPr>
              <w:rPr>
                <w:rFonts w:ascii="Arial" w:hAnsi="Arial" w:cs="Arial"/>
                <w:sz w:val="20"/>
                <w:szCs w:val="20"/>
              </w:rPr>
            </w:pPr>
          </w:p>
        </w:tc>
        <w:tc>
          <w:tcPr>
            <w:tcW w:w="528" w:type="pct"/>
            <w:vMerge w:val="continue"/>
          </w:tcPr>
          <w:p w14:paraId="62E7631A">
            <w:pPr>
              <w:rPr>
                <w:rFonts w:ascii="Arial" w:hAnsi="Arial" w:cs="Arial"/>
                <w:sz w:val="20"/>
                <w:szCs w:val="20"/>
              </w:rPr>
            </w:pPr>
          </w:p>
        </w:tc>
        <w:tc>
          <w:tcPr>
            <w:tcW w:w="2720" w:type="pct"/>
            <w:shd w:val="clear" w:color="auto" w:fill="auto"/>
          </w:tcPr>
          <w:p w14:paraId="61D1BAC8">
            <w:pPr>
              <w:rPr>
                <w:rFonts w:ascii="Arial" w:hAnsi="Arial" w:cs="Arial"/>
                <w:sz w:val="20"/>
                <w:szCs w:val="20"/>
              </w:rPr>
            </w:pPr>
            <w:r>
              <w:rPr>
                <w:rFonts w:ascii="Arial" w:hAnsi="Arial" w:cs="Arial"/>
                <w:sz w:val="20"/>
                <w:szCs w:val="20"/>
              </w:rPr>
              <w:t>《关于印发国家职业病防治规划（2021</w:t>
            </w:r>
            <w:r>
              <w:rPr>
                <w:rFonts w:hint="eastAsia" w:ascii="Arial" w:hAnsi="Arial" w:cs="Arial"/>
                <w:sz w:val="20"/>
                <w:szCs w:val="20"/>
                <w:lang w:eastAsia="zh-CN"/>
              </w:rPr>
              <w:t>—</w:t>
            </w:r>
            <w:r>
              <w:rPr>
                <w:rFonts w:ascii="Arial" w:hAnsi="Arial" w:cs="Arial"/>
                <w:sz w:val="20"/>
                <w:szCs w:val="20"/>
              </w:rPr>
              <w:t>2025年）的通知》（国卫职健发〔2021〕39号）</w:t>
            </w:r>
          </w:p>
        </w:tc>
        <w:tc>
          <w:tcPr>
            <w:tcW w:w="1168" w:type="pct"/>
            <w:vMerge w:val="continue"/>
          </w:tcPr>
          <w:p w14:paraId="45F766D1">
            <w:pPr>
              <w:rPr>
                <w:rFonts w:ascii="Arial" w:hAnsi="Arial" w:cs="Arial"/>
                <w:sz w:val="20"/>
                <w:szCs w:val="20"/>
              </w:rPr>
            </w:pPr>
          </w:p>
        </w:tc>
      </w:tr>
      <w:tr w14:paraId="5421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A8C0A33">
            <w:pPr>
              <w:rPr>
                <w:rFonts w:ascii="Arial" w:hAnsi="Arial" w:cs="Arial"/>
                <w:sz w:val="20"/>
                <w:szCs w:val="20"/>
              </w:rPr>
            </w:pPr>
          </w:p>
        </w:tc>
        <w:tc>
          <w:tcPr>
            <w:tcW w:w="528" w:type="pct"/>
            <w:vMerge w:val="continue"/>
          </w:tcPr>
          <w:p w14:paraId="2970205E">
            <w:pPr>
              <w:rPr>
                <w:rFonts w:ascii="Arial" w:hAnsi="Arial" w:cs="Arial"/>
                <w:sz w:val="20"/>
                <w:szCs w:val="20"/>
              </w:rPr>
            </w:pPr>
          </w:p>
        </w:tc>
        <w:tc>
          <w:tcPr>
            <w:tcW w:w="2720" w:type="pct"/>
            <w:shd w:val="clear" w:color="auto" w:fill="auto"/>
          </w:tcPr>
          <w:p w14:paraId="4D9687D2">
            <w:pPr>
              <w:rPr>
                <w:rFonts w:ascii="Arial" w:hAnsi="Arial" w:cs="Arial"/>
                <w:sz w:val="20"/>
                <w:szCs w:val="20"/>
              </w:rPr>
            </w:pPr>
            <w:r>
              <w:rPr>
                <w:rFonts w:ascii="Arial" w:hAnsi="Arial" w:cs="Arial"/>
                <w:sz w:val="20"/>
                <w:szCs w:val="20"/>
              </w:rPr>
              <w:t>《工伤保险条例》（2010.12.20）</w:t>
            </w:r>
          </w:p>
        </w:tc>
        <w:tc>
          <w:tcPr>
            <w:tcW w:w="1168" w:type="pct"/>
            <w:vMerge w:val="continue"/>
          </w:tcPr>
          <w:p w14:paraId="22E55CAE">
            <w:pPr>
              <w:rPr>
                <w:rFonts w:ascii="Arial" w:hAnsi="Arial" w:cs="Arial"/>
                <w:sz w:val="20"/>
                <w:szCs w:val="20"/>
              </w:rPr>
            </w:pPr>
          </w:p>
        </w:tc>
      </w:tr>
      <w:tr w14:paraId="3B8F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CA48D71">
            <w:pPr>
              <w:rPr>
                <w:rFonts w:ascii="Arial" w:hAnsi="Arial" w:cs="Arial"/>
                <w:sz w:val="20"/>
                <w:szCs w:val="20"/>
              </w:rPr>
            </w:pPr>
          </w:p>
        </w:tc>
        <w:tc>
          <w:tcPr>
            <w:tcW w:w="528" w:type="pct"/>
            <w:vMerge w:val="continue"/>
          </w:tcPr>
          <w:p w14:paraId="6FD2F407">
            <w:pPr>
              <w:rPr>
                <w:rFonts w:ascii="Arial" w:hAnsi="Arial" w:cs="Arial"/>
                <w:sz w:val="20"/>
                <w:szCs w:val="20"/>
              </w:rPr>
            </w:pPr>
          </w:p>
        </w:tc>
        <w:tc>
          <w:tcPr>
            <w:tcW w:w="2720" w:type="pct"/>
            <w:shd w:val="clear" w:color="auto" w:fill="auto"/>
          </w:tcPr>
          <w:p w14:paraId="0AE8916E">
            <w:pPr>
              <w:rPr>
                <w:rFonts w:ascii="Arial" w:hAnsi="Arial" w:cs="Arial"/>
                <w:sz w:val="20"/>
                <w:szCs w:val="20"/>
              </w:rPr>
            </w:pPr>
            <w:r>
              <w:rPr>
                <w:rFonts w:ascii="Arial" w:hAnsi="Arial" w:cs="Arial"/>
                <w:sz w:val="20"/>
                <w:szCs w:val="20"/>
              </w:rPr>
              <w:t>《湖北省女职工劳动保护规定》（2009.2.5）</w:t>
            </w:r>
          </w:p>
        </w:tc>
        <w:tc>
          <w:tcPr>
            <w:tcW w:w="1168" w:type="pct"/>
            <w:vMerge w:val="continue"/>
          </w:tcPr>
          <w:p w14:paraId="171FD732">
            <w:pPr>
              <w:rPr>
                <w:rFonts w:ascii="Arial" w:hAnsi="Arial" w:cs="Arial"/>
                <w:sz w:val="20"/>
                <w:szCs w:val="20"/>
              </w:rPr>
            </w:pPr>
          </w:p>
        </w:tc>
      </w:tr>
      <w:tr w14:paraId="6F8E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3E65C78">
            <w:pPr>
              <w:rPr>
                <w:rFonts w:ascii="Arial" w:hAnsi="Arial" w:cs="Arial"/>
                <w:sz w:val="20"/>
                <w:szCs w:val="20"/>
              </w:rPr>
            </w:pPr>
          </w:p>
        </w:tc>
        <w:tc>
          <w:tcPr>
            <w:tcW w:w="528" w:type="pct"/>
            <w:vMerge w:val="continue"/>
          </w:tcPr>
          <w:p w14:paraId="37761B98">
            <w:pPr>
              <w:rPr>
                <w:rFonts w:ascii="Arial" w:hAnsi="Arial" w:cs="Arial"/>
                <w:sz w:val="20"/>
                <w:szCs w:val="20"/>
              </w:rPr>
            </w:pPr>
          </w:p>
        </w:tc>
        <w:tc>
          <w:tcPr>
            <w:tcW w:w="2720" w:type="pct"/>
            <w:shd w:val="clear" w:color="auto" w:fill="auto"/>
          </w:tcPr>
          <w:p w14:paraId="490D724E">
            <w:pPr>
              <w:rPr>
                <w:rFonts w:ascii="Arial" w:hAnsi="Arial" w:cs="Arial"/>
                <w:sz w:val="20"/>
                <w:szCs w:val="20"/>
              </w:rPr>
            </w:pPr>
            <w:r>
              <w:rPr>
                <w:rFonts w:ascii="Arial" w:hAnsi="Arial" w:cs="Arial"/>
                <w:sz w:val="20"/>
                <w:szCs w:val="20"/>
              </w:rPr>
              <w:t>《湖北省“十四五”职业病防治规划》（鄂卫通〔2022〕8号）</w:t>
            </w:r>
          </w:p>
        </w:tc>
        <w:tc>
          <w:tcPr>
            <w:tcW w:w="1168" w:type="pct"/>
            <w:vMerge w:val="continue"/>
          </w:tcPr>
          <w:p w14:paraId="23E6FD3E">
            <w:pPr>
              <w:rPr>
                <w:rFonts w:ascii="Arial" w:hAnsi="Arial" w:cs="Arial"/>
                <w:sz w:val="20"/>
                <w:szCs w:val="20"/>
              </w:rPr>
            </w:pPr>
          </w:p>
        </w:tc>
      </w:tr>
      <w:tr w14:paraId="3E8D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64A89FA">
            <w:pPr>
              <w:rPr>
                <w:rFonts w:ascii="Arial" w:hAnsi="Arial" w:cs="Arial"/>
                <w:sz w:val="20"/>
                <w:szCs w:val="20"/>
              </w:rPr>
            </w:pPr>
          </w:p>
        </w:tc>
        <w:tc>
          <w:tcPr>
            <w:tcW w:w="528" w:type="pct"/>
            <w:vMerge w:val="continue"/>
          </w:tcPr>
          <w:p w14:paraId="649C1129">
            <w:pPr>
              <w:rPr>
                <w:rFonts w:ascii="Arial" w:hAnsi="Arial" w:cs="Arial"/>
                <w:sz w:val="20"/>
                <w:szCs w:val="20"/>
              </w:rPr>
            </w:pPr>
          </w:p>
        </w:tc>
        <w:tc>
          <w:tcPr>
            <w:tcW w:w="2720" w:type="pct"/>
            <w:shd w:val="clear" w:color="auto" w:fill="auto"/>
            <w:vAlign w:val="center"/>
          </w:tcPr>
          <w:p w14:paraId="524B4DD3">
            <w:pPr>
              <w:rPr>
                <w:rFonts w:ascii="Arial" w:hAnsi="Arial" w:cs="Arial"/>
                <w:sz w:val="20"/>
                <w:szCs w:val="20"/>
              </w:rPr>
            </w:pPr>
            <w:r>
              <w:rPr>
                <w:rFonts w:ascii="Arial" w:hAnsi="Arial" w:cs="Arial"/>
                <w:sz w:val="20"/>
              </w:rPr>
              <w:t>《湖南省女职工劳动保护条例实施办法》（2020.3.8）</w:t>
            </w:r>
          </w:p>
        </w:tc>
        <w:tc>
          <w:tcPr>
            <w:tcW w:w="1168" w:type="pct"/>
            <w:vMerge w:val="continue"/>
          </w:tcPr>
          <w:p w14:paraId="2DF58220">
            <w:pPr>
              <w:rPr>
                <w:rFonts w:ascii="Arial" w:hAnsi="Arial" w:cs="Arial"/>
                <w:sz w:val="20"/>
                <w:szCs w:val="20"/>
              </w:rPr>
            </w:pPr>
          </w:p>
        </w:tc>
      </w:tr>
      <w:tr w14:paraId="2F76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4668287">
            <w:pPr>
              <w:rPr>
                <w:rFonts w:ascii="Arial" w:hAnsi="Arial" w:cs="Arial"/>
                <w:sz w:val="20"/>
                <w:szCs w:val="20"/>
              </w:rPr>
            </w:pPr>
          </w:p>
        </w:tc>
        <w:tc>
          <w:tcPr>
            <w:tcW w:w="528" w:type="pct"/>
            <w:vMerge w:val="continue"/>
          </w:tcPr>
          <w:p w14:paraId="4BAA7013">
            <w:pPr>
              <w:rPr>
                <w:rFonts w:ascii="Arial" w:hAnsi="Arial" w:cs="Arial"/>
                <w:sz w:val="20"/>
                <w:szCs w:val="20"/>
              </w:rPr>
            </w:pPr>
          </w:p>
        </w:tc>
        <w:tc>
          <w:tcPr>
            <w:tcW w:w="2720" w:type="pct"/>
            <w:shd w:val="clear" w:color="auto" w:fill="auto"/>
          </w:tcPr>
          <w:p w14:paraId="649A6C7B">
            <w:pPr>
              <w:rPr>
                <w:rFonts w:ascii="Arial" w:hAnsi="Arial" w:cs="Arial"/>
                <w:sz w:val="20"/>
                <w:szCs w:val="20"/>
              </w:rPr>
            </w:pPr>
            <w:r>
              <w:rPr>
                <w:rFonts w:hint="eastAsia" w:ascii="Arial" w:hAnsi="Arial" w:cs="Arial"/>
                <w:sz w:val="20"/>
                <w:szCs w:val="20"/>
                <w:lang w:eastAsia="zh-CN"/>
              </w:rPr>
              <w:t>《中华人民共和国传染病防治法》</w:t>
            </w:r>
            <w:r>
              <w:rPr>
                <w:rFonts w:ascii="Arial" w:hAnsi="Arial" w:cs="Arial"/>
                <w:sz w:val="20"/>
                <w:szCs w:val="20"/>
              </w:rPr>
              <w:t>（2020）</w:t>
            </w:r>
          </w:p>
        </w:tc>
        <w:tc>
          <w:tcPr>
            <w:tcW w:w="1168" w:type="pct"/>
            <w:vMerge w:val="continue"/>
          </w:tcPr>
          <w:p w14:paraId="134093E3">
            <w:pPr>
              <w:rPr>
                <w:rFonts w:ascii="Arial" w:hAnsi="Arial" w:cs="Arial"/>
                <w:sz w:val="20"/>
                <w:szCs w:val="20"/>
              </w:rPr>
            </w:pPr>
          </w:p>
        </w:tc>
      </w:tr>
      <w:tr w14:paraId="2A08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1B053AB">
            <w:pPr>
              <w:rPr>
                <w:rFonts w:ascii="Arial" w:hAnsi="Arial" w:cs="Arial"/>
                <w:sz w:val="20"/>
                <w:szCs w:val="20"/>
              </w:rPr>
            </w:pPr>
          </w:p>
        </w:tc>
        <w:tc>
          <w:tcPr>
            <w:tcW w:w="528" w:type="pct"/>
            <w:vMerge w:val="continue"/>
          </w:tcPr>
          <w:p w14:paraId="4486BBC9">
            <w:pPr>
              <w:rPr>
                <w:rFonts w:ascii="Arial" w:hAnsi="Arial" w:cs="Arial"/>
                <w:sz w:val="20"/>
                <w:szCs w:val="20"/>
              </w:rPr>
            </w:pPr>
          </w:p>
        </w:tc>
        <w:tc>
          <w:tcPr>
            <w:tcW w:w="2720" w:type="pct"/>
            <w:shd w:val="clear" w:color="auto" w:fill="auto"/>
          </w:tcPr>
          <w:p w14:paraId="7FDEE0BD">
            <w:pPr>
              <w:rPr>
                <w:rFonts w:ascii="Arial" w:hAnsi="Arial" w:cs="Arial"/>
                <w:color w:val="000000"/>
                <w:sz w:val="20"/>
                <w:szCs w:val="20"/>
              </w:rPr>
            </w:pPr>
            <w:r>
              <w:rPr>
                <w:rFonts w:ascii="Arial" w:hAnsi="Arial" w:cs="Arial"/>
                <w:color w:val="000000"/>
                <w:sz w:val="20"/>
                <w:szCs w:val="20"/>
              </w:rPr>
              <w:t>《中华人民共和国突发事件应对法》（2007.11.1）</w:t>
            </w:r>
          </w:p>
        </w:tc>
        <w:tc>
          <w:tcPr>
            <w:tcW w:w="1168" w:type="pct"/>
            <w:vMerge w:val="continue"/>
          </w:tcPr>
          <w:p w14:paraId="2460A0E2">
            <w:pPr>
              <w:rPr>
                <w:rFonts w:ascii="Arial" w:hAnsi="Arial" w:cs="Arial"/>
                <w:color w:val="000000"/>
                <w:sz w:val="20"/>
                <w:szCs w:val="20"/>
              </w:rPr>
            </w:pPr>
          </w:p>
        </w:tc>
      </w:tr>
      <w:tr w14:paraId="385B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BB0BF82">
            <w:pPr>
              <w:rPr>
                <w:rFonts w:ascii="Arial" w:hAnsi="Arial" w:cs="Arial"/>
                <w:sz w:val="20"/>
                <w:szCs w:val="20"/>
              </w:rPr>
            </w:pPr>
          </w:p>
        </w:tc>
        <w:tc>
          <w:tcPr>
            <w:tcW w:w="528" w:type="pct"/>
            <w:vMerge w:val="continue"/>
          </w:tcPr>
          <w:p w14:paraId="36AF9B25">
            <w:pPr>
              <w:rPr>
                <w:rFonts w:ascii="Arial" w:hAnsi="Arial" w:cs="Arial"/>
                <w:sz w:val="20"/>
                <w:szCs w:val="20"/>
              </w:rPr>
            </w:pPr>
          </w:p>
        </w:tc>
        <w:tc>
          <w:tcPr>
            <w:tcW w:w="2720" w:type="pct"/>
            <w:shd w:val="clear" w:color="auto" w:fill="auto"/>
          </w:tcPr>
          <w:p w14:paraId="09DFA7C5">
            <w:pPr>
              <w:rPr>
                <w:rFonts w:ascii="Arial" w:hAnsi="Arial" w:cs="Arial"/>
                <w:color w:val="000000"/>
                <w:sz w:val="20"/>
                <w:szCs w:val="20"/>
              </w:rPr>
            </w:pPr>
            <w:r>
              <w:rPr>
                <w:rFonts w:ascii="Arial" w:hAnsi="Arial" w:cs="Arial"/>
                <w:sz w:val="20"/>
                <w:szCs w:val="20"/>
              </w:rPr>
              <w:t>《地质灾害防治条例》（2004.3.1）</w:t>
            </w:r>
          </w:p>
        </w:tc>
        <w:tc>
          <w:tcPr>
            <w:tcW w:w="1168" w:type="pct"/>
            <w:vMerge w:val="continue"/>
          </w:tcPr>
          <w:p w14:paraId="6433F56C">
            <w:pPr>
              <w:rPr>
                <w:rFonts w:ascii="Arial" w:hAnsi="Arial" w:cs="Arial"/>
                <w:sz w:val="20"/>
                <w:szCs w:val="20"/>
              </w:rPr>
            </w:pPr>
          </w:p>
        </w:tc>
      </w:tr>
      <w:tr w14:paraId="66B2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CF3AF26">
            <w:pPr>
              <w:rPr>
                <w:rFonts w:ascii="Arial" w:hAnsi="Arial" w:cs="Arial"/>
                <w:sz w:val="20"/>
                <w:szCs w:val="20"/>
              </w:rPr>
            </w:pPr>
          </w:p>
        </w:tc>
        <w:tc>
          <w:tcPr>
            <w:tcW w:w="528" w:type="pct"/>
            <w:vMerge w:val="continue"/>
          </w:tcPr>
          <w:p w14:paraId="4B92F6DB">
            <w:pPr>
              <w:rPr>
                <w:rFonts w:ascii="Arial" w:hAnsi="Arial" w:cs="Arial"/>
                <w:sz w:val="20"/>
                <w:szCs w:val="20"/>
              </w:rPr>
            </w:pPr>
          </w:p>
        </w:tc>
        <w:tc>
          <w:tcPr>
            <w:tcW w:w="2720" w:type="pct"/>
            <w:shd w:val="clear" w:color="auto" w:fill="auto"/>
          </w:tcPr>
          <w:p w14:paraId="60151649">
            <w:pPr>
              <w:rPr>
                <w:rFonts w:ascii="Arial" w:hAnsi="Arial" w:cs="Arial"/>
                <w:sz w:val="20"/>
                <w:szCs w:val="20"/>
              </w:rPr>
            </w:pPr>
            <w:r>
              <w:rPr>
                <w:rFonts w:ascii="Arial" w:hAnsi="Arial" w:cs="Arial"/>
                <w:sz w:val="20"/>
                <w:szCs w:val="20"/>
              </w:rPr>
              <w:t>《</w:t>
            </w:r>
            <w:r>
              <w:rPr>
                <w:rFonts w:hint="eastAsia" w:ascii="Arial" w:hAnsi="Arial" w:cs="Arial"/>
                <w:sz w:val="20"/>
                <w:szCs w:val="20"/>
                <w:lang w:eastAsia="zh-CN"/>
              </w:rPr>
              <w:t>气象灾害防御条例</w:t>
            </w:r>
            <w:r>
              <w:rPr>
                <w:rFonts w:ascii="Arial" w:hAnsi="Arial" w:cs="Arial"/>
                <w:sz w:val="20"/>
                <w:szCs w:val="20"/>
              </w:rPr>
              <w:t>》（2010.4.1）</w:t>
            </w:r>
          </w:p>
        </w:tc>
        <w:tc>
          <w:tcPr>
            <w:tcW w:w="1168" w:type="pct"/>
            <w:vMerge w:val="continue"/>
          </w:tcPr>
          <w:p w14:paraId="2404C97C">
            <w:pPr>
              <w:rPr>
                <w:rFonts w:ascii="Arial" w:hAnsi="Arial" w:cs="Arial"/>
                <w:sz w:val="20"/>
                <w:szCs w:val="20"/>
              </w:rPr>
            </w:pPr>
          </w:p>
        </w:tc>
      </w:tr>
      <w:tr w14:paraId="311E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445FD77">
            <w:pPr>
              <w:rPr>
                <w:rFonts w:ascii="Arial" w:hAnsi="Arial" w:cs="Arial"/>
                <w:sz w:val="20"/>
                <w:szCs w:val="20"/>
              </w:rPr>
            </w:pPr>
          </w:p>
        </w:tc>
        <w:tc>
          <w:tcPr>
            <w:tcW w:w="528" w:type="pct"/>
            <w:vMerge w:val="continue"/>
          </w:tcPr>
          <w:p w14:paraId="6C19B870">
            <w:pPr>
              <w:rPr>
                <w:rFonts w:ascii="Arial" w:hAnsi="Arial" w:cs="Arial"/>
                <w:sz w:val="20"/>
                <w:szCs w:val="20"/>
              </w:rPr>
            </w:pPr>
          </w:p>
        </w:tc>
        <w:tc>
          <w:tcPr>
            <w:tcW w:w="2720" w:type="pct"/>
            <w:shd w:val="clear" w:color="auto" w:fill="auto"/>
          </w:tcPr>
          <w:p w14:paraId="31C58458">
            <w:pPr>
              <w:rPr>
                <w:rFonts w:ascii="Arial" w:hAnsi="Arial" w:cs="Arial"/>
                <w:sz w:val="20"/>
                <w:szCs w:val="20"/>
              </w:rPr>
            </w:pPr>
            <w:r>
              <w:rPr>
                <w:rFonts w:ascii="Arial" w:hAnsi="Arial" w:cs="Arial"/>
                <w:sz w:val="20"/>
                <w:szCs w:val="20"/>
              </w:rPr>
              <w:t>《中华人民共和国防汛条例》（2005.7.15）</w:t>
            </w:r>
          </w:p>
        </w:tc>
        <w:tc>
          <w:tcPr>
            <w:tcW w:w="1168" w:type="pct"/>
            <w:vMerge w:val="continue"/>
          </w:tcPr>
          <w:p w14:paraId="0172EDED">
            <w:pPr>
              <w:rPr>
                <w:rFonts w:ascii="Arial" w:hAnsi="Arial" w:cs="Arial"/>
                <w:sz w:val="20"/>
                <w:szCs w:val="20"/>
              </w:rPr>
            </w:pPr>
          </w:p>
        </w:tc>
      </w:tr>
      <w:tr w14:paraId="1307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4A0F694">
            <w:pPr>
              <w:rPr>
                <w:rFonts w:ascii="Arial" w:hAnsi="Arial" w:cs="Arial"/>
                <w:sz w:val="20"/>
                <w:szCs w:val="20"/>
              </w:rPr>
            </w:pPr>
          </w:p>
        </w:tc>
        <w:tc>
          <w:tcPr>
            <w:tcW w:w="528" w:type="pct"/>
            <w:vMerge w:val="continue"/>
          </w:tcPr>
          <w:p w14:paraId="5E208928">
            <w:pPr>
              <w:rPr>
                <w:rFonts w:ascii="Arial" w:hAnsi="Arial" w:cs="Arial"/>
                <w:sz w:val="20"/>
                <w:szCs w:val="20"/>
              </w:rPr>
            </w:pPr>
          </w:p>
        </w:tc>
        <w:tc>
          <w:tcPr>
            <w:tcW w:w="2720" w:type="pct"/>
            <w:shd w:val="clear" w:color="auto" w:fill="auto"/>
          </w:tcPr>
          <w:p w14:paraId="213AAFA8">
            <w:pPr>
              <w:rPr>
                <w:rFonts w:ascii="Arial" w:hAnsi="Arial" w:cs="Arial"/>
                <w:sz w:val="20"/>
                <w:szCs w:val="20"/>
              </w:rPr>
            </w:pPr>
            <w:r>
              <w:rPr>
                <w:rFonts w:ascii="Arial" w:hAnsi="Arial" w:cs="Arial"/>
                <w:sz w:val="20"/>
                <w:szCs w:val="20"/>
              </w:rPr>
              <w:t>《</w:t>
            </w:r>
            <w:r>
              <w:rPr>
                <w:rFonts w:hint="eastAsia" w:ascii="Arial" w:hAnsi="Arial" w:cs="Arial"/>
                <w:sz w:val="20"/>
                <w:szCs w:val="20"/>
                <w:lang w:eastAsia="zh-CN"/>
              </w:rPr>
              <w:t>中华人民共和国防震减灾法</w:t>
            </w:r>
            <w:r>
              <w:rPr>
                <w:rFonts w:ascii="Arial" w:hAnsi="Arial" w:cs="Arial"/>
                <w:sz w:val="20"/>
                <w:szCs w:val="20"/>
              </w:rPr>
              <w:t>》（2009.5.1）</w:t>
            </w:r>
          </w:p>
        </w:tc>
        <w:tc>
          <w:tcPr>
            <w:tcW w:w="1168" w:type="pct"/>
            <w:vMerge w:val="continue"/>
          </w:tcPr>
          <w:p w14:paraId="637177A0">
            <w:pPr>
              <w:rPr>
                <w:rFonts w:ascii="Arial" w:hAnsi="Arial" w:cs="Arial"/>
                <w:sz w:val="20"/>
                <w:szCs w:val="20"/>
              </w:rPr>
            </w:pPr>
          </w:p>
        </w:tc>
      </w:tr>
      <w:tr w14:paraId="25E1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restart"/>
          </w:tcPr>
          <w:p w14:paraId="154DF7EF">
            <w:pPr>
              <w:rPr>
                <w:rFonts w:ascii="Arial" w:hAnsi="Arial" w:cs="Arial"/>
                <w:sz w:val="20"/>
                <w:szCs w:val="20"/>
              </w:rPr>
            </w:pPr>
            <w:r>
              <w:rPr>
                <w:rFonts w:ascii="Arial" w:hAnsi="Arial" w:cs="Arial"/>
                <w:sz w:val="20"/>
                <w:szCs w:val="20"/>
              </w:rPr>
              <w:t>征地、移民和土地使用限制</w:t>
            </w:r>
          </w:p>
          <w:p w14:paraId="6B2D484A">
            <w:pPr>
              <w:rPr>
                <w:rFonts w:ascii="Arial" w:hAnsi="Arial" w:cs="Arial"/>
                <w:sz w:val="20"/>
                <w:szCs w:val="20"/>
              </w:rPr>
            </w:pPr>
          </w:p>
        </w:tc>
        <w:tc>
          <w:tcPr>
            <w:tcW w:w="528" w:type="pct"/>
            <w:vMerge w:val="restart"/>
          </w:tcPr>
          <w:p w14:paraId="433B2F20">
            <w:pPr>
              <w:rPr>
                <w:rFonts w:ascii="Arial" w:hAnsi="Arial" w:cs="Arial"/>
                <w:sz w:val="20"/>
                <w:szCs w:val="20"/>
              </w:rPr>
            </w:pPr>
            <w:r>
              <w:rPr>
                <w:rFonts w:ascii="Arial" w:hAnsi="Arial" w:cs="Arial"/>
                <w:b/>
                <w:bCs/>
                <w:sz w:val="20"/>
                <w:szCs w:val="20"/>
              </w:rPr>
              <w:t>原则4：</w:t>
            </w:r>
            <w:r>
              <w:rPr>
                <w:rFonts w:ascii="Arial" w:hAnsi="Arial" w:cs="Arial"/>
                <w:sz w:val="20"/>
                <w:szCs w:val="20"/>
              </w:rPr>
              <w:t>土地征用，生计恢复和受影响人（PAP）参与</w:t>
            </w:r>
          </w:p>
        </w:tc>
        <w:tc>
          <w:tcPr>
            <w:tcW w:w="2720" w:type="pct"/>
          </w:tcPr>
          <w:p w14:paraId="508BBC5C">
            <w:pPr>
              <w:rPr>
                <w:rFonts w:hint="eastAsia" w:ascii="Arial" w:hAnsi="Arial" w:eastAsia="宋体" w:cs="Arial"/>
                <w:sz w:val="20"/>
                <w:szCs w:val="20"/>
                <w:lang w:eastAsia="zh-CN"/>
              </w:rPr>
            </w:pPr>
            <w:r>
              <w:rPr>
                <w:rFonts w:ascii="Arial" w:hAnsi="Arial" w:cs="Arial"/>
                <w:sz w:val="20"/>
                <w:szCs w:val="20"/>
              </w:rPr>
              <w:t>《建设项目用地预审管理办法》</w:t>
            </w:r>
            <w:r>
              <w:rPr>
                <w:rFonts w:hint="eastAsia" w:ascii="Arial" w:hAnsi="Arial" w:cs="Arial"/>
                <w:sz w:val="20"/>
                <w:szCs w:val="20"/>
                <w:lang w:eastAsia="zh-CN"/>
              </w:rPr>
              <w:t>（</w:t>
            </w:r>
            <w:r>
              <w:rPr>
                <w:rFonts w:ascii="Arial" w:hAnsi="Arial" w:cs="Arial"/>
                <w:sz w:val="20"/>
                <w:szCs w:val="20"/>
              </w:rPr>
              <w:t>2017</w:t>
            </w:r>
            <w:r>
              <w:rPr>
                <w:rFonts w:hint="eastAsia" w:ascii="Arial" w:hAnsi="Arial" w:cs="Arial"/>
                <w:sz w:val="20"/>
                <w:szCs w:val="20"/>
                <w:lang w:eastAsia="zh-CN"/>
              </w:rPr>
              <w:t>）</w:t>
            </w:r>
          </w:p>
        </w:tc>
        <w:tc>
          <w:tcPr>
            <w:tcW w:w="1168" w:type="pct"/>
            <w:vMerge w:val="restart"/>
          </w:tcPr>
          <w:p w14:paraId="1BC5F82E">
            <w:pPr>
              <w:rPr>
                <w:rFonts w:ascii="Arial" w:hAnsi="Arial" w:cs="Arial"/>
                <w:b/>
                <w:bCs/>
                <w:sz w:val="20"/>
                <w:szCs w:val="20"/>
                <w:u w:val="single"/>
              </w:rPr>
            </w:pPr>
            <w:r>
              <w:rPr>
                <w:rFonts w:ascii="Arial" w:hAnsi="Arial" w:cs="Arial"/>
                <w:b/>
                <w:bCs/>
                <w:sz w:val="20"/>
                <w:szCs w:val="20"/>
                <w:u w:val="single"/>
              </w:rPr>
              <w:t>征地：</w:t>
            </w:r>
          </w:p>
          <w:p w14:paraId="14CEBFA0">
            <w:pPr>
              <w:rPr>
                <w:rFonts w:ascii="Arial" w:hAnsi="Arial" w:cs="Arial"/>
                <w:sz w:val="20"/>
                <w:szCs w:val="20"/>
                <w:lang w:bidi="en-US"/>
              </w:rPr>
            </w:pPr>
            <w:r>
              <w:rPr>
                <w:rFonts w:ascii="Arial" w:hAnsi="Arial" w:cs="Arial"/>
                <w:b/>
                <w:bCs/>
                <w:sz w:val="20"/>
                <w:szCs w:val="20"/>
                <w:lang w:bidi="en-US"/>
              </w:rPr>
              <w:t>国家：</w:t>
            </w:r>
            <w:r>
              <w:rPr>
                <w:rFonts w:ascii="Arial" w:hAnsi="Arial" w:cs="Arial"/>
                <w:sz w:val="20"/>
                <w:szCs w:val="20"/>
                <w:lang w:bidi="en-US"/>
              </w:rPr>
              <w:t>自然资源部</w:t>
            </w:r>
          </w:p>
          <w:p w14:paraId="5A9A1878">
            <w:pPr>
              <w:rPr>
                <w:rFonts w:ascii="Arial" w:hAnsi="Arial" w:cs="Arial"/>
                <w:sz w:val="20"/>
                <w:szCs w:val="20"/>
              </w:rPr>
            </w:pPr>
            <w:r>
              <w:rPr>
                <w:rFonts w:ascii="Arial" w:hAnsi="Arial" w:cs="Arial"/>
                <w:b/>
                <w:bCs/>
                <w:sz w:val="20"/>
                <w:szCs w:val="20"/>
                <w:lang w:bidi="en-US"/>
              </w:rPr>
              <w:t>湖北、湖南省：</w:t>
            </w:r>
            <w:r>
              <w:rPr>
                <w:rFonts w:ascii="Arial" w:hAnsi="Arial" w:cs="Arial"/>
                <w:sz w:val="20"/>
                <w:szCs w:val="20"/>
                <w:lang w:bidi="en-US"/>
              </w:rPr>
              <w:t>省市县人民政府，各级自然资源主管部门</w:t>
            </w:r>
          </w:p>
          <w:p w14:paraId="64A98809">
            <w:pPr>
              <w:rPr>
                <w:rFonts w:ascii="Arial" w:hAnsi="Arial" w:cs="Arial"/>
                <w:sz w:val="20"/>
                <w:szCs w:val="20"/>
              </w:rPr>
            </w:pPr>
          </w:p>
          <w:p w14:paraId="56D4B64E">
            <w:pPr>
              <w:rPr>
                <w:rFonts w:ascii="Arial" w:hAnsi="Arial" w:cs="Arial"/>
                <w:b/>
                <w:bCs/>
                <w:sz w:val="20"/>
                <w:szCs w:val="20"/>
                <w:u w:val="single"/>
              </w:rPr>
            </w:pPr>
            <w:r>
              <w:rPr>
                <w:rFonts w:ascii="Arial" w:hAnsi="Arial" w:cs="Arial"/>
                <w:b/>
                <w:bCs/>
                <w:sz w:val="20"/>
                <w:szCs w:val="20"/>
                <w:u w:val="single"/>
              </w:rPr>
              <w:t>城镇房屋拆迁：</w:t>
            </w:r>
          </w:p>
          <w:p w14:paraId="3962C3E6">
            <w:pPr>
              <w:rPr>
                <w:rFonts w:ascii="Arial" w:hAnsi="Arial" w:cs="Arial"/>
                <w:sz w:val="20"/>
                <w:szCs w:val="20"/>
              </w:rPr>
            </w:pPr>
            <w:r>
              <w:rPr>
                <w:rFonts w:ascii="Arial" w:hAnsi="Arial" w:cs="Arial"/>
                <w:sz w:val="20"/>
                <w:szCs w:val="20"/>
                <w:lang w:bidi="en-US"/>
              </w:rPr>
              <w:t>市县级人民政府、</w:t>
            </w:r>
            <w:r>
              <w:rPr>
                <w:rFonts w:ascii="Arial" w:hAnsi="Arial" w:cs="Arial"/>
                <w:color w:val="auto"/>
                <w:sz w:val="20"/>
                <w:szCs w:val="20"/>
                <w:u w:val="none"/>
                <w:lang w:bidi="en-US"/>
              </w:rPr>
              <w:t>住建局</w:t>
            </w:r>
            <w:r>
              <w:rPr>
                <w:rFonts w:ascii="Arial" w:hAnsi="Arial" w:cs="Arial"/>
                <w:sz w:val="20"/>
                <w:szCs w:val="20"/>
                <w:lang w:bidi="en-US"/>
              </w:rPr>
              <w:t>、房屋征收实施单位</w:t>
            </w:r>
          </w:p>
          <w:p w14:paraId="1D02282C">
            <w:pPr>
              <w:rPr>
                <w:rFonts w:ascii="Arial" w:hAnsi="Arial" w:cs="Arial"/>
                <w:sz w:val="20"/>
                <w:szCs w:val="20"/>
              </w:rPr>
            </w:pPr>
          </w:p>
          <w:p w14:paraId="76CBDCC0">
            <w:pPr>
              <w:rPr>
                <w:rFonts w:ascii="Arial" w:hAnsi="Arial" w:cs="Arial"/>
                <w:b/>
                <w:bCs/>
                <w:sz w:val="20"/>
                <w:szCs w:val="20"/>
                <w:u w:val="single"/>
              </w:rPr>
            </w:pPr>
            <w:r>
              <w:rPr>
                <w:rFonts w:ascii="Arial" w:hAnsi="Arial" w:cs="Arial"/>
                <w:b/>
                <w:bCs/>
                <w:sz w:val="20"/>
                <w:szCs w:val="20"/>
                <w:u w:val="single"/>
              </w:rPr>
              <w:t>农村房屋拆迁：</w:t>
            </w:r>
          </w:p>
          <w:p w14:paraId="05E09782">
            <w:pPr>
              <w:rPr>
                <w:rFonts w:ascii="Arial" w:hAnsi="Arial" w:cs="Arial"/>
                <w:sz w:val="20"/>
                <w:szCs w:val="20"/>
                <w:lang w:bidi="en-US"/>
              </w:rPr>
            </w:pPr>
            <w:r>
              <w:rPr>
                <w:rFonts w:ascii="Arial" w:hAnsi="Arial" w:cs="Arial"/>
                <w:sz w:val="20"/>
                <w:szCs w:val="20"/>
                <w:lang w:bidi="en-US"/>
              </w:rPr>
              <w:t>农业农村部门、自然资源部门、乡镇政府、村委会</w:t>
            </w:r>
          </w:p>
          <w:p w14:paraId="1420FD1E">
            <w:pPr>
              <w:rPr>
                <w:rFonts w:ascii="Arial" w:hAnsi="Arial" w:cs="Arial"/>
                <w:sz w:val="20"/>
                <w:szCs w:val="20"/>
                <w:lang w:bidi="en-US"/>
              </w:rPr>
            </w:pPr>
          </w:p>
          <w:p w14:paraId="509B25CA">
            <w:pPr>
              <w:rPr>
                <w:rFonts w:ascii="Arial" w:hAnsi="Arial" w:cs="Arial"/>
                <w:b/>
                <w:bCs/>
                <w:sz w:val="20"/>
                <w:szCs w:val="20"/>
                <w:lang w:bidi="en-US"/>
              </w:rPr>
            </w:pPr>
            <w:r>
              <w:rPr>
                <w:rFonts w:ascii="Arial" w:hAnsi="Arial" w:cs="Arial"/>
                <w:b/>
                <w:bCs/>
                <w:sz w:val="20"/>
                <w:szCs w:val="20"/>
                <w:lang w:bidi="en-US"/>
              </w:rPr>
              <w:t>设施农用地：</w:t>
            </w:r>
          </w:p>
          <w:p w14:paraId="6B059191">
            <w:pPr>
              <w:rPr>
                <w:rFonts w:ascii="Arial" w:hAnsi="Arial" w:cs="Arial"/>
                <w:b/>
                <w:bCs/>
                <w:sz w:val="20"/>
                <w:szCs w:val="20"/>
                <w:lang w:bidi="en-US"/>
              </w:rPr>
            </w:pPr>
            <w:r>
              <w:rPr>
                <w:rFonts w:ascii="Arial" w:hAnsi="Arial" w:cs="Arial"/>
                <w:b/>
                <w:bCs/>
                <w:sz w:val="20"/>
                <w:szCs w:val="20"/>
                <w:lang w:bidi="en-US"/>
              </w:rPr>
              <w:t>国家：</w:t>
            </w:r>
            <w:r>
              <w:rPr>
                <w:rFonts w:ascii="Arial" w:hAnsi="Arial" w:cs="Arial"/>
                <w:sz w:val="20"/>
                <w:szCs w:val="20"/>
                <w:lang w:bidi="en-US"/>
              </w:rPr>
              <w:t>自然资源部、农业农村部</w:t>
            </w:r>
          </w:p>
          <w:p w14:paraId="4FAE6A0D">
            <w:pPr>
              <w:rPr>
                <w:rFonts w:ascii="Arial" w:hAnsi="Arial" w:cs="Arial"/>
                <w:b/>
                <w:bCs/>
                <w:sz w:val="20"/>
                <w:szCs w:val="20"/>
                <w:lang w:bidi="en-US"/>
              </w:rPr>
            </w:pPr>
            <w:r>
              <w:rPr>
                <w:rFonts w:ascii="Arial" w:hAnsi="Arial" w:cs="Arial"/>
                <w:b/>
                <w:bCs/>
                <w:sz w:val="20"/>
                <w:szCs w:val="20"/>
                <w:lang w:bidi="en-US"/>
              </w:rPr>
              <w:t>湖北、湖南省：</w:t>
            </w:r>
            <w:r>
              <w:rPr>
                <w:rFonts w:ascii="Arial" w:hAnsi="Arial" w:cs="Arial"/>
                <w:sz w:val="20"/>
                <w:szCs w:val="20"/>
                <w:lang w:bidi="en-US"/>
              </w:rPr>
              <w:t>省市县自然资源主管部门、农业农村部门、乡镇人民政府</w:t>
            </w:r>
          </w:p>
          <w:p w14:paraId="712750A8">
            <w:pPr>
              <w:rPr>
                <w:rFonts w:ascii="Arial" w:hAnsi="Arial" w:cs="Arial"/>
                <w:b/>
                <w:bCs/>
                <w:sz w:val="20"/>
                <w:szCs w:val="20"/>
                <w:lang w:bidi="en-US"/>
              </w:rPr>
            </w:pPr>
          </w:p>
          <w:p w14:paraId="0C4E385E">
            <w:pPr>
              <w:rPr>
                <w:rFonts w:ascii="Arial" w:hAnsi="Arial" w:cs="Arial"/>
                <w:b/>
                <w:bCs/>
                <w:sz w:val="20"/>
                <w:szCs w:val="20"/>
                <w:lang w:bidi="en-US"/>
              </w:rPr>
            </w:pPr>
            <w:r>
              <w:rPr>
                <w:rFonts w:ascii="Arial" w:hAnsi="Arial" w:cs="Arial"/>
                <w:b/>
                <w:bCs/>
                <w:sz w:val="20"/>
                <w:szCs w:val="20"/>
                <w:lang w:bidi="en-US"/>
              </w:rPr>
              <w:t xml:space="preserve">土地流转： </w:t>
            </w:r>
          </w:p>
          <w:p w14:paraId="2FD52107">
            <w:pPr>
              <w:rPr>
                <w:rFonts w:ascii="Arial" w:hAnsi="Arial" w:cs="Arial"/>
                <w:sz w:val="20"/>
                <w:szCs w:val="20"/>
                <w:lang w:bidi="en-US"/>
              </w:rPr>
            </w:pPr>
            <w:r>
              <w:rPr>
                <w:rFonts w:ascii="Arial" w:hAnsi="Arial" w:cs="Arial"/>
                <w:b/>
                <w:bCs/>
                <w:sz w:val="20"/>
                <w:szCs w:val="20"/>
                <w:lang w:bidi="en-US"/>
              </w:rPr>
              <w:t>国家：</w:t>
            </w:r>
            <w:r>
              <w:rPr>
                <w:rFonts w:ascii="Arial" w:hAnsi="Arial" w:cs="Arial"/>
                <w:sz w:val="20"/>
                <w:szCs w:val="20"/>
                <w:lang w:bidi="en-US"/>
              </w:rPr>
              <w:t>农业农村部</w:t>
            </w:r>
          </w:p>
          <w:p w14:paraId="1E60C9D5">
            <w:pPr>
              <w:rPr>
                <w:rFonts w:ascii="Arial" w:hAnsi="Arial" w:cs="Arial"/>
                <w:b/>
                <w:bCs/>
                <w:sz w:val="20"/>
                <w:szCs w:val="20"/>
                <w:lang w:bidi="en-US"/>
              </w:rPr>
            </w:pPr>
            <w:r>
              <w:rPr>
                <w:rFonts w:ascii="Arial" w:hAnsi="Arial" w:cs="Arial"/>
                <w:b/>
                <w:bCs/>
                <w:sz w:val="20"/>
                <w:szCs w:val="20"/>
                <w:lang w:bidi="en-US"/>
              </w:rPr>
              <w:t>湖北、湖南省：</w:t>
            </w:r>
            <w:r>
              <w:rPr>
                <w:rFonts w:ascii="Arial" w:hAnsi="Arial" w:cs="Arial"/>
                <w:sz w:val="20"/>
                <w:szCs w:val="20"/>
                <w:lang w:bidi="en-US"/>
              </w:rPr>
              <w:t>省市县农业农村部门、乡镇人民政府</w:t>
            </w:r>
          </w:p>
          <w:p w14:paraId="022BC461">
            <w:pPr>
              <w:rPr>
                <w:rFonts w:ascii="Arial" w:hAnsi="Arial" w:cs="Arial"/>
                <w:b/>
                <w:bCs/>
                <w:sz w:val="20"/>
                <w:szCs w:val="20"/>
                <w:lang w:bidi="en-US"/>
              </w:rPr>
            </w:pPr>
          </w:p>
          <w:p w14:paraId="6419621A">
            <w:pPr>
              <w:rPr>
                <w:rFonts w:ascii="Arial" w:hAnsi="Arial" w:cs="Arial"/>
                <w:b/>
                <w:bCs/>
                <w:sz w:val="20"/>
                <w:szCs w:val="20"/>
                <w:u w:val="single"/>
              </w:rPr>
            </w:pPr>
            <w:r>
              <w:rPr>
                <w:rFonts w:ascii="Arial" w:hAnsi="Arial" w:cs="Arial"/>
                <w:b/>
                <w:bCs/>
                <w:sz w:val="20"/>
                <w:szCs w:val="20"/>
                <w:u w:val="single"/>
              </w:rPr>
              <w:t>生计恢复：</w:t>
            </w:r>
          </w:p>
          <w:p w14:paraId="3CD56760">
            <w:pPr>
              <w:rPr>
                <w:rFonts w:ascii="Arial" w:hAnsi="Arial" w:cs="Arial"/>
                <w:sz w:val="20"/>
                <w:szCs w:val="20"/>
                <w:lang w:bidi="en-US"/>
              </w:rPr>
            </w:pPr>
            <w:r>
              <w:rPr>
                <w:rFonts w:ascii="Arial" w:hAnsi="Arial" w:cs="Arial"/>
                <w:b/>
                <w:bCs/>
                <w:sz w:val="20"/>
                <w:szCs w:val="20"/>
                <w:lang w:bidi="en-US"/>
              </w:rPr>
              <w:t>国家：</w:t>
            </w:r>
            <w:r>
              <w:rPr>
                <w:rFonts w:hint="eastAsia" w:ascii="Arial" w:hAnsi="Arial" w:cs="Arial"/>
                <w:b/>
                <w:bCs/>
                <w:sz w:val="20"/>
                <w:szCs w:val="20"/>
                <w:lang w:eastAsia="zh-CN" w:bidi="en-US"/>
              </w:rPr>
              <w:t>人力资源和社会保障部</w:t>
            </w:r>
          </w:p>
          <w:p w14:paraId="61EB95E1">
            <w:pPr>
              <w:rPr>
                <w:rFonts w:ascii="Arial" w:hAnsi="Arial" w:cs="Arial"/>
                <w:sz w:val="20"/>
                <w:szCs w:val="20"/>
              </w:rPr>
            </w:pPr>
            <w:r>
              <w:rPr>
                <w:rFonts w:ascii="Arial" w:hAnsi="Arial" w:cs="Arial"/>
                <w:b/>
                <w:bCs/>
                <w:sz w:val="20"/>
                <w:szCs w:val="20"/>
                <w:lang w:bidi="en-US"/>
              </w:rPr>
              <w:t>湖</w:t>
            </w:r>
            <w:r>
              <w:rPr>
                <w:rFonts w:hint="eastAsia" w:ascii="Arial" w:hAnsi="Arial" w:cs="Arial"/>
                <w:b/>
                <w:bCs/>
                <w:sz w:val="20"/>
                <w:szCs w:val="20"/>
                <w:lang w:eastAsia="zh-CN" w:bidi="en-US"/>
              </w:rPr>
              <w:t>北省</w:t>
            </w:r>
            <w:r>
              <w:rPr>
                <w:rFonts w:ascii="Arial" w:hAnsi="Arial" w:cs="Arial"/>
                <w:b/>
                <w:bCs/>
                <w:sz w:val="20"/>
                <w:szCs w:val="20"/>
                <w:lang w:bidi="en-US"/>
              </w:rPr>
              <w:t>、湖南省：</w:t>
            </w:r>
            <w:r>
              <w:rPr>
                <w:rFonts w:ascii="Arial" w:hAnsi="Arial" w:cs="Arial"/>
                <w:sz w:val="20"/>
                <w:szCs w:val="20"/>
                <w:lang w:bidi="en-US"/>
              </w:rPr>
              <w:t>省市县人力资源保障部门、县乡</w:t>
            </w:r>
            <w:r>
              <w:rPr>
                <w:rFonts w:hint="eastAsia" w:ascii="Arial" w:hAnsi="Arial" w:cs="Arial"/>
                <w:sz w:val="20"/>
                <w:szCs w:val="20"/>
                <w:lang w:eastAsia="zh-CN" w:bidi="en-US"/>
              </w:rPr>
              <w:t>人民政府</w:t>
            </w:r>
            <w:r>
              <w:rPr>
                <w:rFonts w:ascii="Arial" w:hAnsi="Arial" w:cs="Arial"/>
                <w:sz w:val="20"/>
                <w:szCs w:val="20"/>
                <w:lang w:bidi="en-US"/>
              </w:rPr>
              <w:t>、</w:t>
            </w:r>
            <w:r>
              <w:rPr>
                <w:rFonts w:ascii="Arial" w:hAnsi="Arial" w:cs="Arial"/>
                <w:color w:val="333333"/>
                <w:sz w:val="20"/>
                <w:szCs w:val="20"/>
                <w:shd w:val="clear" w:color="auto" w:fill="FFFFFF"/>
              </w:rPr>
              <w:t>居民委员会、村民委员会</w:t>
            </w:r>
          </w:p>
        </w:tc>
      </w:tr>
      <w:tr w14:paraId="3CE3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1BFE494">
            <w:pPr>
              <w:rPr>
                <w:rFonts w:ascii="Arial" w:hAnsi="Arial" w:cs="Arial"/>
                <w:sz w:val="20"/>
                <w:szCs w:val="20"/>
              </w:rPr>
            </w:pPr>
          </w:p>
        </w:tc>
        <w:tc>
          <w:tcPr>
            <w:tcW w:w="528" w:type="pct"/>
            <w:vMerge w:val="continue"/>
          </w:tcPr>
          <w:p w14:paraId="19B0E9EB">
            <w:pPr>
              <w:rPr>
                <w:rFonts w:ascii="Arial" w:hAnsi="Arial" w:cs="Arial"/>
                <w:sz w:val="20"/>
                <w:szCs w:val="20"/>
              </w:rPr>
            </w:pPr>
          </w:p>
        </w:tc>
        <w:tc>
          <w:tcPr>
            <w:tcW w:w="2720" w:type="pct"/>
          </w:tcPr>
          <w:p w14:paraId="330AA248">
            <w:pPr>
              <w:rPr>
                <w:rFonts w:ascii="Arial" w:hAnsi="Arial" w:cs="Arial"/>
                <w:sz w:val="20"/>
                <w:szCs w:val="20"/>
              </w:rPr>
            </w:pPr>
            <w:r>
              <w:rPr>
                <w:rFonts w:ascii="Arial" w:hAnsi="Arial" w:cs="Arial"/>
                <w:sz w:val="20"/>
                <w:szCs w:val="20"/>
              </w:rPr>
              <w:t>《</w:t>
            </w:r>
            <w:r>
              <w:rPr>
                <w:rFonts w:hint="eastAsia" w:ascii="Arial" w:hAnsi="Arial" w:cs="Arial"/>
                <w:sz w:val="20"/>
                <w:szCs w:val="20"/>
                <w:lang w:eastAsia="zh-CN"/>
              </w:rPr>
              <w:t>中华人民共和国土地管理法</w:t>
            </w:r>
            <w:r>
              <w:rPr>
                <w:rFonts w:ascii="Arial" w:hAnsi="Arial" w:cs="Arial"/>
                <w:sz w:val="20"/>
                <w:szCs w:val="20"/>
              </w:rPr>
              <w:t>》（2020.1）</w:t>
            </w:r>
          </w:p>
        </w:tc>
        <w:tc>
          <w:tcPr>
            <w:tcW w:w="1168" w:type="pct"/>
            <w:vMerge w:val="continue"/>
          </w:tcPr>
          <w:p w14:paraId="3A0069B1">
            <w:pPr>
              <w:rPr>
                <w:rFonts w:ascii="Arial" w:hAnsi="Arial" w:cs="Arial"/>
                <w:sz w:val="20"/>
                <w:szCs w:val="20"/>
              </w:rPr>
            </w:pPr>
          </w:p>
        </w:tc>
      </w:tr>
      <w:tr w14:paraId="0908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CF3A4B7">
            <w:pPr>
              <w:rPr>
                <w:rFonts w:ascii="Arial" w:hAnsi="Arial" w:cs="Arial"/>
                <w:sz w:val="20"/>
                <w:szCs w:val="20"/>
              </w:rPr>
            </w:pPr>
          </w:p>
        </w:tc>
        <w:tc>
          <w:tcPr>
            <w:tcW w:w="528" w:type="pct"/>
            <w:vMerge w:val="continue"/>
          </w:tcPr>
          <w:p w14:paraId="2A0302A2">
            <w:pPr>
              <w:rPr>
                <w:rFonts w:ascii="Arial" w:hAnsi="Arial" w:cs="Arial"/>
                <w:sz w:val="20"/>
                <w:szCs w:val="20"/>
              </w:rPr>
            </w:pPr>
          </w:p>
        </w:tc>
        <w:tc>
          <w:tcPr>
            <w:tcW w:w="2720" w:type="pct"/>
          </w:tcPr>
          <w:p w14:paraId="5088C7F5">
            <w:pPr>
              <w:rPr>
                <w:rFonts w:ascii="Arial" w:hAnsi="Arial" w:cs="Arial"/>
                <w:sz w:val="20"/>
                <w:szCs w:val="20"/>
              </w:rPr>
            </w:pPr>
            <w:r>
              <w:rPr>
                <w:rFonts w:ascii="Arial" w:hAnsi="Arial" w:cs="Arial"/>
                <w:sz w:val="20"/>
                <w:szCs w:val="20"/>
              </w:rPr>
              <w:t>《</w:t>
            </w:r>
            <w:r>
              <w:rPr>
                <w:rFonts w:hint="eastAsia" w:ascii="Arial" w:hAnsi="Arial" w:cs="Arial"/>
                <w:sz w:val="20"/>
                <w:szCs w:val="20"/>
                <w:lang w:eastAsia="zh-CN"/>
              </w:rPr>
              <w:t>中华人民共和国土地管理法实施条例</w:t>
            </w:r>
            <w:r>
              <w:rPr>
                <w:rFonts w:ascii="Arial" w:hAnsi="Arial" w:cs="Arial"/>
                <w:sz w:val="20"/>
                <w:szCs w:val="20"/>
              </w:rPr>
              <w:t>》（2021年修订）</w:t>
            </w:r>
          </w:p>
        </w:tc>
        <w:tc>
          <w:tcPr>
            <w:tcW w:w="1168" w:type="pct"/>
            <w:vMerge w:val="continue"/>
          </w:tcPr>
          <w:p w14:paraId="2A6BEA4E">
            <w:pPr>
              <w:rPr>
                <w:rFonts w:ascii="Arial" w:hAnsi="Arial" w:cs="Arial"/>
                <w:sz w:val="20"/>
                <w:szCs w:val="20"/>
              </w:rPr>
            </w:pPr>
          </w:p>
        </w:tc>
      </w:tr>
      <w:tr w14:paraId="14D7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710765E">
            <w:pPr>
              <w:rPr>
                <w:rFonts w:ascii="Arial" w:hAnsi="Arial" w:cs="Arial"/>
                <w:sz w:val="20"/>
                <w:szCs w:val="20"/>
              </w:rPr>
            </w:pPr>
          </w:p>
        </w:tc>
        <w:tc>
          <w:tcPr>
            <w:tcW w:w="528" w:type="pct"/>
            <w:vMerge w:val="continue"/>
          </w:tcPr>
          <w:p w14:paraId="3D99BDF4">
            <w:pPr>
              <w:rPr>
                <w:rFonts w:ascii="Arial" w:hAnsi="Arial" w:cs="Arial"/>
                <w:sz w:val="20"/>
                <w:szCs w:val="20"/>
              </w:rPr>
            </w:pPr>
          </w:p>
        </w:tc>
        <w:tc>
          <w:tcPr>
            <w:tcW w:w="2720" w:type="pct"/>
          </w:tcPr>
          <w:p w14:paraId="4E191042">
            <w:pPr>
              <w:rPr>
                <w:rFonts w:ascii="Arial" w:hAnsi="Arial" w:cs="Arial"/>
                <w:sz w:val="20"/>
                <w:szCs w:val="20"/>
              </w:rPr>
            </w:pPr>
            <w:r>
              <w:rPr>
                <w:rFonts w:ascii="Arial" w:hAnsi="Arial" w:cs="Arial"/>
                <w:sz w:val="20"/>
                <w:szCs w:val="20"/>
              </w:rPr>
              <w:t>《国有土地上房屋征收与补偿条例》（国务院令</w:t>
            </w:r>
            <w:r>
              <w:rPr>
                <w:rFonts w:hint="eastAsia" w:ascii="Arial" w:hAnsi="Arial" w:cs="Arial"/>
                <w:sz w:val="20"/>
                <w:szCs w:val="20"/>
                <w:lang w:eastAsia="zh-CN"/>
              </w:rPr>
              <w:t>〔2011〕590号</w:t>
            </w:r>
            <w:r>
              <w:rPr>
                <w:rFonts w:ascii="Arial" w:hAnsi="Arial" w:cs="Arial"/>
                <w:sz w:val="20"/>
                <w:szCs w:val="20"/>
              </w:rPr>
              <w:t>）（2011.1.21）</w:t>
            </w:r>
          </w:p>
        </w:tc>
        <w:tc>
          <w:tcPr>
            <w:tcW w:w="1168" w:type="pct"/>
            <w:vMerge w:val="continue"/>
          </w:tcPr>
          <w:p w14:paraId="32918CEB">
            <w:pPr>
              <w:rPr>
                <w:rFonts w:ascii="Arial" w:hAnsi="Arial" w:cs="Arial"/>
                <w:sz w:val="20"/>
                <w:szCs w:val="20"/>
              </w:rPr>
            </w:pPr>
          </w:p>
        </w:tc>
      </w:tr>
      <w:tr w14:paraId="53DF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8723C49">
            <w:pPr>
              <w:rPr>
                <w:rFonts w:ascii="Arial" w:hAnsi="Arial" w:cs="Arial"/>
                <w:sz w:val="20"/>
                <w:szCs w:val="20"/>
              </w:rPr>
            </w:pPr>
          </w:p>
        </w:tc>
        <w:tc>
          <w:tcPr>
            <w:tcW w:w="528" w:type="pct"/>
            <w:vMerge w:val="continue"/>
          </w:tcPr>
          <w:p w14:paraId="117F8641">
            <w:pPr>
              <w:rPr>
                <w:rFonts w:ascii="Arial" w:hAnsi="Arial" w:cs="Arial"/>
                <w:sz w:val="20"/>
                <w:szCs w:val="20"/>
              </w:rPr>
            </w:pPr>
          </w:p>
        </w:tc>
        <w:tc>
          <w:tcPr>
            <w:tcW w:w="2720" w:type="pct"/>
          </w:tcPr>
          <w:p w14:paraId="644E14E6">
            <w:pPr>
              <w:rPr>
                <w:rFonts w:ascii="Arial" w:hAnsi="Arial" w:cs="Arial"/>
                <w:sz w:val="20"/>
                <w:szCs w:val="20"/>
              </w:rPr>
            </w:pPr>
            <w:r>
              <w:rPr>
                <w:rFonts w:ascii="Arial" w:hAnsi="Arial" w:cs="Arial"/>
                <w:sz w:val="20"/>
                <w:szCs w:val="20"/>
              </w:rPr>
              <w:t>《国有土地上房屋征收评估办法》的通知（建房</w:t>
            </w:r>
            <w:r>
              <w:rPr>
                <w:rFonts w:hint="eastAsia" w:ascii="Arial" w:hAnsi="Arial" w:cs="Arial"/>
                <w:sz w:val="20"/>
                <w:szCs w:val="20"/>
                <w:lang w:eastAsia="zh-CN"/>
              </w:rPr>
              <w:t>〔2011〕77号</w:t>
            </w:r>
            <w:r>
              <w:rPr>
                <w:rFonts w:ascii="Arial" w:hAnsi="Arial" w:cs="Arial"/>
                <w:sz w:val="20"/>
                <w:szCs w:val="20"/>
              </w:rPr>
              <w:t>）（2011</w:t>
            </w:r>
            <w:r>
              <w:rPr>
                <w:rFonts w:hint="eastAsia" w:ascii="Arial" w:hAnsi="Arial" w:cs="Arial"/>
                <w:sz w:val="20"/>
                <w:szCs w:val="20"/>
                <w:lang w:eastAsia="zh-CN"/>
              </w:rPr>
              <w:t>—</w:t>
            </w:r>
            <w:r>
              <w:rPr>
                <w:rFonts w:ascii="Arial" w:hAnsi="Arial" w:cs="Arial"/>
                <w:sz w:val="20"/>
                <w:szCs w:val="20"/>
              </w:rPr>
              <w:t>6</w:t>
            </w:r>
            <w:r>
              <w:rPr>
                <w:rFonts w:hint="eastAsia" w:ascii="Arial" w:hAnsi="Arial" w:cs="Arial"/>
                <w:sz w:val="20"/>
                <w:szCs w:val="20"/>
                <w:lang w:eastAsia="zh-CN"/>
              </w:rPr>
              <w:t>—</w:t>
            </w:r>
            <w:r>
              <w:rPr>
                <w:rFonts w:ascii="Arial" w:hAnsi="Arial" w:cs="Arial"/>
                <w:sz w:val="20"/>
                <w:szCs w:val="20"/>
              </w:rPr>
              <w:t>3）</w:t>
            </w:r>
          </w:p>
        </w:tc>
        <w:tc>
          <w:tcPr>
            <w:tcW w:w="1168" w:type="pct"/>
            <w:vMerge w:val="continue"/>
          </w:tcPr>
          <w:p w14:paraId="2284989E">
            <w:pPr>
              <w:rPr>
                <w:rFonts w:ascii="Arial" w:hAnsi="Arial" w:cs="Arial"/>
                <w:sz w:val="20"/>
                <w:szCs w:val="20"/>
              </w:rPr>
            </w:pPr>
          </w:p>
        </w:tc>
      </w:tr>
      <w:tr w14:paraId="0A1C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7683379">
            <w:pPr>
              <w:rPr>
                <w:rFonts w:ascii="Arial" w:hAnsi="Arial" w:cs="Arial"/>
                <w:color w:val="000000"/>
                <w:sz w:val="20"/>
                <w:szCs w:val="20"/>
              </w:rPr>
            </w:pPr>
          </w:p>
        </w:tc>
        <w:tc>
          <w:tcPr>
            <w:tcW w:w="528" w:type="pct"/>
            <w:vMerge w:val="continue"/>
          </w:tcPr>
          <w:p w14:paraId="038B874C">
            <w:pPr>
              <w:rPr>
                <w:rFonts w:ascii="Arial" w:hAnsi="Arial" w:cs="Arial"/>
                <w:color w:val="000000"/>
                <w:sz w:val="20"/>
                <w:szCs w:val="20"/>
              </w:rPr>
            </w:pPr>
          </w:p>
        </w:tc>
        <w:tc>
          <w:tcPr>
            <w:tcW w:w="2720" w:type="pct"/>
          </w:tcPr>
          <w:p w14:paraId="1AD21606">
            <w:pPr>
              <w:rPr>
                <w:rFonts w:ascii="Arial" w:hAnsi="Arial" w:cs="Arial"/>
                <w:sz w:val="20"/>
                <w:szCs w:val="20"/>
              </w:rPr>
            </w:pPr>
            <w:r>
              <w:rPr>
                <w:rFonts w:ascii="Arial" w:hAnsi="Arial" w:cs="Arial"/>
                <w:sz w:val="20"/>
                <w:szCs w:val="20"/>
              </w:rPr>
              <w:t>《关于完善征地补偿安置制度的指导意见》（国土资发【2004】238 号）</w:t>
            </w:r>
          </w:p>
        </w:tc>
        <w:tc>
          <w:tcPr>
            <w:tcW w:w="1168" w:type="pct"/>
            <w:vMerge w:val="continue"/>
          </w:tcPr>
          <w:p w14:paraId="08A3AC7D">
            <w:pPr>
              <w:rPr>
                <w:rFonts w:ascii="Arial" w:hAnsi="Arial" w:cs="Arial"/>
                <w:sz w:val="20"/>
                <w:szCs w:val="20"/>
              </w:rPr>
            </w:pPr>
          </w:p>
        </w:tc>
      </w:tr>
      <w:tr w14:paraId="41D6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40CA563">
            <w:pPr>
              <w:rPr>
                <w:rFonts w:ascii="Arial" w:hAnsi="Arial" w:cs="Arial"/>
                <w:color w:val="000000"/>
                <w:sz w:val="20"/>
                <w:szCs w:val="20"/>
              </w:rPr>
            </w:pPr>
          </w:p>
        </w:tc>
        <w:tc>
          <w:tcPr>
            <w:tcW w:w="528" w:type="pct"/>
            <w:vMerge w:val="continue"/>
          </w:tcPr>
          <w:p w14:paraId="44318A40">
            <w:pPr>
              <w:rPr>
                <w:rFonts w:ascii="Arial" w:hAnsi="Arial" w:cs="Arial"/>
                <w:color w:val="000000"/>
                <w:sz w:val="20"/>
                <w:szCs w:val="20"/>
              </w:rPr>
            </w:pPr>
          </w:p>
        </w:tc>
        <w:tc>
          <w:tcPr>
            <w:tcW w:w="2720" w:type="pct"/>
          </w:tcPr>
          <w:p w14:paraId="3B91976F">
            <w:pPr>
              <w:rPr>
                <w:rFonts w:ascii="Arial" w:hAnsi="Arial" w:cs="Arial"/>
                <w:color w:val="000000"/>
                <w:sz w:val="20"/>
                <w:szCs w:val="20"/>
              </w:rPr>
            </w:pPr>
            <w:r>
              <w:rPr>
                <w:rFonts w:ascii="Arial" w:hAnsi="Arial" w:cs="Arial"/>
                <w:sz w:val="20"/>
                <w:szCs w:val="20"/>
              </w:rPr>
              <w:t>《关于做好被征地农民就业培训和社会保障工作的指导意见》（国办发【2006】29 号）</w:t>
            </w:r>
          </w:p>
        </w:tc>
        <w:tc>
          <w:tcPr>
            <w:tcW w:w="1168" w:type="pct"/>
            <w:vMerge w:val="continue"/>
          </w:tcPr>
          <w:p w14:paraId="5B6B6386">
            <w:pPr>
              <w:rPr>
                <w:rFonts w:ascii="Arial" w:hAnsi="Arial" w:cs="Arial"/>
                <w:sz w:val="20"/>
                <w:szCs w:val="20"/>
              </w:rPr>
            </w:pPr>
          </w:p>
        </w:tc>
      </w:tr>
      <w:tr w14:paraId="6552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A2E3ECF">
            <w:pPr>
              <w:rPr>
                <w:rFonts w:ascii="Arial" w:hAnsi="Arial" w:cs="Arial"/>
                <w:sz w:val="20"/>
                <w:szCs w:val="20"/>
              </w:rPr>
            </w:pPr>
          </w:p>
        </w:tc>
        <w:tc>
          <w:tcPr>
            <w:tcW w:w="528" w:type="pct"/>
            <w:vMerge w:val="continue"/>
          </w:tcPr>
          <w:p w14:paraId="6B2C70E0">
            <w:pPr>
              <w:rPr>
                <w:rFonts w:ascii="Arial" w:hAnsi="Arial" w:cs="Arial"/>
                <w:sz w:val="20"/>
                <w:szCs w:val="20"/>
              </w:rPr>
            </w:pPr>
          </w:p>
        </w:tc>
        <w:tc>
          <w:tcPr>
            <w:tcW w:w="2720" w:type="pct"/>
          </w:tcPr>
          <w:p w14:paraId="22F32DE0">
            <w:pPr>
              <w:rPr>
                <w:rFonts w:ascii="Arial" w:hAnsi="Arial" w:cs="Arial"/>
                <w:sz w:val="20"/>
                <w:szCs w:val="20"/>
              </w:rPr>
            </w:pPr>
            <w:r>
              <w:rPr>
                <w:rFonts w:ascii="Arial" w:hAnsi="Arial" w:cs="Arial"/>
                <w:sz w:val="20"/>
                <w:szCs w:val="20"/>
              </w:rPr>
              <w:t>《劳动和社会保障部</w:t>
            </w:r>
            <w:r>
              <w:rPr>
                <w:rFonts w:hint="eastAsia" w:ascii="Arial" w:hAnsi="Arial" w:cs="Arial"/>
                <w:sz w:val="20"/>
                <w:szCs w:val="20"/>
                <w:lang w:val="en-US" w:eastAsia="zh-CN"/>
              </w:rPr>
              <w:t>国土</w:t>
            </w:r>
            <w:r>
              <w:rPr>
                <w:rFonts w:ascii="Arial" w:hAnsi="Arial" w:cs="Arial"/>
                <w:sz w:val="20"/>
                <w:szCs w:val="20"/>
              </w:rPr>
              <w:t>资源部文件关于切实做好被征地农民社会保障工作有关问题的通知》（劳社部发【2007】14 号）</w:t>
            </w:r>
          </w:p>
        </w:tc>
        <w:tc>
          <w:tcPr>
            <w:tcW w:w="1168" w:type="pct"/>
            <w:vMerge w:val="continue"/>
          </w:tcPr>
          <w:p w14:paraId="66339E73">
            <w:pPr>
              <w:rPr>
                <w:rFonts w:ascii="Arial" w:hAnsi="Arial" w:cs="Arial"/>
                <w:sz w:val="20"/>
                <w:szCs w:val="20"/>
              </w:rPr>
            </w:pPr>
          </w:p>
        </w:tc>
      </w:tr>
      <w:tr w14:paraId="2A06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9BEBE2A">
            <w:pPr>
              <w:rPr>
                <w:rFonts w:ascii="Arial" w:hAnsi="Arial" w:cs="Arial"/>
                <w:sz w:val="20"/>
                <w:szCs w:val="20"/>
              </w:rPr>
            </w:pPr>
          </w:p>
        </w:tc>
        <w:tc>
          <w:tcPr>
            <w:tcW w:w="528" w:type="pct"/>
            <w:vMerge w:val="continue"/>
          </w:tcPr>
          <w:p w14:paraId="1592227C">
            <w:pPr>
              <w:rPr>
                <w:rFonts w:ascii="Arial" w:hAnsi="Arial" w:cs="Arial"/>
                <w:sz w:val="20"/>
                <w:szCs w:val="20"/>
              </w:rPr>
            </w:pPr>
          </w:p>
        </w:tc>
        <w:tc>
          <w:tcPr>
            <w:tcW w:w="2720" w:type="pct"/>
          </w:tcPr>
          <w:p w14:paraId="22419EA1">
            <w:pPr>
              <w:rPr>
                <w:rFonts w:ascii="Arial" w:hAnsi="Arial" w:cs="Arial"/>
                <w:sz w:val="20"/>
                <w:szCs w:val="20"/>
              </w:rPr>
            </w:pPr>
            <w:r>
              <w:rPr>
                <w:rFonts w:ascii="Arial" w:hAnsi="Arial" w:cs="Arial"/>
                <w:sz w:val="20"/>
                <w:szCs w:val="20"/>
              </w:rPr>
              <w:t>《自然资源部 农业农村部关于设施农用地管理有关问题的通知》（自然资规</w:t>
            </w:r>
            <w:r>
              <w:rPr>
                <w:rFonts w:hint="eastAsia" w:ascii="Arial" w:hAnsi="Arial" w:cs="Arial"/>
                <w:sz w:val="20"/>
                <w:szCs w:val="20"/>
                <w:lang w:eastAsia="zh-CN"/>
              </w:rPr>
              <w:t>〔2019〕4号</w:t>
            </w:r>
            <w:r>
              <w:rPr>
                <w:rFonts w:ascii="Arial" w:hAnsi="Arial" w:cs="Arial"/>
                <w:sz w:val="20"/>
                <w:szCs w:val="20"/>
              </w:rPr>
              <w:t>）</w:t>
            </w:r>
          </w:p>
        </w:tc>
        <w:tc>
          <w:tcPr>
            <w:tcW w:w="1168" w:type="pct"/>
            <w:vMerge w:val="continue"/>
          </w:tcPr>
          <w:p w14:paraId="4A6F4713">
            <w:pPr>
              <w:rPr>
                <w:rFonts w:ascii="Arial" w:hAnsi="Arial" w:cs="Arial"/>
                <w:sz w:val="20"/>
                <w:szCs w:val="20"/>
              </w:rPr>
            </w:pPr>
          </w:p>
        </w:tc>
      </w:tr>
      <w:tr w14:paraId="35B3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442BFBE">
            <w:pPr>
              <w:rPr>
                <w:rFonts w:ascii="Arial" w:hAnsi="Arial" w:cs="Arial"/>
                <w:sz w:val="20"/>
                <w:szCs w:val="20"/>
              </w:rPr>
            </w:pPr>
          </w:p>
        </w:tc>
        <w:tc>
          <w:tcPr>
            <w:tcW w:w="528" w:type="pct"/>
            <w:vMerge w:val="continue"/>
          </w:tcPr>
          <w:p w14:paraId="6FC2D1E2">
            <w:pPr>
              <w:rPr>
                <w:rFonts w:ascii="Arial" w:hAnsi="Arial" w:cs="Arial"/>
                <w:sz w:val="20"/>
                <w:szCs w:val="20"/>
              </w:rPr>
            </w:pPr>
          </w:p>
        </w:tc>
        <w:tc>
          <w:tcPr>
            <w:tcW w:w="2720" w:type="pct"/>
          </w:tcPr>
          <w:p w14:paraId="1FFAC097">
            <w:pPr>
              <w:rPr>
                <w:rFonts w:ascii="Arial" w:hAnsi="Arial" w:cs="Arial"/>
                <w:sz w:val="20"/>
                <w:szCs w:val="20"/>
              </w:rPr>
            </w:pPr>
            <w:r>
              <w:rPr>
                <w:rFonts w:ascii="Arial" w:hAnsi="Arial" w:cs="Arial"/>
                <w:sz w:val="20"/>
                <w:szCs w:val="20"/>
              </w:rPr>
              <w:t>《中共中央办公厅 国务院办公厅关于在国土空间规划中统筹划定落实三条控制线的指导意见》（厅字</w:t>
            </w:r>
            <w:r>
              <w:rPr>
                <w:rFonts w:hint="eastAsia" w:ascii="Arial" w:hAnsi="Arial" w:cs="Arial"/>
                <w:sz w:val="20"/>
                <w:szCs w:val="20"/>
                <w:lang w:eastAsia="zh-CN"/>
              </w:rPr>
              <w:t>〔2019〕48号</w:t>
            </w:r>
            <w:r>
              <w:rPr>
                <w:rFonts w:ascii="Arial" w:hAnsi="Arial" w:cs="Arial"/>
                <w:sz w:val="20"/>
                <w:szCs w:val="20"/>
              </w:rPr>
              <w:t>）</w:t>
            </w:r>
          </w:p>
        </w:tc>
        <w:tc>
          <w:tcPr>
            <w:tcW w:w="1168" w:type="pct"/>
            <w:vMerge w:val="continue"/>
          </w:tcPr>
          <w:p w14:paraId="71BB3380">
            <w:pPr>
              <w:rPr>
                <w:rFonts w:ascii="Arial" w:hAnsi="Arial" w:cs="Arial"/>
                <w:sz w:val="20"/>
                <w:szCs w:val="20"/>
              </w:rPr>
            </w:pPr>
          </w:p>
        </w:tc>
      </w:tr>
      <w:tr w14:paraId="644A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595FCDAC">
            <w:pPr>
              <w:rPr>
                <w:rFonts w:ascii="Arial" w:hAnsi="Arial" w:cs="Arial"/>
                <w:sz w:val="20"/>
                <w:szCs w:val="20"/>
              </w:rPr>
            </w:pPr>
          </w:p>
        </w:tc>
        <w:tc>
          <w:tcPr>
            <w:tcW w:w="528" w:type="pct"/>
            <w:vMerge w:val="continue"/>
          </w:tcPr>
          <w:p w14:paraId="4B6228E8">
            <w:pPr>
              <w:rPr>
                <w:rFonts w:ascii="Arial" w:hAnsi="Arial" w:cs="Arial"/>
                <w:sz w:val="20"/>
                <w:szCs w:val="20"/>
              </w:rPr>
            </w:pPr>
          </w:p>
        </w:tc>
        <w:tc>
          <w:tcPr>
            <w:tcW w:w="2720" w:type="pct"/>
          </w:tcPr>
          <w:p w14:paraId="0FC83BED">
            <w:pPr>
              <w:rPr>
                <w:rFonts w:ascii="Arial" w:hAnsi="Arial" w:cs="Arial"/>
                <w:sz w:val="20"/>
                <w:szCs w:val="20"/>
              </w:rPr>
            </w:pPr>
            <w:r>
              <w:rPr>
                <w:rFonts w:ascii="Arial" w:hAnsi="Arial" w:cs="Arial"/>
                <w:sz w:val="20"/>
                <w:szCs w:val="20"/>
              </w:rPr>
              <w:t>《自然资源部农业农村部国家林业和草原局关于严格耕地用途管制有关问题的通知》（自然资发</w:t>
            </w:r>
            <w:r>
              <w:rPr>
                <w:rFonts w:hint="eastAsia" w:ascii="Arial" w:hAnsi="Arial" w:cs="Arial"/>
                <w:sz w:val="20"/>
                <w:szCs w:val="20"/>
                <w:lang w:eastAsia="zh-CN"/>
              </w:rPr>
              <w:t>〔2021〕166号</w:t>
            </w:r>
            <w:r>
              <w:rPr>
                <w:rFonts w:ascii="Arial" w:hAnsi="Arial" w:cs="Arial"/>
                <w:sz w:val="20"/>
                <w:szCs w:val="20"/>
              </w:rPr>
              <w:t>）</w:t>
            </w:r>
          </w:p>
        </w:tc>
        <w:tc>
          <w:tcPr>
            <w:tcW w:w="1168" w:type="pct"/>
            <w:vMerge w:val="continue"/>
          </w:tcPr>
          <w:p w14:paraId="0FAFBF4E">
            <w:pPr>
              <w:rPr>
                <w:rFonts w:ascii="Arial" w:hAnsi="Arial" w:cs="Arial"/>
                <w:sz w:val="20"/>
                <w:szCs w:val="20"/>
              </w:rPr>
            </w:pPr>
          </w:p>
        </w:tc>
      </w:tr>
      <w:tr w14:paraId="4270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22A5D36">
            <w:pPr>
              <w:rPr>
                <w:rFonts w:ascii="Arial" w:hAnsi="Arial" w:cs="Arial"/>
                <w:sz w:val="20"/>
                <w:szCs w:val="20"/>
              </w:rPr>
            </w:pPr>
          </w:p>
        </w:tc>
        <w:tc>
          <w:tcPr>
            <w:tcW w:w="528" w:type="pct"/>
            <w:vMerge w:val="continue"/>
          </w:tcPr>
          <w:p w14:paraId="4E46B762">
            <w:pPr>
              <w:rPr>
                <w:rFonts w:ascii="Arial" w:hAnsi="Arial" w:cs="Arial"/>
                <w:sz w:val="20"/>
                <w:szCs w:val="20"/>
              </w:rPr>
            </w:pPr>
          </w:p>
        </w:tc>
        <w:tc>
          <w:tcPr>
            <w:tcW w:w="2720" w:type="pct"/>
          </w:tcPr>
          <w:p w14:paraId="09F6117B">
            <w:pPr>
              <w:rPr>
                <w:rFonts w:ascii="Arial" w:hAnsi="Arial" w:cs="Arial"/>
                <w:sz w:val="20"/>
                <w:szCs w:val="20"/>
              </w:rPr>
            </w:pPr>
            <w:r>
              <w:rPr>
                <w:rFonts w:ascii="Arial" w:hAnsi="Arial" w:cs="Arial"/>
                <w:sz w:val="20"/>
                <w:szCs w:val="20"/>
              </w:rPr>
              <w:t>国家发展改革委等部委《关于村庄建设项目施行简易审批的指导意见》（发改农经〔2020〕1337号）</w:t>
            </w:r>
          </w:p>
        </w:tc>
        <w:tc>
          <w:tcPr>
            <w:tcW w:w="1168" w:type="pct"/>
            <w:vMerge w:val="continue"/>
          </w:tcPr>
          <w:p w14:paraId="40095E38">
            <w:pPr>
              <w:rPr>
                <w:rFonts w:ascii="Arial" w:hAnsi="Arial" w:cs="Arial"/>
                <w:sz w:val="20"/>
                <w:szCs w:val="20"/>
              </w:rPr>
            </w:pPr>
          </w:p>
        </w:tc>
      </w:tr>
      <w:tr w14:paraId="5AEB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E751D16">
            <w:pPr>
              <w:rPr>
                <w:rFonts w:ascii="Arial" w:hAnsi="Arial" w:cs="Arial"/>
                <w:sz w:val="20"/>
                <w:szCs w:val="20"/>
              </w:rPr>
            </w:pPr>
          </w:p>
        </w:tc>
        <w:tc>
          <w:tcPr>
            <w:tcW w:w="528" w:type="pct"/>
            <w:vMerge w:val="continue"/>
          </w:tcPr>
          <w:p w14:paraId="1DE9C829">
            <w:pPr>
              <w:rPr>
                <w:rFonts w:ascii="Arial" w:hAnsi="Arial" w:cs="Arial"/>
                <w:sz w:val="20"/>
                <w:szCs w:val="20"/>
              </w:rPr>
            </w:pPr>
          </w:p>
        </w:tc>
        <w:tc>
          <w:tcPr>
            <w:tcW w:w="2720" w:type="pct"/>
          </w:tcPr>
          <w:p w14:paraId="2CB0876A">
            <w:pPr>
              <w:rPr>
                <w:rFonts w:ascii="Arial" w:hAnsi="Arial" w:cs="Arial"/>
                <w:sz w:val="20"/>
                <w:szCs w:val="20"/>
              </w:rPr>
            </w:pPr>
            <w:r>
              <w:rPr>
                <w:rFonts w:ascii="Arial" w:hAnsi="Arial" w:cs="Arial"/>
                <w:sz w:val="20"/>
                <w:szCs w:val="20"/>
              </w:rPr>
              <w:t>《农村土地经营权流转管理办法》（农业农村部2021年 第1号）</w:t>
            </w:r>
          </w:p>
        </w:tc>
        <w:tc>
          <w:tcPr>
            <w:tcW w:w="1168" w:type="pct"/>
            <w:vMerge w:val="continue"/>
          </w:tcPr>
          <w:p w14:paraId="0B47C208">
            <w:pPr>
              <w:rPr>
                <w:rFonts w:ascii="Arial" w:hAnsi="Arial" w:cs="Arial"/>
                <w:sz w:val="20"/>
                <w:szCs w:val="20"/>
              </w:rPr>
            </w:pPr>
          </w:p>
        </w:tc>
      </w:tr>
      <w:tr w14:paraId="2162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280B272">
            <w:pPr>
              <w:rPr>
                <w:rFonts w:ascii="Arial" w:hAnsi="Arial" w:cs="Arial"/>
                <w:sz w:val="20"/>
                <w:szCs w:val="20"/>
              </w:rPr>
            </w:pPr>
          </w:p>
        </w:tc>
        <w:tc>
          <w:tcPr>
            <w:tcW w:w="528" w:type="pct"/>
            <w:vMerge w:val="continue"/>
          </w:tcPr>
          <w:p w14:paraId="7E4AA025">
            <w:pPr>
              <w:rPr>
                <w:rFonts w:ascii="Arial" w:hAnsi="Arial" w:cs="Arial"/>
                <w:sz w:val="20"/>
                <w:szCs w:val="20"/>
              </w:rPr>
            </w:pPr>
          </w:p>
        </w:tc>
        <w:tc>
          <w:tcPr>
            <w:tcW w:w="2720" w:type="pct"/>
          </w:tcPr>
          <w:p w14:paraId="0FEE9864">
            <w:pPr>
              <w:rPr>
                <w:rFonts w:ascii="Arial" w:hAnsi="Arial" w:cs="Arial"/>
                <w:sz w:val="20"/>
                <w:szCs w:val="20"/>
              </w:rPr>
            </w:pPr>
            <w:r>
              <w:rPr>
                <w:rFonts w:ascii="Arial" w:hAnsi="Arial" w:cs="Arial"/>
                <w:sz w:val="20"/>
                <w:szCs w:val="20"/>
              </w:rPr>
              <w:t>《自然资源部 生态环境部 国家林业和草原局 关于加强生态保护红线管理的通知（试行）》（自然资发</w:t>
            </w:r>
            <w:r>
              <w:rPr>
                <w:rFonts w:hint="eastAsia" w:ascii="Arial" w:hAnsi="Arial" w:cs="Arial"/>
                <w:sz w:val="20"/>
                <w:szCs w:val="20"/>
                <w:lang w:eastAsia="zh-CN"/>
              </w:rPr>
              <w:t>〔2022〕142号</w:t>
            </w:r>
            <w:r>
              <w:rPr>
                <w:rFonts w:ascii="Arial" w:hAnsi="Arial" w:cs="Arial"/>
                <w:sz w:val="20"/>
                <w:szCs w:val="20"/>
              </w:rPr>
              <w:t>）</w:t>
            </w:r>
          </w:p>
        </w:tc>
        <w:tc>
          <w:tcPr>
            <w:tcW w:w="1168" w:type="pct"/>
            <w:vMerge w:val="continue"/>
          </w:tcPr>
          <w:p w14:paraId="4F58EC00">
            <w:pPr>
              <w:rPr>
                <w:rFonts w:ascii="Arial" w:hAnsi="Arial" w:cs="Arial"/>
                <w:sz w:val="20"/>
                <w:szCs w:val="20"/>
              </w:rPr>
            </w:pPr>
          </w:p>
        </w:tc>
      </w:tr>
      <w:tr w14:paraId="72498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23C6885">
            <w:pPr>
              <w:rPr>
                <w:rFonts w:ascii="Arial" w:hAnsi="Arial" w:cs="Arial"/>
                <w:sz w:val="20"/>
                <w:szCs w:val="20"/>
              </w:rPr>
            </w:pPr>
          </w:p>
        </w:tc>
        <w:tc>
          <w:tcPr>
            <w:tcW w:w="528" w:type="pct"/>
            <w:vMerge w:val="continue"/>
          </w:tcPr>
          <w:p w14:paraId="328269F1">
            <w:pPr>
              <w:rPr>
                <w:rFonts w:ascii="Arial" w:hAnsi="Arial" w:cs="Arial"/>
                <w:sz w:val="20"/>
                <w:szCs w:val="20"/>
              </w:rPr>
            </w:pPr>
          </w:p>
        </w:tc>
        <w:tc>
          <w:tcPr>
            <w:tcW w:w="2720" w:type="pct"/>
          </w:tcPr>
          <w:p w14:paraId="50272229">
            <w:pPr>
              <w:rPr>
                <w:rFonts w:ascii="Arial" w:hAnsi="Arial" w:cs="Arial"/>
                <w:sz w:val="20"/>
                <w:szCs w:val="20"/>
              </w:rPr>
            </w:pPr>
            <w:bookmarkStart w:id="379" w:name="_Hlk90040195"/>
            <w:r>
              <w:rPr>
                <w:rFonts w:ascii="Arial" w:hAnsi="Arial" w:cs="Arial"/>
                <w:sz w:val="20"/>
                <w:szCs w:val="20"/>
              </w:rPr>
              <w:t>《湖北省人民政府关于公布实施湖北省征地区片综合地价标准的通知》（2019.11.8）</w:t>
            </w:r>
            <w:bookmarkEnd w:id="379"/>
          </w:p>
        </w:tc>
        <w:tc>
          <w:tcPr>
            <w:tcW w:w="1168" w:type="pct"/>
            <w:vMerge w:val="continue"/>
          </w:tcPr>
          <w:p w14:paraId="0856500C">
            <w:pPr>
              <w:rPr>
                <w:rFonts w:ascii="Arial" w:hAnsi="Arial" w:cs="Arial"/>
                <w:sz w:val="20"/>
                <w:szCs w:val="20"/>
              </w:rPr>
            </w:pPr>
          </w:p>
        </w:tc>
      </w:tr>
      <w:tr w14:paraId="4BEB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97F092C">
            <w:pPr>
              <w:rPr>
                <w:rFonts w:ascii="Arial" w:hAnsi="Arial" w:cs="Arial"/>
                <w:sz w:val="20"/>
                <w:szCs w:val="20"/>
              </w:rPr>
            </w:pPr>
          </w:p>
        </w:tc>
        <w:tc>
          <w:tcPr>
            <w:tcW w:w="528" w:type="pct"/>
            <w:vMerge w:val="continue"/>
          </w:tcPr>
          <w:p w14:paraId="698F7FD3">
            <w:pPr>
              <w:rPr>
                <w:rFonts w:ascii="Arial" w:hAnsi="Arial" w:cs="Arial"/>
                <w:sz w:val="20"/>
                <w:szCs w:val="20"/>
              </w:rPr>
            </w:pPr>
          </w:p>
        </w:tc>
        <w:tc>
          <w:tcPr>
            <w:tcW w:w="2720" w:type="pct"/>
          </w:tcPr>
          <w:p w14:paraId="4127AD40">
            <w:pPr>
              <w:rPr>
                <w:rFonts w:ascii="Arial" w:hAnsi="Arial" w:cs="Arial"/>
                <w:sz w:val="20"/>
                <w:szCs w:val="20"/>
              </w:rPr>
            </w:pPr>
            <w:r>
              <w:rPr>
                <w:rFonts w:ascii="Arial" w:hAnsi="Arial" w:cs="Arial"/>
                <w:sz w:val="20"/>
                <w:szCs w:val="20"/>
              </w:rPr>
              <w:t>《湖北省国有土地上房屋征收与补偿实施办法》（2015.7.6）</w:t>
            </w:r>
          </w:p>
        </w:tc>
        <w:tc>
          <w:tcPr>
            <w:tcW w:w="1168" w:type="pct"/>
            <w:vMerge w:val="continue"/>
          </w:tcPr>
          <w:p w14:paraId="2A2E43CC">
            <w:pPr>
              <w:rPr>
                <w:rFonts w:ascii="Arial" w:hAnsi="Arial" w:cs="Arial"/>
                <w:sz w:val="20"/>
                <w:szCs w:val="20"/>
              </w:rPr>
            </w:pPr>
          </w:p>
        </w:tc>
      </w:tr>
      <w:tr w14:paraId="55AE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BEDF51E">
            <w:pPr>
              <w:rPr>
                <w:rFonts w:ascii="Arial" w:hAnsi="Arial" w:cs="Arial"/>
                <w:sz w:val="20"/>
                <w:szCs w:val="20"/>
              </w:rPr>
            </w:pPr>
          </w:p>
        </w:tc>
        <w:tc>
          <w:tcPr>
            <w:tcW w:w="528" w:type="pct"/>
            <w:vMerge w:val="continue"/>
          </w:tcPr>
          <w:p w14:paraId="62E15504">
            <w:pPr>
              <w:rPr>
                <w:rFonts w:ascii="Arial" w:hAnsi="Arial" w:cs="Arial"/>
                <w:sz w:val="20"/>
                <w:szCs w:val="20"/>
              </w:rPr>
            </w:pPr>
          </w:p>
        </w:tc>
        <w:tc>
          <w:tcPr>
            <w:tcW w:w="2720" w:type="pct"/>
          </w:tcPr>
          <w:p w14:paraId="7987617A">
            <w:pPr>
              <w:rPr>
                <w:rFonts w:ascii="Arial" w:hAnsi="Arial" w:cs="Arial"/>
                <w:sz w:val="20"/>
                <w:szCs w:val="20"/>
              </w:rPr>
            </w:pPr>
            <w:r>
              <w:rPr>
                <w:rFonts w:ascii="Arial" w:hAnsi="Arial" w:cs="Arial"/>
                <w:sz w:val="20"/>
                <w:szCs w:val="20"/>
              </w:rPr>
              <w:t>《湖北省人民政府关于被征地农民参加基本养老保险的指导意见》（鄂政发〔2014〕53号）</w:t>
            </w:r>
          </w:p>
        </w:tc>
        <w:tc>
          <w:tcPr>
            <w:tcW w:w="1168" w:type="pct"/>
            <w:vMerge w:val="continue"/>
          </w:tcPr>
          <w:p w14:paraId="59B37C28">
            <w:pPr>
              <w:rPr>
                <w:rFonts w:ascii="Arial" w:hAnsi="Arial" w:cs="Arial"/>
                <w:sz w:val="20"/>
                <w:szCs w:val="20"/>
              </w:rPr>
            </w:pPr>
          </w:p>
        </w:tc>
      </w:tr>
      <w:tr w14:paraId="6920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1FA5C7F">
            <w:pPr>
              <w:rPr>
                <w:rFonts w:ascii="Arial" w:hAnsi="Arial" w:cs="Arial"/>
                <w:sz w:val="20"/>
                <w:szCs w:val="20"/>
              </w:rPr>
            </w:pPr>
            <w:bookmarkStart w:id="380" w:name="_Hlk112430766"/>
          </w:p>
        </w:tc>
        <w:tc>
          <w:tcPr>
            <w:tcW w:w="528" w:type="pct"/>
            <w:vMerge w:val="continue"/>
          </w:tcPr>
          <w:p w14:paraId="6CBB31A7">
            <w:pPr>
              <w:rPr>
                <w:rFonts w:ascii="Arial" w:hAnsi="Arial" w:cs="Arial"/>
                <w:sz w:val="20"/>
                <w:szCs w:val="20"/>
              </w:rPr>
            </w:pPr>
          </w:p>
        </w:tc>
        <w:tc>
          <w:tcPr>
            <w:tcW w:w="2720" w:type="pct"/>
          </w:tcPr>
          <w:p w14:paraId="646CB260">
            <w:pPr>
              <w:rPr>
                <w:rFonts w:ascii="Arial" w:hAnsi="Arial" w:cs="Arial"/>
                <w:sz w:val="20"/>
                <w:szCs w:val="20"/>
                <w:highlight w:val="yellow"/>
              </w:rPr>
            </w:pPr>
            <w:r>
              <w:rPr>
                <w:rFonts w:ascii="Arial" w:hAnsi="Arial" w:cs="Arial"/>
                <w:sz w:val="20"/>
                <w:szCs w:val="20"/>
              </w:rPr>
              <w:t>《省自然资源厅 省农业农村厅 关于进一步规范设施农业用地管理有关问题的通知》（鄂自然资规〔2020〕4号）</w:t>
            </w:r>
          </w:p>
        </w:tc>
        <w:tc>
          <w:tcPr>
            <w:tcW w:w="1168" w:type="pct"/>
            <w:vMerge w:val="continue"/>
          </w:tcPr>
          <w:p w14:paraId="3903FD7E">
            <w:pPr>
              <w:rPr>
                <w:rFonts w:ascii="Arial" w:hAnsi="Arial" w:cs="Arial"/>
                <w:sz w:val="20"/>
                <w:szCs w:val="20"/>
              </w:rPr>
            </w:pPr>
          </w:p>
        </w:tc>
      </w:tr>
      <w:bookmarkEnd w:id="380"/>
      <w:tr w14:paraId="4260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4608C52">
            <w:pPr>
              <w:rPr>
                <w:rFonts w:ascii="Arial" w:hAnsi="Arial" w:cs="Arial"/>
                <w:sz w:val="20"/>
                <w:szCs w:val="20"/>
              </w:rPr>
            </w:pPr>
          </w:p>
        </w:tc>
        <w:tc>
          <w:tcPr>
            <w:tcW w:w="528" w:type="pct"/>
            <w:vMerge w:val="continue"/>
          </w:tcPr>
          <w:p w14:paraId="26F3F2D1">
            <w:pPr>
              <w:rPr>
                <w:rFonts w:ascii="Arial" w:hAnsi="Arial" w:cs="Arial"/>
                <w:sz w:val="20"/>
                <w:szCs w:val="20"/>
              </w:rPr>
            </w:pPr>
          </w:p>
        </w:tc>
        <w:tc>
          <w:tcPr>
            <w:tcW w:w="2720" w:type="pct"/>
          </w:tcPr>
          <w:p w14:paraId="77B70B46">
            <w:pPr>
              <w:rPr>
                <w:rFonts w:ascii="Arial" w:hAnsi="Arial" w:cs="Arial"/>
                <w:sz w:val="20"/>
                <w:szCs w:val="20"/>
                <w:highlight w:val="yellow"/>
              </w:rPr>
            </w:pPr>
            <w:r>
              <w:rPr>
                <w:rFonts w:ascii="Arial" w:hAnsi="Arial" w:cs="Arial"/>
                <w:sz w:val="20"/>
                <w:szCs w:val="20"/>
              </w:rPr>
              <w:t>《省人民政府办公厅关于简化优化湖北省农村小型建设项目管理的实施意见》（鄂政办发〔2021〕29号）</w:t>
            </w:r>
          </w:p>
        </w:tc>
        <w:tc>
          <w:tcPr>
            <w:tcW w:w="1168" w:type="pct"/>
            <w:vMerge w:val="continue"/>
          </w:tcPr>
          <w:p w14:paraId="443863FB">
            <w:pPr>
              <w:rPr>
                <w:rFonts w:ascii="Arial" w:hAnsi="Arial" w:cs="Arial"/>
                <w:sz w:val="20"/>
                <w:szCs w:val="20"/>
              </w:rPr>
            </w:pPr>
          </w:p>
        </w:tc>
      </w:tr>
      <w:tr w14:paraId="75E6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0897ABC9">
            <w:pPr>
              <w:rPr>
                <w:rFonts w:ascii="Arial" w:hAnsi="Arial" w:cs="Arial"/>
                <w:sz w:val="20"/>
                <w:szCs w:val="20"/>
              </w:rPr>
            </w:pPr>
          </w:p>
        </w:tc>
        <w:tc>
          <w:tcPr>
            <w:tcW w:w="528" w:type="pct"/>
            <w:vMerge w:val="continue"/>
          </w:tcPr>
          <w:p w14:paraId="3DA5FBD6">
            <w:pPr>
              <w:rPr>
                <w:rFonts w:ascii="Arial" w:hAnsi="Arial" w:cs="Arial"/>
                <w:sz w:val="20"/>
                <w:szCs w:val="20"/>
              </w:rPr>
            </w:pPr>
          </w:p>
        </w:tc>
        <w:tc>
          <w:tcPr>
            <w:tcW w:w="2720" w:type="pct"/>
          </w:tcPr>
          <w:p w14:paraId="23BB14F7">
            <w:pPr>
              <w:rPr>
                <w:rFonts w:ascii="Arial" w:hAnsi="Arial" w:cs="Arial"/>
                <w:sz w:val="20"/>
                <w:szCs w:val="20"/>
              </w:rPr>
            </w:pPr>
            <w:r>
              <w:rPr>
                <w:rFonts w:ascii="Arial" w:hAnsi="Arial" w:cs="Arial"/>
                <w:sz w:val="20"/>
                <w:szCs w:val="20"/>
              </w:rPr>
              <w:t>《省农业农村厅关于印发湖北省农村土地经营权流转规范（试行）的通知》（2019.04.12）</w:t>
            </w:r>
          </w:p>
        </w:tc>
        <w:tc>
          <w:tcPr>
            <w:tcW w:w="1168" w:type="pct"/>
            <w:vMerge w:val="continue"/>
          </w:tcPr>
          <w:p w14:paraId="5B200180">
            <w:pPr>
              <w:rPr>
                <w:rFonts w:ascii="Arial" w:hAnsi="Arial" w:cs="Arial"/>
                <w:sz w:val="20"/>
                <w:szCs w:val="20"/>
              </w:rPr>
            </w:pPr>
          </w:p>
        </w:tc>
      </w:tr>
      <w:tr w14:paraId="32B1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30CA94E">
            <w:pPr>
              <w:rPr>
                <w:rFonts w:ascii="Arial" w:hAnsi="Arial" w:cs="Arial"/>
                <w:sz w:val="20"/>
                <w:szCs w:val="20"/>
              </w:rPr>
            </w:pPr>
          </w:p>
        </w:tc>
        <w:tc>
          <w:tcPr>
            <w:tcW w:w="528" w:type="pct"/>
            <w:vMerge w:val="continue"/>
          </w:tcPr>
          <w:p w14:paraId="37C7DCBE">
            <w:pPr>
              <w:rPr>
                <w:rFonts w:ascii="Arial" w:hAnsi="Arial" w:cs="Arial"/>
                <w:sz w:val="20"/>
                <w:szCs w:val="20"/>
              </w:rPr>
            </w:pPr>
          </w:p>
        </w:tc>
        <w:tc>
          <w:tcPr>
            <w:tcW w:w="2720" w:type="pct"/>
          </w:tcPr>
          <w:p w14:paraId="096C42D6">
            <w:pPr>
              <w:rPr>
                <w:rFonts w:hint="eastAsia" w:ascii="Arial" w:hAnsi="Arial" w:eastAsia="宋体" w:cs="Arial"/>
                <w:sz w:val="20"/>
                <w:szCs w:val="20"/>
                <w:lang w:eastAsia="zh-CN"/>
              </w:rPr>
            </w:pPr>
            <w:r>
              <w:rPr>
                <w:rFonts w:ascii="Arial" w:hAnsi="Arial" w:cs="Arial"/>
                <w:sz w:val="20"/>
              </w:rPr>
              <w:t>《湖南省人民政府关于调整湖南省征地补偿标准的通知》</w:t>
            </w:r>
            <w:r>
              <w:rPr>
                <w:rFonts w:hint="eastAsia" w:ascii="Arial" w:hAnsi="Arial" w:cs="Arial"/>
                <w:sz w:val="20"/>
                <w:lang w:eastAsia="zh-CN"/>
              </w:rPr>
              <w:t>（</w:t>
            </w:r>
            <w:r>
              <w:rPr>
                <w:rFonts w:ascii="Arial" w:hAnsi="Arial" w:cs="Arial"/>
                <w:sz w:val="20"/>
              </w:rPr>
              <w:t>湘政发</w:t>
            </w:r>
            <w:r>
              <w:rPr>
                <w:rFonts w:hint="eastAsia" w:ascii="Arial" w:hAnsi="Arial" w:cs="Arial"/>
                <w:sz w:val="20"/>
                <w:lang w:eastAsia="zh-CN"/>
              </w:rPr>
              <w:t>〔2021〕3号）</w:t>
            </w:r>
          </w:p>
        </w:tc>
        <w:tc>
          <w:tcPr>
            <w:tcW w:w="1168" w:type="pct"/>
            <w:vMerge w:val="continue"/>
          </w:tcPr>
          <w:p w14:paraId="194CCF1B">
            <w:pPr>
              <w:rPr>
                <w:rFonts w:ascii="Arial" w:hAnsi="Arial" w:cs="Arial"/>
                <w:sz w:val="20"/>
                <w:szCs w:val="20"/>
              </w:rPr>
            </w:pPr>
          </w:p>
        </w:tc>
      </w:tr>
      <w:tr w14:paraId="64F6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15AB8A9">
            <w:pPr>
              <w:rPr>
                <w:rFonts w:ascii="Arial" w:hAnsi="Arial" w:cs="Arial"/>
                <w:sz w:val="20"/>
                <w:szCs w:val="20"/>
              </w:rPr>
            </w:pPr>
          </w:p>
        </w:tc>
        <w:tc>
          <w:tcPr>
            <w:tcW w:w="528" w:type="pct"/>
            <w:vMerge w:val="continue"/>
          </w:tcPr>
          <w:p w14:paraId="406B22AE">
            <w:pPr>
              <w:rPr>
                <w:rFonts w:ascii="Arial" w:hAnsi="Arial" w:cs="Arial"/>
                <w:sz w:val="20"/>
                <w:szCs w:val="20"/>
              </w:rPr>
            </w:pPr>
          </w:p>
        </w:tc>
        <w:tc>
          <w:tcPr>
            <w:tcW w:w="2720" w:type="pct"/>
          </w:tcPr>
          <w:p w14:paraId="691E4DA4">
            <w:pPr>
              <w:rPr>
                <w:rFonts w:ascii="Arial" w:hAnsi="Arial" w:cs="Arial"/>
                <w:sz w:val="20"/>
                <w:szCs w:val="20"/>
              </w:rPr>
            </w:pPr>
            <w:r>
              <w:rPr>
                <w:rFonts w:ascii="Arial" w:hAnsi="Arial" w:cs="Arial"/>
                <w:sz w:val="20"/>
              </w:rPr>
              <w:t>《湖南省城市房屋拆迁管理条例》办法（湖南省人民政府157号令）（2002年6月）</w:t>
            </w:r>
          </w:p>
        </w:tc>
        <w:tc>
          <w:tcPr>
            <w:tcW w:w="1168" w:type="pct"/>
            <w:vMerge w:val="continue"/>
          </w:tcPr>
          <w:p w14:paraId="4A958403">
            <w:pPr>
              <w:rPr>
                <w:rFonts w:ascii="Arial" w:hAnsi="Arial" w:cs="Arial"/>
                <w:sz w:val="20"/>
                <w:szCs w:val="20"/>
              </w:rPr>
            </w:pPr>
          </w:p>
        </w:tc>
      </w:tr>
      <w:tr w14:paraId="3A3C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593958B2">
            <w:pPr>
              <w:rPr>
                <w:rFonts w:ascii="Arial" w:hAnsi="Arial" w:cs="Arial"/>
                <w:sz w:val="20"/>
                <w:szCs w:val="20"/>
              </w:rPr>
            </w:pPr>
          </w:p>
        </w:tc>
        <w:tc>
          <w:tcPr>
            <w:tcW w:w="528" w:type="pct"/>
            <w:vMerge w:val="continue"/>
          </w:tcPr>
          <w:p w14:paraId="080C93C9">
            <w:pPr>
              <w:rPr>
                <w:rFonts w:ascii="Arial" w:hAnsi="Arial" w:cs="Arial"/>
                <w:sz w:val="20"/>
                <w:szCs w:val="20"/>
              </w:rPr>
            </w:pPr>
          </w:p>
        </w:tc>
        <w:tc>
          <w:tcPr>
            <w:tcW w:w="2720" w:type="pct"/>
          </w:tcPr>
          <w:p w14:paraId="658E47CE">
            <w:pPr>
              <w:rPr>
                <w:rFonts w:ascii="Arial" w:hAnsi="Arial" w:cs="Arial"/>
                <w:sz w:val="20"/>
                <w:szCs w:val="20"/>
              </w:rPr>
            </w:pPr>
            <w:r>
              <w:rPr>
                <w:rFonts w:ascii="Arial" w:hAnsi="Arial" w:cs="Arial"/>
                <w:sz w:val="20"/>
                <w:szCs w:val="20"/>
              </w:rPr>
              <w:t>《湖南省自然资源厅 湖南省农业农村厅关于改进设施农业用地管理的通知》（湘自然资规〔2020〕3号）</w:t>
            </w:r>
          </w:p>
        </w:tc>
        <w:tc>
          <w:tcPr>
            <w:tcW w:w="1168" w:type="pct"/>
            <w:vMerge w:val="continue"/>
          </w:tcPr>
          <w:p w14:paraId="1E65961C">
            <w:pPr>
              <w:rPr>
                <w:rFonts w:ascii="Arial" w:hAnsi="Arial" w:cs="Arial"/>
                <w:sz w:val="20"/>
                <w:szCs w:val="20"/>
              </w:rPr>
            </w:pPr>
          </w:p>
        </w:tc>
      </w:tr>
      <w:tr w14:paraId="298B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C7C69CF">
            <w:pPr>
              <w:rPr>
                <w:rFonts w:ascii="Arial" w:hAnsi="Arial" w:cs="Arial"/>
                <w:sz w:val="20"/>
                <w:szCs w:val="20"/>
              </w:rPr>
            </w:pPr>
          </w:p>
        </w:tc>
        <w:tc>
          <w:tcPr>
            <w:tcW w:w="528" w:type="pct"/>
            <w:vMerge w:val="continue"/>
          </w:tcPr>
          <w:p w14:paraId="0BF407DD">
            <w:pPr>
              <w:rPr>
                <w:rFonts w:ascii="Arial" w:hAnsi="Arial" w:cs="Arial"/>
                <w:sz w:val="20"/>
                <w:szCs w:val="20"/>
              </w:rPr>
            </w:pPr>
          </w:p>
        </w:tc>
        <w:tc>
          <w:tcPr>
            <w:tcW w:w="2720" w:type="pct"/>
          </w:tcPr>
          <w:p w14:paraId="2BDE5EB6">
            <w:pPr>
              <w:rPr>
                <w:rFonts w:ascii="Arial" w:hAnsi="Arial" w:cs="Arial"/>
                <w:sz w:val="20"/>
                <w:szCs w:val="20"/>
              </w:rPr>
            </w:pPr>
            <w:r>
              <w:rPr>
                <w:rFonts w:ascii="Arial" w:hAnsi="Arial" w:cs="Arial"/>
                <w:sz w:val="20"/>
                <w:szCs w:val="20"/>
              </w:rPr>
              <w:t>《湖南省发展和改革委员会 湖南省自然资源厅 湖南省农业农村厅关于简化优化小型村庄建设项目管理的若干意见（试行）》（湘发改农规〔2021〕140号）</w:t>
            </w:r>
          </w:p>
        </w:tc>
        <w:tc>
          <w:tcPr>
            <w:tcW w:w="1168" w:type="pct"/>
            <w:vMerge w:val="continue"/>
          </w:tcPr>
          <w:p w14:paraId="0CE43327">
            <w:pPr>
              <w:rPr>
                <w:rFonts w:ascii="Arial" w:hAnsi="Arial" w:cs="Arial"/>
                <w:sz w:val="20"/>
                <w:szCs w:val="20"/>
              </w:rPr>
            </w:pPr>
          </w:p>
        </w:tc>
      </w:tr>
      <w:tr w14:paraId="4DE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587688AE">
            <w:pPr>
              <w:rPr>
                <w:rFonts w:ascii="Arial" w:hAnsi="Arial" w:cs="Arial"/>
                <w:sz w:val="20"/>
                <w:szCs w:val="20"/>
              </w:rPr>
            </w:pPr>
          </w:p>
        </w:tc>
        <w:tc>
          <w:tcPr>
            <w:tcW w:w="528" w:type="pct"/>
            <w:vMerge w:val="continue"/>
          </w:tcPr>
          <w:p w14:paraId="56665E7D">
            <w:pPr>
              <w:rPr>
                <w:rFonts w:ascii="Arial" w:hAnsi="Arial" w:cs="Arial"/>
                <w:sz w:val="20"/>
                <w:szCs w:val="20"/>
              </w:rPr>
            </w:pPr>
          </w:p>
        </w:tc>
        <w:tc>
          <w:tcPr>
            <w:tcW w:w="2720" w:type="pct"/>
            <w:tcBorders>
              <w:bottom w:val="single" w:color="auto" w:sz="4" w:space="0"/>
            </w:tcBorders>
          </w:tcPr>
          <w:p w14:paraId="3043D51A">
            <w:pPr>
              <w:rPr>
                <w:rFonts w:ascii="Arial" w:hAnsi="Arial" w:cs="Arial"/>
                <w:sz w:val="20"/>
                <w:szCs w:val="20"/>
              </w:rPr>
            </w:pPr>
            <w:r>
              <w:rPr>
                <w:rFonts w:ascii="Arial" w:hAnsi="Arial" w:cs="Arial"/>
                <w:sz w:val="20"/>
                <w:szCs w:val="20"/>
              </w:rPr>
              <w:t>《农村土地承包经营权流转管理办法》（2021.1.26）</w:t>
            </w:r>
          </w:p>
        </w:tc>
        <w:tc>
          <w:tcPr>
            <w:tcW w:w="1168" w:type="pct"/>
            <w:vMerge w:val="continue"/>
          </w:tcPr>
          <w:p w14:paraId="35530B4E">
            <w:pPr>
              <w:rPr>
                <w:rFonts w:ascii="Arial" w:hAnsi="Arial" w:cs="Arial"/>
                <w:sz w:val="20"/>
                <w:szCs w:val="20"/>
              </w:rPr>
            </w:pPr>
          </w:p>
        </w:tc>
      </w:tr>
      <w:tr w14:paraId="3E67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961F9CD">
            <w:pPr>
              <w:rPr>
                <w:rFonts w:ascii="Arial" w:hAnsi="Arial" w:cs="Arial"/>
                <w:sz w:val="20"/>
                <w:szCs w:val="20"/>
              </w:rPr>
            </w:pPr>
          </w:p>
        </w:tc>
        <w:tc>
          <w:tcPr>
            <w:tcW w:w="528" w:type="pct"/>
            <w:vMerge w:val="continue"/>
          </w:tcPr>
          <w:p w14:paraId="3EB92C40">
            <w:pPr>
              <w:rPr>
                <w:rFonts w:ascii="Arial" w:hAnsi="Arial" w:cs="Arial"/>
                <w:sz w:val="20"/>
                <w:szCs w:val="20"/>
              </w:rPr>
            </w:pPr>
          </w:p>
        </w:tc>
        <w:tc>
          <w:tcPr>
            <w:tcW w:w="2720" w:type="pct"/>
            <w:tcBorders>
              <w:bottom w:val="single" w:color="auto" w:sz="4" w:space="0"/>
            </w:tcBorders>
          </w:tcPr>
          <w:p w14:paraId="60E379FA">
            <w:pPr>
              <w:rPr>
                <w:rFonts w:ascii="Arial" w:hAnsi="Arial" w:cs="Arial"/>
                <w:sz w:val="20"/>
                <w:szCs w:val="20"/>
              </w:rPr>
            </w:pPr>
            <w:r>
              <w:rPr>
                <w:rFonts w:ascii="Arial" w:hAnsi="Arial" w:cs="Arial"/>
                <w:sz w:val="20"/>
                <w:szCs w:val="20"/>
              </w:rPr>
              <w:t>《中共湖南省委湖南省人民政府关于加强耕地保护和改进占补平衡的实施意见》（2020.7.30）</w:t>
            </w:r>
          </w:p>
        </w:tc>
        <w:tc>
          <w:tcPr>
            <w:tcW w:w="1168" w:type="pct"/>
            <w:vMerge w:val="continue"/>
          </w:tcPr>
          <w:p w14:paraId="11CB46C9">
            <w:pPr>
              <w:rPr>
                <w:rFonts w:ascii="Arial" w:hAnsi="Arial" w:cs="Arial"/>
                <w:sz w:val="20"/>
                <w:szCs w:val="20"/>
              </w:rPr>
            </w:pPr>
          </w:p>
        </w:tc>
      </w:tr>
      <w:tr w14:paraId="6750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restart"/>
          </w:tcPr>
          <w:p w14:paraId="1D1337ED">
            <w:pPr>
              <w:rPr>
                <w:rFonts w:ascii="Arial" w:hAnsi="Arial" w:cs="Arial"/>
                <w:sz w:val="20"/>
                <w:szCs w:val="20"/>
              </w:rPr>
            </w:pPr>
            <w:r>
              <w:rPr>
                <w:rFonts w:ascii="Arial" w:hAnsi="Arial" w:cs="Arial"/>
                <w:sz w:val="20"/>
                <w:szCs w:val="20"/>
              </w:rPr>
              <w:t>少数民族与弱势群体</w:t>
            </w:r>
          </w:p>
          <w:p w14:paraId="055552F2">
            <w:pPr>
              <w:rPr>
                <w:rFonts w:ascii="Arial" w:hAnsi="Arial" w:cs="Arial"/>
                <w:sz w:val="20"/>
                <w:szCs w:val="20"/>
              </w:rPr>
            </w:pPr>
          </w:p>
        </w:tc>
        <w:tc>
          <w:tcPr>
            <w:tcW w:w="528" w:type="pct"/>
            <w:vMerge w:val="restart"/>
          </w:tcPr>
          <w:p w14:paraId="355BCB35">
            <w:pPr>
              <w:rPr>
                <w:rFonts w:ascii="Arial" w:hAnsi="Arial" w:cs="Arial"/>
                <w:sz w:val="20"/>
                <w:szCs w:val="20"/>
              </w:rPr>
            </w:pPr>
            <w:r>
              <w:rPr>
                <w:rFonts w:ascii="Arial" w:hAnsi="Arial" w:cs="Arial"/>
                <w:b/>
                <w:bCs/>
                <w:sz w:val="20"/>
                <w:szCs w:val="20"/>
              </w:rPr>
              <w:t>原则5：</w:t>
            </w:r>
            <w:r>
              <w:rPr>
                <w:rFonts w:ascii="Arial" w:hAnsi="Arial" w:cs="Arial"/>
                <w:sz w:val="20"/>
                <w:szCs w:val="20"/>
              </w:rPr>
              <w:t>少数民族和弱势群体</w:t>
            </w:r>
          </w:p>
        </w:tc>
        <w:tc>
          <w:tcPr>
            <w:tcW w:w="2720" w:type="pct"/>
          </w:tcPr>
          <w:p w14:paraId="1D8F7A10">
            <w:pPr>
              <w:rPr>
                <w:rFonts w:ascii="Arial" w:hAnsi="Arial" w:cs="Arial"/>
                <w:sz w:val="20"/>
                <w:szCs w:val="20"/>
              </w:rPr>
            </w:pPr>
            <w:r>
              <w:rPr>
                <w:rFonts w:hint="eastAsia" w:ascii="Arial" w:hAnsi="Arial" w:cs="Arial"/>
                <w:sz w:val="20"/>
                <w:szCs w:val="20"/>
                <w:lang w:eastAsia="zh-CN"/>
              </w:rPr>
              <w:t>《中华人民共和国宪法》</w:t>
            </w:r>
            <w:r>
              <w:rPr>
                <w:rFonts w:ascii="Arial" w:hAnsi="Arial" w:cs="Arial"/>
                <w:sz w:val="20"/>
                <w:szCs w:val="20"/>
              </w:rPr>
              <w:t>（2018年修订版）</w:t>
            </w:r>
          </w:p>
        </w:tc>
        <w:tc>
          <w:tcPr>
            <w:tcW w:w="1168" w:type="pct"/>
            <w:vMerge w:val="restart"/>
          </w:tcPr>
          <w:p w14:paraId="244A6811">
            <w:pPr>
              <w:rPr>
                <w:rFonts w:ascii="Arial" w:hAnsi="Arial" w:cs="Arial"/>
                <w:b/>
                <w:bCs/>
                <w:sz w:val="20"/>
                <w:szCs w:val="20"/>
                <w:u w:val="single"/>
                <w:lang w:bidi="en-US"/>
              </w:rPr>
            </w:pPr>
            <w:r>
              <w:rPr>
                <w:rFonts w:ascii="Arial" w:hAnsi="Arial" w:cs="Arial"/>
                <w:b/>
                <w:bCs/>
                <w:sz w:val="20"/>
                <w:szCs w:val="20"/>
                <w:u w:val="single"/>
                <w:lang w:bidi="en-US"/>
              </w:rPr>
              <w:t>少数民族：</w:t>
            </w:r>
          </w:p>
          <w:p w14:paraId="55872D1D">
            <w:pPr>
              <w:rPr>
                <w:rFonts w:ascii="Arial" w:hAnsi="Arial" w:cs="Arial"/>
                <w:sz w:val="20"/>
                <w:szCs w:val="20"/>
                <w:lang w:bidi="en-US"/>
              </w:rPr>
            </w:pPr>
            <w:r>
              <w:rPr>
                <w:rFonts w:ascii="Arial" w:hAnsi="Arial" w:cs="Arial"/>
                <w:b/>
                <w:bCs/>
                <w:sz w:val="20"/>
                <w:szCs w:val="20"/>
                <w:lang w:bidi="en-US"/>
              </w:rPr>
              <w:t>国家：</w:t>
            </w:r>
            <w:r>
              <w:rPr>
                <w:rFonts w:ascii="Arial" w:hAnsi="Arial" w:cs="Arial"/>
                <w:sz w:val="20"/>
                <w:szCs w:val="20"/>
                <w:lang w:bidi="en-US"/>
              </w:rPr>
              <w:t>民族事务委员会</w:t>
            </w:r>
          </w:p>
          <w:p w14:paraId="3DDAA2AD">
            <w:pPr>
              <w:rPr>
                <w:rFonts w:ascii="Arial" w:hAnsi="Arial" w:cs="Arial"/>
                <w:sz w:val="20"/>
                <w:szCs w:val="20"/>
                <w:lang w:bidi="en-US"/>
              </w:rPr>
            </w:pPr>
            <w:r>
              <w:rPr>
                <w:rFonts w:ascii="Arial" w:hAnsi="Arial" w:cs="Arial"/>
                <w:b/>
                <w:bCs/>
                <w:sz w:val="20"/>
                <w:szCs w:val="20"/>
                <w:lang w:bidi="en-US"/>
              </w:rPr>
              <w:t>湖</w:t>
            </w:r>
            <w:r>
              <w:rPr>
                <w:rFonts w:hint="eastAsia" w:ascii="Arial" w:hAnsi="Arial" w:cs="Arial"/>
                <w:b/>
                <w:bCs/>
                <w:sz w:val="20"/>
                <w:szCs w:val="20"/>
                <w:lang w:eastAsia="zh-CN" w:bidi="en-US"/>
              </w:rPr>
              <w:t>北省</w:t>
            </w:r>
            <w:r>
              <w:rPr>
                <w:rFonts w:ascii="Arial" w:hAnsi="Arial" w:cs="Arial"/>
                <w:b/>
                <w:bCs/>
                <w:sz w:val="20"/>
                <w:szCs w:val="20"/>
                <w:lang w:bidi="en-US"/>
              </w:rPr>
              <w:t>、湖南省：</w:t>
            </w:r>
            <w:r>
              <w:rPr>
                <w:rFonts w:ascii="Arial" w:hAnsi="Arial" w:cs="Arial"/>
                <w:sz w:val="20"/>
                <w:szCs w:val="20"/>
                <w:lang w:bidi="en-US"/>
              </w:rPr>
              <w:t>省、市、县各级地方民族工作部门</w:t>
            </w:r>
          </w:p>
          <w:p w14:paraId="079FAB55">
            <w:pPr>
              <w:rPr>
                <w:rFonts w:ascii="Arial" w:hAnsi="Arial" w:cs="Arial"/>
                <w:sz w:val="20"/>
                <w:szCs w:val="20"/>
                <w:lang w:bidi="en-US"/>
              </w:rPr>
            </w:pPr>
          </w:p>
          <w:p w14:paraId="137C7F40">
            <w:pPr>
              <w:rPr>
                <w:rFonts w:ascii="Arial" w:hAnsi="Arial" w:cs="Arial"/>
                <w:b/>
                <w:bCs/>
                <w:sz w:val="20"/>
                <w:szCs w:val="20"/>
                <w:u w:val="single"/>
              </w:rPr>
            </w:pPr>
            <w:r>
              <w:rPr>
                <w:rFonts w:ascii="Arial" w:hAnsi="Arial" w:cs="Arial"/>
                <w:b/>
                <w:bCs/>
                <w:sz w:val="20"/>
                <w:szCs w:val="20"/>
                <w:u w:val="single"/>
              </w:rPr>
              <w:t>妇女：</w:t>
            </w:r>
          </w:p>
          <w:p w14:paraId="2A2A638A">
            <w:pPr>
              <w:rPr>
                <w:rFonts w:ascii="Arial" w:hAnsi="Arial" w:cs="Arial"/>
                <w:color w:val="333333"/>
                <w:sz w:val="20"/>
                <w:szCs w:val="20"/>
                <w:shd w:val="clear" w:color="auto" w:fill="FFFFFF"/>
                <w:lang w:bidi="ar"/>
              </w:rPr>
            </w:pPr>
            <w:r>
              <w:rPr>
                <w:rFonts w:ascii="Arial" w:hAnsi="Arial" w:cs="Arial"/>
                <w:b/>
                <w:bCs/>
                <w:color w:val="333333"/>
                <w:sz w:val="20"/>
                <w:szCs w:val="20"/>
                <w:shd w:val="clear" w:color="auto" w:fill="FFFFFF"/>
                <w:lang w:bidi="ar"/>
              </w:rPr>
              <w:t>国家：</w:t>
            </w:r>
            <w:r>
              <w:rPr>
                <w:rFonts w:ascii="Arial" w:hAnsi="Arial" w:cs="Arial"/>
                <w:color w:val="333333"/>
                <w:sz w:val="20"/>
                <w:szCs w:val="20"/>
                <w:shd w:val="clear" w:color="auto" w:fill="FFFFFF"/>
                <w:lang w:bidi="ar"/>
              </w:rPr>
              <w:t>中华全国妇女联合会</w:t>
            </w:r>
          </w:p>
          <w:p w14:paraId="37395BD5">
            <w:pPr>
              <w:rPr>
                <w:rFonts w:ascii="Arial" w:hAnsi="Arial" w:cs="Arial"/>
                <w:color w:val="333333"/>
                <w:sz w:val="20"/>
                <w:szCs w:val="20"/>
                <w:shd w:val="clear" w:color="auto" w:fill="FFFFFF"/>
                <w:lang w:bidi="ar"/>
              </w:rPr>
            </w:pPr>
            <w:r>
              <w:rPr>
                <w:rFonts w:ascii="Arial" w:hAnsi="Arial" w:cs="Arial"/>
                <w:b/>
                <w:bCs/>
                <w:color w:val="333333"/>
                <w:sz w:val="20"/>
                <w:szCs w:val="20"/>
                <w:shd w:val="clear" w:color="auto" w:fill="FFFFFF"/>
                <w:lang w:bidi="ar"/>
              </w:rPr>
              <w:t>湖北、湖南省：</w:t>
            </w:r>
            <w:r>
              <w:rPr>
                <w:rFonts w:ascii="Arial" w:hAnsi="Arial" w:cs="Arial"/>
                <w:color w:val="333333"/>
                <w:sz w:val="20"/>
                <w:szCs w:val="20"/>
                <w:shd w:val="clear" w:color="auto" w:fill="FFFFFF"/>
                <w:lang w:bidi="ar"/>
              </w:rPr>
              <w:t>各级妇女联合会</w:t>
            </w:r>
          </w:p>
          <w:p w14:paraId="2E84C4C9">
            <w:pPr>
              <w:rPr>
                <w:rFonts w:ascii="Arial" w:hAnsi="Arial" w:cs="Arial"/>
                <w:b/>
                <w:bCs/>
                <w:sz w:val="20"/>
                <w:szCs w:val="20"/>
              </w:rPr>
            </w:pPr>
          </w:p>
          <w:p w14:paraId="367E14A8">
            <w:pPr>
              <w:rPr>
                <w:rFonts w:ascii="Arial" w:hAnsi="Arial" w:cs="Arial"/>
                <w:b/>
                <w:bCs/>
                <w:sz w:val="20"/>
                <w:szCs w:val="20"/>
                <w:u w:val="single"/>
              </w:rPr>
            </w:pPr>
            <w:r>
              <w:rPr>
                <w:rFonts w:ascii="Arial" w:hAnsi="Arial" w:cs="Arial"/>
                <w:b/>
                <w:bCs/>
                <w:sz w:val="20"/>
                <w:szCs w:val="20"/>
                <w:u w:val="single"/>
              </w:rPr>
              <w:t>儿童：</w:t>
            </w:r>
          </w:p>
          <w:p w14:paraId="1DEB4F5E">
            <w:pPr>
              <w:rPr>
                <w:rFonts w:ascii="Arial" w:hAnsi="Arial" w:cs="Arial"/>
                <w:b/>
                <w:bCs/>
                <w:sz w:val="20"/>
                <w:szCs w:val="20"/>
              </w:rPr>
            </w:pPr>
            <w:r>
              <w:rPr>
                <w:rFonts w:ascii="Arial" w:hAnsi="Arial" w:cs="Arial"/>
                <w:color w:val="333333"/>
                <w:sz w:val="20"/>
                <w:szCs w:val="20"/>
                <w:shd w:val="clear" w:color="auto" w:fill="FFFFFF"/>
              </w:rPr>
              <w:t>县级以上政府职能部门、乡镇政府、街道办事处、居民委员会、村民委员会</w:t>
            </w:r>
          </w:p>
        </w:tc>
      </w:tr>
      <w:tr w14:paraId="375A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9BACA68">
            <w:pPr>
              <w:rPr>
                <w:rFonts w:ascii="Arial" w:hAnsi="Arial" w:cs="Arial"/>
                <w:sz w:val="20"/>
                <w:szCs w:val="20"/>
              </w:rPr>
            </w:pPr>
          </w:p>
        </w:tc>
        <w:tc>
          <w:tcPr>
            <w:tcW w:w="528" w:type="pct"/>
            <w:vMerge w:val="continue"/>
          </w:tcPr>
          <w:p w14:paraId="2DF3B61F">
            <w:pPr>
              <w:rPr>
                <w:rFonts w:ascii="Arial" w:hAnsi="Arial" w:cs="Arial"/>
                <w:sz w:val="20"/>
                <w:szCs w:val="20"/>
              </w:rPr>
            </w:pPr>
          </w:p>
        </w:tc>
        <w:tc>
          <w:tcPr>
            <w:tcW w:w="2720" w:type="pct"/>
          </w:tcPr>
          <w:p w14:paraId="799EA1E5">
            <w:pPr>
              <w:rPr>
                <w:rFonts w:ascii="Arial" w:hAnsi="Arial" w:cs="Arial"/>
                <w:sz w:val="20"/>
                <w:szCs w:val="20"/>
              </w:rPr>
            </w:pPr>
            <w:r>
              <w:rPr>
                <w:rFonts w:ascii="Arial" w:hAnsi="Arial" w:cs="Arial"/>
                <w:sz w:val="20"/>
                <w:szCs w:val="20"/>
              </w:rPr>
              <w:t>《中华人民共和国民族区域自治法》（2001修正）</w:t>
            </w:r>
          </w:p>
        </w:tc>
        <w:tc>
          <w:tcPr>
            <w:tcW w:w="1168" w:type="pct"/>
            <w:vMerge w:val="continue"/>
          </w:tcPr>
          <w:p w14:paraId="55B5B7D7">
            <w:pPr>
              <w:rPr>
                <w:rFonts w:ascii="Arial" w:hAnsi="Arial" w:cs="Arial"/>
                <w:sz w:val="20"/>
                <w:szCs w:val="20"/>
              </w:rPr>
            </w:pPr>
          </w:p>
        </w:tc>
      </w:tr>
      <w:tr w14:paraId="5225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88A69D4">
            <w:pPr>
              <w:rPr>
                <w:rFonts w:ascii="Arial" w:hAnsi="Arial" w:cs="Arial"/>
                <w:sz w:val="20"/>
                <w:szCs w:val="20"/>
              </w:rPr>
            </w:pPr>
          </w:p>
        </w:tc>
        <w:tc>
          <w:tcPr>
            <w:tcW w:w="528" w:type="pct"/>
            <w:vMerge w:val="continue"/>
          </w:tcPr>
          <w:p w14:paraId="610AB252">
            <w:pPr>
              <w:rPr>
                <w:rFonts w:ascii="Arial" w:hAnsi="Arial" w:cs="Arial"/>
                <w:sz w:val="20"/>
                <w:szCs w:val="20"/>
              </w:rPr>
            </w:pPr>
          </w:p>
        </w:tc>
        <w:tc>
          <w:tcPr>
            <w:tcW w:w="2720" w:type="pct"/>
          </w:tcPr>
          <w:p w14:paraId="7267D87D">
            <w:pPr>
              <w:rPr>
                <w:rFonts w:ascii="Arial" w:hAnsi="Arial" w:cs="Arial"/>
                <w:sz w:val="20"/>
                <w:szCs w:val="20"/>
              </w:rPr>
            </w:pPr>
            <w:r>
              <w:rPr>
                <w:rFonts w:ascii="Arial" w:hAnsi="Arial" w:cs="Arial"/>
                <w:sz w:val="20"/>
                <w:szCs w:val="20"/>
              </w:rPr>
              <w:t>《</w:t>
            </w:r>
            <w:r>
              <w:rPr>
                <w:rFonts w:hint="eastAsia" w:ascii="Arial" w:hAnsi="Arial" w:cs="Arial"/>
                <w:sz w:val="20"/>
                <w:szCs w:val="20"/>
                <w:lang w:eastAsia="zh-CN"/>
              </w:rPr>
              <w:t>国务院实施〈中华人民共和国民族区域自治法〉若干规定</w:t>
            </w:r>
            <w:r>
              <w:rPr>
                <w:rFonts w:ascii="Arial" w:hAnsi="Arial" w:cs="Arial"/>
                <w:sz w:val="20"/>
                <w:szCs w:val="20"/>
              </w:rPr>
              <w:t>》（2005.5）</w:t>
            </w:r>
          </w:p>
        </w:tc>
        <w:tc>
          <w:tcPr>
            <w:tcW w:w="1168" w:type="pct"/>
            <w:vMerge w:val="continue"/>
          </w:tcPr>
          <w:p w14:paraId="14E93869">
            <w:pPr>
              <w:rPr>
                <w:rFonts w:ascii="Arial" w:hAnsi="Arial" w:cs="Arial"/>
                <w:sz w:val="20"/>
                <w:szCs w:val="20"/>
              </w:rPr>
            </w:pPr>
          </w:p>
        </w:tc>
      </w:tr>
      <w:tr w14:paraId="2AAF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10C95505">
            <w:pPr>
              <w:rPr>
                <w:rFonts w:ascii="Arial" w:hAnsi="Arial" w:cs="Arial"/>
                <w:sz w:val="20"/>
                <w:szCs w:val="20"/>
              </w:rPr>
            </w:pPr>
          </w:p>
        </w:tc>
        <w:tc>
          <w:tcPr>
            <w:tcW w:w="528" w:type="pct"/>
            <w:vMerge w:val="continue"/>
          </w:tcPr>
          <w:p w14:paraId="16CF5C89">
            <w:pPr>
              <w:rPr>
                <w:rFonts w:ascii="Arial" w:hAnsi="Arial" w:cs="Arial"/>
                <w:sz w:val="20"/>
                <w:szCs w:val="20"/>
              </w:rPr>
            </w:pPr>
          </w:p>
        </w:tc>
        <w:tc>
          <w:tcPr>
            <w:tcW w:w="2720" w:type="pct"/>
          </w:tcPr>
          <w:p w14:paraId="2C1DC4B2">
            <w:pPr>
              <w:rPr>
                <w:rFonts w:ascii="Arial" w:hAnsi="Arial" w:cs="Arial"/>
                <w:sz w:val="20"/>
                <w:szCs w:val="20"/>
              </w:rPr>
            </w:pPr>
            <w:r>
              <w:rPr>
                <w:rFonts w:ascii="Arial" w:hAnsi="Arial" w:cs="Arial"/>
                <w:sz w:val="20"/>
                <w:szCs w:val="20"/>
              </w:rPr>
              <w:t>《国务院关于印发“十三五”促进民族地区和人口较少民族发展规划的通知》（国发〔2016〕79号）</w:t>
            </w:r>
          </w:p>
        </w:tc>
        <w:tc>
          <w:tcPr>
            <w:tcW w:w="1168" w:type="pct"/>
            <w:vMerge w:val="continue"/>
          </w:tcPr>
          <w:p w14:paraId="0D0F9ABD">
            <w:pPr>
              <w:rPr>
                <w:rFonts w:ascii="Arial" w:hAnsi="Arial" w:cs="Arial"/>
                <w:sz w:val="20"/>
                <w:szCs w:val="20"/>
              </w:rPr>
            </w:pPr>
          </w:p>
        </w:tc>
      </w:tr>
      <w:tr w14:paraId="108B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A7ED785">
            <w:pPr>
              <w:rPr>
                <w:rFonts w:ascii="Arial" w:hAnsi="Arial" w:cs="Arial"/>
                <w:sz w:val="20"/>
                <w:szCs w:val="20"/>
              </w:rPr>
            </w:pPr>
          </w:p>
        </w:tc>
        <w:tc>
          <w:tcPr>
            <w:tcW w:w="528" w:type="pct"/>
            <w:vMerge w:val="continue"/>
          </w:tcPr>
          <w:p w14:paraId="2F1ED226">
            <w:pPr>
              <w:rPr>
                <w:rFonts w:ascii="Arial" w:hAnsi="Arial" w:cs="Arial"/>
                <w:sz w:val="20"/>
                <w:szCs w:val="20"/>
              </w:rPr>
            </w:pPr>
          </w:p>
        </w:tc>
        <w:tc>
          <w:tcPr>
            <w:tcW w:w="2720" w:type="pct"/>
          </w:tcPr>
          <w:p w14:paraId="4C70C48F">
            <w:pPr>
              <w:rPr>
                <w:rFonts w:ascii="Arial" w:hAnsi="Arial" w:cs="Arial"/>
                <w:sz w:val="20"/>
                <w:szCs w:val="20"/>
              </w:rPr>
            </w:pPr>
            <w:r>
              <w:rPr>
                <w:rFonts w:ascii="Arial" w:hAnsi="Arial" w:cs="Arial"/>
                <w:sz w:val="20"/>
                <w:szCs w:val="20"/>
              </w:rPr>
              <w:t>《湖北省民族工作高质量发展“十四五”规划》（2022.1）</w:t>
            </w:r>
          </w:p>
        </w:tc>
        <w:tc>
          <w:tcPr>
            <w:tcW w:w="1168" w:type="pct"/>
            <w:vMerge w:val="continue"/>
          </w:tcPr>
          <w:p w14:paraId="1D318A1A">
            <w:pPr>
              <w:rPr>
                <w:rFonts w:ascii="Arial" w:hAnsi="Arial" w:cs="Arial"/>
                <w:sz w:val="20"/>
                <w:szCs w:val="20"/>
              </w:rPr>
            </w:pPr>
          </w:p>
        </w:tc>
      </w:tr>
      <w:tr w14:paraId="56A9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84" w:type="pct"/>
            <w:vMerge w:val="continue"/>
          </w:tcPr>
          <w:p w14:paraId="5E51E197">
            <w:pPr>
              <w:rPr>
                <w:rFonts w:ascii="Arial" w:hAnsi="Arial" w:cs="Arial"/>
                <w:sz w:val="20"/>
                <w:szCs w:val="20"/>
              </w:rPr>
            </w:pPr>
          </w:p>
        </w:tc>
        <w:tc>
          <w:tcPr>
            <w:tcW w:w="528" w:type="pct"/>
            <w:vMerge w:val="continue"/>
          </w:tcPr>
          <w:p w14:paraId="06484D47">
            <w:pPr>
              <w:rPr>
                <w:rFonts w:ascii="Arial" w:hAnsi="Arial" w:cs="Arial"/>
                <w:sz w:val="20"/>
                <w:szCs w:val="20"/>
              </w:rPr>
            </w:pPr>
          </w:p>
        </w:tc>
        <w:tc>
          <w:tcPr>
            <w:tcW w:w="2720" w:type="pct"/>
          </w:tcPr>
          <w:p w14:paraId="1EC95418">
            <w:pPr>
              <w:rPr>
                <w:rFonts w:ascii="Arial" w:hAnsi="Arial" w:cs="Arial"/>
                <w:sz w:val="20"/>
                <w:szCs w:val="20"/>
              </w:rPr>
            </w:pPr>
            <w:r>
              <w:rPr>
                <w:rFonts w:ascii="Arial" w:hAnsi="Arial" w:cs="Arial"/>
                <w:sz w:val="20"/>
              </w:rPr>
              <w:t>《湖南省民族工作“十四五”发展规划》（2021）</w:t>
            </w:r>
          </w:p>
        </w:tc>
        <w:tc>
          <w:tcPr>
            <w:tcW w:w="1168" w:type="pct"/>
            <w:vMerge w:val="continue"/>
          </w:tcPr>
          <w:p w14:paraId="2CABD225">
            <w:pPr>
              <w:rPr>
                <w:rFonts w:ascii="Arial" w:hAnsi="Arial" w:cs="Arial"/>
                <w:sz w:val="20"/>
                <w:szCs w:val="20"/>
              </w:rPr>
            </w:pPr>
          </w:p>
        </w:tc>
      </w:tr>
      <w:tr w14:paraId="23D8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3E4AF4A">
            <w:pPr>
              <w:rPr>
                <w:rFonts w:ascii="Arial" w:hAnsi="Arial" w:cs="Arial"/>
                <w:sz w:val="20"/>
                <w:szCs w:val="20"/>
              </w:rPr>
            </w:pPr>
          </w:p>
        </w:tc>
        <w:tc>
          <w:tcPr>
            <w:tcW w:w="528" w:type="pct"/>
            <w:vMerge w:val="continue"/>
          </w:tcPr>
          <w:p w14:paraId="372581D9">
            <w:pPr>
              <w:rPr>
                <w:rFonts w:ascii="Arial" w:hAnsi="Arial" w:cs="Arial"/>
                <w:sz w:val="20"/>
                <w:szCs w:val="20"/>
              </w:rPr>
            </w:pPr>
          </w:p>
        </w:tc>
        <w:tc>
          <w:tcPr>
            <w:tcW w:w="2720" w:type="pct"/>
          </w:tcPr>
          <w:p w14:paraId="34F3451D">
            <w:pPr>
              <w:rPr>
                <w:rFonts w:ascii="Arial" w:hAnsi="Arial" w:cs="Arial"/>
                <w:sz w:val="20"/>
                <w:szCs w:val="20"/>
              </w:rPr>
            </w:pPr>
            <w:r>
              <w:rPr>
                <w:rFonts w:ascii="Arial" w:hAnsi="Arial" w:cs="Arial"/>
                <w:color w:val="000000" w:themeColor="text1"/>
                <w:sz w:val="20"/>
                <w:szCs w:val="20"/>
                <w14:textFill>
                  <w14:solidFill>
                    <w14:schemeClr w14:val="tx1"/>
                  </w14:solidFill>
                </w14:textFill>
              </w:rPr>
              <w:t>《中华人民共和国妇女权益保障法》（20</w:t>
            </w:r>
            <w:r>
              <w:rPr>
                <w:rFonts w:hint="eastAsia" w:ascii="Arial" w:hAnsi="Arial" w:cs="Arial"/>
                <w:color w:val="000000" w:themeColor="text1"/>
                <w:sz w:val="20"/>
                <w:szCs w:val="20"/>
                <w14:textFill>
                  <w14:solidFill>
                    <w14:schemeClr w14:val="tx1"/>
                  </w14:solidFill>
                </w14:textFill>
              </w:rPr>
              <w:t>23</w:t>
            </w:r>
            <w:r>
              <w:rPr>
                <w:rFonts w:ascii="Arial" w:hAnsi="Arial" w:cs="Arial"/>
                <w:color w:val="000000" w:themeColor="text1"/>
                <w:sz w:val="20"/>
                <w:szCs w:val="20"/>
                <w14:textFill>
                  <w14:solidFill>
                    <w14:schemeClr w14:val="tx1"/>
                  </w14:solidFill>
                </w14:textFill>
              </w:rPr>
              <w:t>.1.</w:t>
            </w:r>
            <w:r>
              <w:rPr>
                <w:rFonts w:hint="eastAsia" w:ascii="Arial" w:hAnsi="Arial" w:cs="Arial"/>
                <w:color w:val="000000" w:themeColor="text1"/>
                <w:sz w:val="20"/>
                <w:szCs w:val="20"/>
                <w14:textFill>
                  <w14:solidFill>
                    <w14:schemeClr w14:val="tx1"/>
                  </w14:solidFill>
                </w14:textFill>
              </w:rPr>
              <w:t>1</w:t>
            </w:r>
            <w:r>
              <w:rPr>
                <w:rFonts w:ascii="Arial" w:hAnsi="Arial" w:cs="Arial"/>
                <w:color w:val="000000" w:themeColor="text1"/>
                <w:sz w:val="20"/>
                <w:szCs w:val="20"/>
                <w14:textFill>
                  <w14:solidFill>
                    <w14:schemeClr w14:val="tx1"/>
                  </w14:solidFill>
                </w14:textFill>
              </w:rPr>
              <w:t>）</w:t>
            </w:r>
          </w:p>
        </w:tc>
        <w:tc>
          <w:tcPr>
            <w:tcW w:w="1168" w:type="pct"/>
            <w:vMerge w:val="continue"/>
          </w:tcPr>
          <w:p w14:paraId="73AF36DC">
            <w:pPr>
              <w:rPr>
                <w:rFonts w:ascii="Arial" w:hAnsi="Arial" w:cs="Arial"/>
                <w:color w:val="000000" w:themeColor="text1"/>
                <w:sz w:val="20"/>
                <w:szCs w:val="20"/>
                <w14:textFill>
                  <w14:solidFill>
                    <w14:schemeClr w14:val="tx1"/>
                  </w14:solidFill>
                </w14:textFill>
              </w:rPr>
            </w:pPr>
          </w:p>
        </w:tc>
      </w:tr>
      <w:tr w14:paraId="1BA6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3DF3F95">
            <w:pPr>
              <w:rPr>
                <w:rFonts w:ascii="Arial" w:hAnsi="Arial" w:cs="Arial"/>
                <w:sz w:val="20"/>
                <w:szCs w:val="20"/>
              </w:rPr>
            </w:pPr>
          </w:p>
        </w:tc>
        <w:tc>
          <w:tcPr>
            <w:tcW w:w="528" w:type="pct"/>
            <w:vMerge w:val="continue"/>
          </w:tcPr>
          <w:p w14:paraId="66971A7B">
            <w:pPr>
              <w:rPr>
                <w:rFonts w:ascii="Arial" w:hAnsi="Arial" w:cs="Arial"/>
                <w:sz w:val="20"/>
                <w:szCs w:val="20"/>
              </w:rPr>
            </w:pPr>
          </w:p>
        </w:tc>
        <w:tc>
          <w:tcPr>
            <w:tcW w:w="2720" w:type="pct"/>
          </w:tcPr>
          <w:p w14:paraId="4DDFDB57">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《中华人民共和国未成年人保护法》（2020.10.17）</w:t>
            </w:r>
          </w:p>
        </w:tc>
        <w:tc>
          <w:tcPr>
            <w:tcW w:w="1168" w:type="pct"/>
            <w:vMerge w:val="continue"/>
          </w:tcPr>
          <w:p w14:paraId="1FEE7FB6">
            <w:pPr>
              <w:rPr>
                <w:rFonts w:ascii="Arial" w:hAnsi="Arial" w:cs="Arial"/>
                <w:color w:val="000000" w:themeColor="text1"/>
                <w:sz w:val="20"/>
                <w:szCs w:val="20"/>
                <w14:textFill>
                  <w14:solidFill>
                    <w14:schemeClr w14:val="tx1"/>
                  </w14:solidFill>
                </w14:textFill>
              </w:rPr>
            </w:pPr>
          </w:p>
        </w:tc>
      </w:tr>
      <w:tr w14:paraId="6DAB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E47C907">
            <w:pPr>
              <w:rPr>
                <w:rFonts w:ascii="Arial" w:hAnsi="Arial" w:cs="Arial"/>
                <w:sz w:val="20"/>
                <w:szCs w:val="20"/>
              </w:rPr>
            </w:pPr>
          </w:p>
        </w:tc>
        <w:tc>
          <w:tcPr>
            <w:tcW w:w="528" w:type="pct"/>
            <w:vMerge w:val="continue"/>
          </w:tcPr>
          <w:p w14:paraId="32F7FBB8">
            <w:pPr>
              <w:rPr>
                <w:rFonts w:ascii="Arial" w:hAnsi="Arial" w:cs="Arial"/>
                <w:sz w:val="20"/>
                <w:szCs w:val="20"/>
              </w:rPr>
            </w:pPr>
          </w:p>
        </w:tc>
        <w:tc>
          <w:tcPr>
            <w:tcW w:w="2720" w:type="pct"/>
          </w:tcPr>
          <w:p w14:paraId="6E808414">
            <w:pPr>
              <w:rPr>
                <w:rFonts w:ascii="Arial" w:hAnsi="Arial" w:cs="Arial"/>
                <w:color w:val="000000" w:themeColor="text1"/>
                <w:sz w:val="20"/>
                <w:szCs w:val="20"/>
                <w14:textFill>
                  <w14:solidFill>
                    <w14:schemeClr w14:val="tx1"/>
                  </w14:solidFill>
                </w14:textFill>
              </w:rPr>
            </w:pPr>
            <w:r>
              <w:rPr>
                <w:rFonts w:ascii="Arial" w:hAnsi="Arial" w:cs="Arial"/>
                <w:sz w:val="20"/>
                <w:szCs w:val="20"/>
              </w:rPr>
              <w:t>《关于改革完善社会救助制度的意见》（中办发〔2020〕18号）</w:t>
            </w:r>
          </w:p>
        </w:tc>
        <w:tc>
          <w:tcPr>
            <w:tcW w:w="1168" w:type="pct"/>
            <w:vMerge w:val="continue"/>
          </w:tcPr>
          <w:p w14:paraId="5357E2FC">
            <w:pPr>
              <w:rPr>
                <w:rFonts w:ascii="Arial" w:hAnsi="Arial" w:cs="Arial"/>
                <w:color w:val="000000" w:themeColor="text1"/>
                <w:sz w:val="20"/>
                <w:szCs w:val="20"/>
                <w14:textFill>
                  <w14:solidFill>
                    <w14:schemeClr w14:val="tx1"/>
                  </w14:solidFill>
                </w14:textFill>
              </w:rPr>
            </w:pPr>
          </w:p>
        </w:tc>
      </w:tr>
      <w:tr w14:paraId="5A03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EAA2E04">
            <w:pPr>
              <w:rPr>
                <w:rFonts w:ascii="Arial" w:hAnsi="Arial" w:cs="Arial"/>
                <w:sz w:val="20"/>
                <w:szCs w:val="20"/>
              </w:rPr>
            </w:pPr>
          </w:p>
        </w:tc>
        <w:tc>
          <w:tcPr>
            <w:tcW w:w="528" w:type="pct"/>
            <w:vMerge w:val="continue"/>
          </w:tcPr>
          <w:p w14:paraId="11B43A61">
            <w:pPr>
              <w:rPr>
                <w:rFonts w:ascii="Arial" w:hAnsi="Arial" w:cs="Arial"/>
                <w:sz w:val="20"/>
                <w:szCs w:val="20"/>
              </w:rPr>
            </w:pPr>
          </w:p>
        </w:tc>
        <w:tc>
          <w:tcPr>
            <w:tcW w:w="2720" w:type="pct"/>
          </w:tcPr>
          <w:p w14:paraId="4A305682">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湖北省实施〈中华人民共和国妇女权益保障法〉办法</w:t>
            </w:r>
            <w:r>
              <w:rPr>
                <w:rFonts w:ascii="Arial" w:hAnsi="Arial" w:cs="Arial"/>
                <w:color w:val="000000" w:themeColor="text1"/>
                <w:sz w:val="20"/>
                <w:szCs w:val="20"/>
                <w14:textFill>
                  <w14:solidFill>
                    <w14:schemeClr w14:val="tx1"/>
                  </w14:solidFill>
                </w14:textFill>
              </w:rPr>
              <w:t>》（2007.10.1）</w:t>
            </w:r>
          </w:p>
        </w:tc>
        <w:tc>
          <w:tcPr>
            <w:tcW w:w="1168" w:type="pct"/>
            <w:vMerge w:val="continue"/>
          </w:tcPr>
          <w:p w14:paraId="3B7386B4">
            <w:pPr>
              <w:rPr>
                <w:rFonts w:ascii="Arial" w:hAnsi="Arial" w:cs="Arial"/>
                <w:color w:val="000000" w:themeColor="text1"/>
                <w:sz w:val="20"/>
                <w:szCs w:val="20"/>
                <w14:textFill>
                  <w14:solidFill>
                    <w14:schemeClr w14:val="tx1"/>
                  </w14:solidFill>
                </w14:textFill>
              </w:rPr>
            </w:pPr>
          </w:p>
        </w:tc>
      </w:tr>
      <w:tr w14:paraId="010F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52735243">
            <w:pPr>
              <w:rPr>
                <w:rFonts w:ascii="Arial" w:hAnsi="Arial" w:cs="Arial"/>
                <w:sz w:val="20"/>
                <w:szCs w:val="20"/>
              </w:rPr>
            </w:pPr>
          </w:p>
        </w:tc>
        <w:tc>
          <w:tcPr>
            <w:tcW w:w="528" w:type="pct"/>
            <w:vMerge w:val="continue"/>
          </w:tcPr>
          <w:p w14:paraId="2D27B17A">
            <w:pPr>
              <w:rPr>
                <w:rFonts w:ascii="Arial" w:hAnsi="Arial" w:cs="Arial"/>
                <w:sz w:val="20"/>
                <w:szCs w:val="20"/>
              </w:rPr>
            </w:pPr>
          </w:p>
        </w:tc>
        <w:tc>
          <w:tcPr>
            <w:tcW w:w="2720" w:type="pct"/>
          </w:tcPr>
          <w:p w14:paraId="66D066B1">
            <w:pPr>
              <w:rPr>
                <w:rFonts w:ascii="Arial" w:hAnsi="Arial" w:cs="Arial"/>
                <w:color w:val="000000" w:themeColor="text1"/>
                <w:sz w:val="20"/>
                <w:szCs w:val="20"/>
                <w14:textFill>
                  <w14:solidFill>
                    <w14:schemeClr w14:val="tx1"/>
                  </w14:solidFill>
                </w14:textFill>
              </w:rPr>
            </w:pPr>
            <w:r>
              <w:rPr>
                <w:rFonts w:ascii="Arial" w:hAnsi="Arial" w:cs="Arial"/>
                <w:sz w:val="20"/>
              </w:rPr>
              <w:t>《湖南省实施妇女权益保护法办法》（2006.10.1）</w:t>
            </w:r>
          </w:p>
        </w:tc>
        <w:tc>
          <w:tcPr>
            <w:tcW w:w="1168" w:type="pct"/>
            <w:vMerge w:val="continue"/>
          </w:tcPr>
          <w:p w14:paraId="6400782E">
            <w:pPr>
              <w:rPr>
                <w:rFonts w:ascii="Arial" w:hAnsi="Arial" w:cs="Arial"/>
                <w:color w:val="000000" w:themeColor="text1"/>
                <w:sz w:val="20"/>
                <w:szCs w:val="20"/>
                <w14:textFill>
                  <w14:solidFill>
                    <w14:schemeClr w14:val="tx1"/>
                  </w14:solidFill>
                </w14:textFill>
              </w:rPr>
            </w:pPr>
          </w:p>
        </w:tc>
      </w:tr>
      <w:tr w14:paraId="0700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533087D">
            <w:pPr>
              <w:rPr>
                <w:rFonts w:ascii="Arial" w:hAnsi="Arial" w:cs="Arial"/>
                <w:sz w:val="20"/>
                <w:szCs w:val="20"/>
              </w:rPr>
            </w:pPr>
          </w:p>
        </w:tc>
        <w:tc>
          <w:tcPr>
            <w:tcW w:w="528" w:type="pct"/>
            <w:vMerge w:val="continue"/>
          </w:tcPr>
          <w:p w14:paraId="51D97D79">
            <w:pPr>
              <w:rPr>
                <w:rFonts w:ascii="Arial" w:hAnsi="Arial" w:cs="Arial"/>
                <w:sz w:val="20"/>
                <w:szCs w:val="20"/>
              </w:rPr>
            </w:pPr>
          </w:p>
        </w:tc>
        <w:tc>
          <w:tcPr>
            <w:tcW w:w="2720" w:type="pct"/>
          </w:tcPr>
          <w:p w14:paraId="1FAF7D00">
            <w:pPr>
              <w:rPr>
                <w:rFonts w:ascii="Arial" w:hAnsi="Arial" w:cs="Arial"/>
                <w:color w:val="000000" w:themeColor="text1"/>
                <w:sz w:val="20"/>
                <w:szCs w:val="20"/>
                <w14:textFill>
                  <w14:solidFill>
                    <w14:schemeClr w14:val="tx1"/>
                  </w14:solidFill>
                </w14:textFill>
              </w:rPr>
            </w:pPr>
            <w:r>
              <w:rPr>
                <w:rFonts w:hint="eastAsia" w:ascii="Arial" w:hAnsi="Arial" w:cs="Arial"/>
                <w:color w:val="000000" w:themeColor="text1"/>
                <w:sz w:val="20"/>
                <w:szCs w:val="20"/>
                <w:lang w:eastAsia="zh-CN"/>
                <w14:textFill>
                  <w14:solidFill>
                    <w14:schemeClr w14:val="tx1"/>
                  </w14:solidFill>
                </w14:textFill>
              </w:rPr>
              <w:t>《中共中央 国务院</w:t>
            </w:r>
            <w:r>
              <w:rPr>
                <w:rFonts w:ascii="Arial" w:hAnsi="Arial" w:cs="Arial"/>
                <w:color w:val="000000" w:themeColor="text1"/>
                <w:sz w:val="20"/>
                <w:szCs w:val="20"/>
                <w14:textFill>
                  <w14:solidFill>
                    <w14:schemeClr w14:val="tx1"/>
                  </w14:solidFill>
                </w14:textFill>
              </w:rPr>
              <w:t>关于打赢脱贫攻坚战三年行动的指导意见》</w:t>
            </w:r>
          </w:p>
        </w:tc>
        <w:tc>
          <w:tcPr>
            <w:tcW w:w="1168" w:type="pct"/>
            <w:vMerge w:val="continue"/>
          </w:tcPr>
          <w:p w14:paraId="2A5B2E03">
            <w:pPr>
              <w:rPr>
                <w:rFonts w:ascii="Arial" w:hAnsi="Arial" w:cs="Arial"/>
                <w:color w:val="000000" w:themeColor="text1"/>
                <w:sz w:val="20"/>
                <w:szCs w:val="20"/>
                <w14:textFill>
                  <w14:solidFill>
                    <w14:schemeClr w14:val="tx1"/>
                  </w14:solidFill>
                </w14:textFill>
              </w:rPr>
            </w:pPr>
          </w:p>
        </w:tc>
      </w:tr>
      <w:tr w14:paraId="5A35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48C6C514">
            <w:pPr>
              <w:rPr>
                <w:rFonts w:ascii="Arial" w:hAnsi="Arial" w:cs="Arial"/>
                <w:sz w:val="20"/>
                <w:szCs w:val="20"/>
              </w:rPr>
            </w:pPr>
          </w:p>
        </w:tc>
        <w:tc>
          <w:tcPr>
            <w:tcW w:w="528" w:type="pct"/>
            <w:vMerge w:val="continue"/>
          </w:tcPr>
          <w:p w14:paraId="0C83696F">
            <w:pPr>
              <w:rPr>
                <w:rFonts w:ascii="Arial" w:hAnsi="Arial" w:cs="Arial"/>
                <w:sz w:val="20"/>
                <w:szCs w:val="20"/>
              </w:rPr>
            </w:pPr>
          </w:p>
        </w:tc>
        <w:tc>
          <w:tcPr>
            <w:tcW w:w="2720" w:type="pct"/>
          </w:tcPr>
          <w:p w14:paraId="287080A5">
            <w:pPr>
              <w:rPr>
                <w:rFonts w:hint="eastAsia" w:ascii="Arial" w:hAnsi="Arial" w:eastAsia="宋体" w:cs="Arial"/>
                <w:color w:val="000000" w:themeColor="text1"/>
                <w:sz w:val="20"/>
                <w:szCs w:val="20"/>
                <w:lang w:eastAsia="zh-CN"/>
                <w14:textFill>
                  <w14:solidFill>
                    <w14:schemeClr w14:val="tx1"/>
                  </w14:solidFill>
                </w14:textFill>
              </w:rPr>
            </w:pPr>
            <w:r>
              <w:rPr>
                <w:rFonts w:ascii="Arial" w:hAnsi="Arial" w:cs="Arial"/>
                <w:sz w:val="20"/>
              </w:rPr>
              <w:t>《湖北省民政事业发展“十四五”规划》</w:t>
            </w:r>
            <w:r>
              <w:rPr>
                <w:rFonts w:hint="eastAsia" w:ascii="Arial" w:hAnsi="Arial" w:cs="Arial"/>
                <w:sz w:val="20"/>
                <w:lang w:eastAsia="zh-CN"/>
              </w:rPr>
              <w:t>（</w:t>
            </w:r>
            <w:r>
              <w:rPr>
                <w:rFonts w:ascii="Arial" w:hAnsi="Arial" w:cs="Arial"/>
                <w:sz w:val="20"/>
              </w:rPr>
              <w:t>2021.10. 29</w:t>
            </w:r>
            <w:r>
              <w:rPr>
                <w:rFonts w:hint="eastAsia" w:ascii="Arial" w:hAnsi="Arial" w:cs="Arial"/>
                <w:sz w:val="20"/>
                <w:lang w:eastAsia="zh-CN"/>
              </w:rPr>
              <w:t>）</w:t>
            </w:r>
          </w:p>
        </w:tc>
        <w:tc>
          <w:tcPr>
            <w:tcW w:w="1168" w:type="pct"/>
            <w:vMerge w:val="continue"/>
          </w:tcPr>
          <w:p w14:paraId="7F04120E">
            <w:pPr>
              <w:rPr>
                <w:rFonts w:ascii="Arial" w:hAnsi="Arial" w:cs="Arial"/>
                <w:color w:val="000000" w:themeColor="text1"/>
                <w:sz w:val="20"/>
                <w:szCs w:val="20"/>
                <w14:textFill>
                  <w14:solidFill>
                    <w14:schemeClr w14:val="tx1"/>
                  </w14:solidFill>
                </w14:textFill>
              </w:rPr>
            </w:pPr>
          </w:p>
        </w:tc>
      </w:tr>
      <w:tr w14:paraId="01F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5487397E">
            <w:pPr>
              <w:rPr>
                <w:rFonts w:ascii="Arial" w:hAnsi="Arial" w:cs="Arial"/>
                <w:sz w:val="20"/>
                <w:szCs w:val="20"/>
              </w:rPr>
            </w:pPr>
          </w:p>
        </w:tc>
        <w:tc>
          <w:tcPr>
            <w:tcW w:w="528" w:type="pct"/>
            <w:vMerge w:val="continue"/>
          </w:tcPr>
          <w:p w14:paraId="62B589B6">
            <w:pPr>
              <w:rPr>
                <w:rFonts w:ascii="Arial" w:hAnsi="Arial" w:cs="Arial"/>
                <w:sz w:val="20"/>
                <w:szCs w:val="20"/>
              </w:rPr>
            </w:pPr>
          </w:p>
        </w:tc>
        <w:tc>
          <w:tcPr>
            <w:tcW w:w="2720" w:type="pct"/>
          </w:tcPr>
          <w:p w14:paraId="6970FD61">
            <w:pPr>
              <w:rPr>
                <w:rFonts w:ascii="Arial" w:hAnsi="Arial" w:cs="Arial"/>
                <w:color w:val="000000" w:themeColor="text1"/>
                <w:sz w:val="20"/>
                <w:szCs w:val="20"/>
                <w14:textFill>
                  <w14:solidFill>
                    <w14:schemeClr w14:val="tx1"/>
                  </w14:solidFill>
                </w14:textFill>
              </w:rPr>
            </w:pPr>
            <w:r>
              <w:rPr>
                <w:rFonts w:ascii="Arial" w:hAnsi="Arial" w:cs="Arial"/>
                <w:sz w:val="20"/>
              </w:rPr>
              <w:t>《湖北省乡村振兴战略规划（2018</w:t>
            </w:r>
            <w:r>
              <w:rPr>
                <w:rFonts w:hint="eastAsia" w:ascii="Arial" w:hAnsi="Arial" w:cs="Arial"/>
                <w:sz w:val="20"/>
                <w:lang w:eastAsia="zh-CN"/>
              </w:rPr>
              <w:t>—</w:t>
            </w:r>
            <w:r>
              <w:rPr>
                <w:rFonts w:ascii="Arial" w:hAnsi="Arial" w:cs="Arial"/>
                <w:sz w:val="20"/>
              </w:rPr>
              <w:t>2022年）》（2019.5）</w:t>
            </w:r>
          </w:p>
        </w:tc>
        <w:tc>
          <w:tcPr>
            <w:tcW w:w="1168" w:type="pct"/>
            <w:vMerge w:val="continue"/>
          </w:tcPr>
          <w:p w14:paraId="2EB57284">
            <w:pPr>
              <w:rPr>
                <w:rFonts w:ascii="Arial" w:hAnsi="Arial" w:cs="Arial"/>
                <w:color w:val="000000" w:themeColor="text1"/>
                <w:sz w:val="20"/>
                <w:szCs w:val="20"/>
                <w14:textFill>
                  <w14:solidFill>
                    <w14:schemeClr w14:val="tx1"/>
                  </w14:solidFill>
                </w14:textFill>
              </w:rPr>
            </w:pPr>
          </w:p>
        </w:tc>
      </w:tr>
      <w:tr w14:paraId="62C1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7D5E3E7C">
            <w:pPr>
              <w:rPr>
                <w:rFonts w:ascii="Arial" w:hAnsi="Arial" w:cs="Arial"/>
                <w:sz w:val="20"/>
                <w:szCs w:val="20"/>
              </w:rPr>
            </w:pPr>
          </w:p>
        </w:tc>
        <w:tc>
          <w:tcPr>
            <w:tcW w:w="528" w:type="pct"/>
            <w:vMerge w:val="continue"/>
          </w:tcPr>
          <w:p w14:paraId="23901004">
            <w:pPr>
              <w:rPr>
                <w:rFonts w:ascii="Arial" w:hAnsi="Arial" w:cs="Arial"/>
                <w:sz w:val="20"/>
                <w:szCs w:val="20"/>
              </w:rPr>
            </w:pPr>
          </w:p>
        </w:tc>
        <w:tc>
          <w:tcPr>
            <w:tcW w:w="2720" w:type="pct"/>
          </w:tcPr>
          <w:p w14:paraId="68C32252">
            <w:pPr>
              <w:rPr>
                <w:rFonts w:ascii="Arial" w:hAnsi="Arial" w:cs="Arial"/>
                <w:sz w:val="20"/>
              </w:rPr>
            </w:pPr>
            <w:r>
              <w:rPr>
                <w:rFonts w:ascii="Arial" w:hAnsi="Arial" w:cs="Arial"/>
                <w:sz w:val="20"/>
              </w:rPr>
              <w:t>《湖北省委办公厅、湖北省政府办公厅关于改革完善社会救助制度的实施意见》（鄂办发〔2021〕37号）</w:t>
            </w:r>
          </w:p>
        </w:tc>
        <w:tc>
          <w:tcPr>
            <w:tcW w:w="1168" w:type="pct"/>
            <w:vMerge w:val="continue"/>
          </w:tcPr>
          <w:p w14:paraId="21089ED3">
            <w:pPr>
              <w:rPr>
                <w:rFonts w:ascii="Arial" w:hAnsi="Arial" w:cs="Arial"/>
                <w:color w:val="000000" w:themeColor="text1"/>
                <w:sz w:val="20"/>
                <w:szCs w:val="20"/>
                <w14:textFill>
                  <w14:solidFill>
                    <w14:schemeClr w14:val="tx1"/>
                  </w14:solidFill>
                </w14:textFill>
              </w:rPr>
            </w:pPr>
          </w:p>
        </w:tc>
      </w:tr>
      <w:tr w14:paraId="5947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E374AD9">
            <w:pPr>
              <w:rPr>
                <w:rFonts w:ascii="Arial" w:hAnsi="Arial" w:cs="Arial"/>
                <w:sz w:val="20"/>
                <w:szCs w:val="20"/>
              </w:rPr>
            </w:pPr>
          </w:p>
        </w:tc>
        <w:tc>
          <w:tcPr>
            <w:tcW w:w="528" w:type="pct"/>
            <w:vMerge w:val="continue"/>
          </w:tcPr>
          <w:p w14:paraId="6A3F4191">
            <w:pPr>
              <w:rPr>
                <w:rFonts w:ascii="Arial" w:hAnsi="Arial" w:cs="Arial"/>
                <w:sz w:val="20"/>
                <w:szCs w:val="20"/>
              </w:rPr>
            </w:pPr>
          </w:p>
        </w:tc>
        <w:tc>
          <w:tcPr>
            <w:tcW w:w="2720" w:type="pct"/>
          </w:tcPr>
          <w:p w14:paraId="17C3569B">
            <w:pPr>
              <w:rPr>
                <w:rFonts w:ascii="Arial" w:hAnsi="Arial" w:cs="Arial"/>
                <w:color w:val="000000" w:themeColor="text1"/>
                <w:sz w:val="20"/>
                <w:szCs w:val="20"/>
                <w14:textFill>
                  <w14:solidFill>
                    <w14:schemeClr w14:val="tx1"/>
                  </w14:solidFill>
                </w14:textFill>
              </w:rPr>
            </w:pPr>
            <w:r>
              <w:rPr>
                <w:rFonts w:ascii="Arial" w:hAnsi="Arial" w:cs="Arial"/>
                <w:sz w:val="20"/>
              </w:rPr>
              <w:t>《湖北省妇女发展规划（2021—2030年）》（2021.12.25）</w:t>
            </w:r>
          </w:p>
        </w:tc>
        <w:tc>
          <w:tcPr>
            <w:tcW w:w="1168" w:type="pct"/>
            <w:vMerge w:val="continue"/>
          </w:tcPr>
          <w:p w14:paraId="3BDE469C">
            <w:pPr>
              <w:rPr>
                <w:rFonts w:ascii="Arial" w:hAnsi="Arial" w:cs="Arial"/>
                <w:color w:val="000000" w:themeColor="text1"/>
                <w:sz w:val="20"/>
                <w:szCs w:val="20"/>
                <w14:textFill>
                  <w14:solidFill>
                    <w14:schemeClr w14:val="tx1"/>
                  </w14:solidFill>
                </w14:textFill>
              </w:rPr>
            </w:pPr>
          </w:p>
        </w:tc>
      </w:tr>
      <w:tr w14:paraId="128A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2C07678D">
            <w:pPr>
              <w:rPr>
                <w:rFonts w:ascii="Arial" w:hAnsi="Arial" w:cs="Arial"/>
                <w:sz w:val="20"/>
                <w:szCs w:val="20"/>
              </w:rPr>
            </w:pPr>
          </w:p>
        </w:tc>
        <w:tc>
          <w:tcPr>
            <w:tcW w:w="528" w:type="pct"/>
            <w:vMerge w:val="continue"/>
          </w:tcPr>
          <w:p w14:paraId="331C471E">
            <w:pPr>
              <w:rPr>
                <w:rFonts w:ascii="Arial" w:hAnsi="Arial" w:cs="Arial"/>
                <w:sz w:val="20"/>
                <w:szCs w:val="20"/>
              </w:rPr>
            </w:pPr>
          </w:p>
        </w:tc>
        <w:tc>
          <w:tcPr>
            <w:tcW w:w="2720" w:type="pct"/>
          </w:tcPr>
          <w:p w14:paraId="5EE11AE5">
            <w:pPr>
              <w:rPr>
                <w:rFonts w:ascii="Arial" w:hAnsi="Arial" w:cs="Arial"/>
                <w:color w:val="000000" w:themeColor="text1"/>
                <w:sz w:val="20"/>
                <w:szCs w:val="20"/>
                <w14:textFill>
                  <w14:solidFill>
                    <w14:schemeClr w14:val="tx1"/>
                  </w14:solidFill>
                </w14:textFill>
              </w:rPr>
            </w:pPr>
            <w:r>
              <w:rPr>
                <w:rFonts w:ascii="Arial" w:hAnsi="Arial" w:cs="Arial"/>
                <w:sz w:val="20"/>
              </w:rPr>
              <w:t>《湖北省儿童发展规划（2021－2030年）》（2021.12.25）</w:t>
            </w:r>
          </w:p>
        </w:tc>
        <w:tc>
          <w:tcPr>
            <w:tcW w:w="1168" w:type="pct"/>
            <w:vMerge w:val="continue"/>
          </w:tcPr>
          <w:p w14:paraId="7CD1AA97">
            <w:pPr>
              <w:rPr>
                <w:rFonts w:ascii="Arial" w:hAnsi="Arial" w:cs="Arial"/>
                <w:color w:val="000000" w:themeColor="text1"/>
                <w:sz w:val="20"/>
                <w:szCs w:val="20"/>
                <w14:textFill>
                  <w14:solidFill>
                    <w14:schemeClr w14:val="tx1"/>
                  </w14:solidFill>
                </w14:textFill>
              </w:rPr>
            </w:pPr>
          </w:p>
        </w:tc>
      </w:tr>
      <w:tr w14:paraId="2D56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0189E70">
            <w:pPr>
              <w:rPr>
                <w:rFonts w:ascii="Arial" w:hAnsi="Arial" w:cs="Arial"/>
                <w:sz w:val="20"/>
                <w:szCs w:val="20"/>
              </w:rPr>
            </w:pPr>
          </w:p>
        </w:tc>
        <w:tc>
          <w:tcPr>
            <w:tcW w:w="528" w:type="pct"/>
            <w:vMerge w:val="continue"/>
          </w:tcPr>
          <w:p w14:paraId="2B832154">
            <w:pPr>
              <w:rPr>
                <w:rFonts w:ascii="Arial" w:hAnsi="Arial" w:cs="Arial"/>
                <w:sz w:val="20"/>
                <w:szCs w:val="20"/>
              </w:rPr>
            </w:pPr>
          </w:p>
        </w:tc>
        <w:tc>
          <w:tcPr>
            <w:tcW w:w="2720" w:type="pct"/>
          </w:tcPr>
          <w:p w14:paraId="60A269E8">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《湖南省“十四五”民政事业发展规划》（2021.8.31）</w:t>
            </w:r>
          </w:p>
        </w:tc>
        <w:tc>
          <w:tcPr>
            <w:tcW w:w="1168" w:type="pct"/>
            <w:vMerge w:val="continue"/>
          </w:tcPr>
          <w:p w14:paraId="51C5D3AE">
            <w:pPr>
              <w:rPr>
                <w:rFonts w:ascii="Arial" w:hAnsi="Arial" w:cs="Arial"/>
                <w:color w:val="000000" w:themeColor="text1"/>
                <w:sz w:val="20"/>
                <w:szCs w:val="20"/>
                <w14:textFill>
                  <w14:solidFill>
                    <w14:schemeClr w14:val="tx1"/>
                  </w14:solidFill>
                </w14:textFill>
              </w:rPr>
            </w:pPr>
          </w:p>
        </w:tc>
      </w:tr>
      <w:tr w14:paraId="18F7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D130D0C">
            <w:pPr>
              <w:rPr>
                <w:rFonts w:ascii="Arial" w:hAnsi="Arial" w:cs="Arial"/>
                <w:sz w:val="20"/>
                <w:szCs w:val="20"/>
              </w:rPr>
            </w:pPr>
          </w:p>
        </w:tc>
        <w:tc>
          <w:tcPr>
            <w:tcW w:w="528" w:type="pct"/>
            <w:vMerge w:val="continue"/>
          </w:tcPr>
          <w:p w14:paraId="0EE88005">
            <w:pPr>
              <w:rPr>
                <w:rFonts w:ascii="Arial" w:hAnsi="Arial" w:cs="Arial"/>
                <w:sz w:val="20"/>
                <w:szCs w:val="20"/>
              </w:rPr>
            </w:pPr>
          </w:p>
        </w:tc>
        <w:tc>
          <w:tcPr>
            <w:tcW w:w="2720" w:type="pct"/>
          </w:tcPr>
          <w:p w14:paraId="088400A2">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《湖南省妇女发展规划（2021</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2025年）》（2021.9.16）</w:t>
            </w:r>
          </w:p>
        </w:tc>
        <w:tc>
          <w:tcPr>
            <w:tcW w:w="1168" w:type="pct"/>
            <w:vMerge w:val="continue"/>
          </w:tcPr>
          <w:p w14:paraId="4B18FEE6">
            <w:pPr>
              <w:rPr>
                <w:rFonts w:ascii="Arial" w:hAnsi="Arial" w:cs="Arial"/>
                <w:color w:val="000000" w:themeColor="text1"/>
                <w:sz w:val="20"/>
                <w:szCs w:val="20"/>
                <w14:textFill>
                  <w14:solidFill>
                    <w14:schemeClr w14:val="tx1"/>
                  </w14:solidFill>
                </w14:textFill>
              </w:rPr>
            </w:pPr>
          </w:p>
        </w:tc>
      </w:tr>
      <w:tr w14:paraId="0C83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6CB45828">
            <w:pPr>
              <w:rPr>
                <w:rFonts w:ascii="Arial" w:hAnsi="Arial" w:cs="Arial"/>
                <w:sz w:val="20"/>
                <w:szCs w:val="20"/>
              </w:rPr>
            </w:pPr>
          </w:p>
        </w:tc>
        <w:tc>
          <w:tcPr>
            <w:tcW w:w="528" w:type="pct"/>
            <w:vMerge w:val="continue"/>
          </w:tcPr>
          <w:p w14:paraId="5DA6DB9C">
            <w:pPr>
              <w:rPr>
                <w:rFonts w:ascii="Arial" w:hAnsi="Arial" w:cs="Arial"/>
                <w:sz w:val="20"/>
                <w:szCs w:val="20"/>
              </w:rPr>
            </w:pPr>
          </w:p>
        </w:tc>
        <w:tc>
          <w:tcPr>
            <w:tcW w:w="2720" w:type="pct"/>
          </w:tcPr>
          <w:p w14:paraId="6543CADC">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《湖南省儿童发展规划（2021</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2025年）》（2021.9.16）</w:t>
            </w:r>
          </w:p>
        </w:tc>
        <w:tc>
          <w:tcPr>
            <w:tcW w:w="1168" w:type="pct"/>
            <w:vMerge w:val="continue"/>
          </w:tcPr>
          <w:p w14:paraId="74CA35EE">
            <w:pPr>
              <w:rPr>
                <w:rFonts w:ascii="Arial" w:hAnsi="Arial" w:cs="Arial"/>
                <w:color w:val="000000" w:themeColor="text1"/>
                <w:sz w:val="20"/>
                <w:szCs w:val="20"/>
                <w14:textFill>
                  <w14:solidFill>
                    <w14:schemeClr w14:val="tx1"/>
                  </w14:solidFill>
                </w14:textFill>
              </w:rPr>
            </w:pPr>
          </w:p>
        </w:tc>
      </w:tr>
      <w:tr w14:paraId="1DEA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C4526E2">
            <w:pPr>
              <w:rPr>
                <w:rFonts w:ascii="Arial" w:hAnsi="Arial" w:cs="Arial"/>
                <w:sz w:val="20"/>
                <w:szCs w:val="20"/>
              </w:rPr>
            </w:pPr>
          </w:p>
        </w:tc>
        <w:tc>
          <w:tcPr>
            <w:tcW w:w="528" w:type="pct"/>
            <w:vMerge w:val="continue"/>
          </w:tcPr>
          <w:p w14:paraId="43F18C29">
            <w:pPr>
              <w:rPr>
                <w:rFonts w:ascii="Arial" w:hAnsi="Arial" w:cs="Arial"/>
                <w:sz w:val="20"/>
                <w:szCs w:val="20"/>
              </w:rPr>
            </w:pPr>
          </w:p>
        </w:tc>
        <w:tc>
          <w:tcPr>
            <w:tcW w:w="2720" w:type="pct"/>
          </w:tcPr>
          <w:p w14:paraId="249AD57E">
            <w:pPr>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中共湖南省委办公厅 湖南省人民政府办公厅印发《关于改革完善社会救助制度的实施意见》的通知（湘办发</w:t>
            </w:r>
            <w:r>
              <w:rPr>
                <w:rFonts w:ascii="Arial" w:hAnsi="Arial" w:cs="Arial"/>
                <w:sz w:val="20"/>
              </w:rPr>
              <w:t>〔2020〕25号</w:t>
            </w:r>
            <w:r>
              <w:rPr>
                <w:rFonts w:ascii="Arial" w:hAnsi="Arial" w:cs="Arial"/>
                <w:color w:val="000000" w:themeColor="text1"/>
                <w:sz w:val="20"/>
                <w:szCs w:val="20"/>
                <w14:textFill>
                  <w14:solidFill>
                    <w14:schemeClr w14:val="tx1"/>
                  </w14:solidFill>
                </w14:textFill>
              </w:rPr>
              <w:t>）</w:t>
            </w:r>
          </w:p>
        </w:tc>
        <w:tc>
          <w:tcPr>
            <w:tcW w:w="1168" w:type="pct"/>
            <w:vMerge w:val="continue"/>
          </w:tcPr>
          <w:p w14:paraId="62FCF905">
            <w:pPr>
              <w:rPr>
                <w:rFonts w:ascii="Arial" w:hAnsi="Arial" w:cs="Arial"/>
                <w:color w:val="000000" w:themeColor="text1"/>
                <w:sz w:val="20"/>
                <w:szCs w:val="20"/>
                <w14:textFill>
                  <w14:solidFill>
                    <w14:schemeClr w14:val="tx1"/>
                  </w14:solidFill>
                </w14:textFill>
              </w:rPr>
            </w:pPr>
          </w:p>
        </w:tc>
      </w:tr>
      <w:tr w14:paraId="17DA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84" w:type="pct"/>
            <w:vMerge w:val="continue"/>
          </w:tcPr>
          <w:p w14:paraId="3A2C7314">
            <w:pPr>
              <w:rPr>
                <w:rFonts w:ascii="Arial" w:hAnsi="Arial" w:cs="Arial"/>
                <w:sz w:val="20"/>
                <w:szCs w:val="20"/>
              </w:rPr>
            </w:pPr>
          </w:p>
        </w:tc>
        <w:tc>
          <w:tcPr>
            <w:tcW w:w="528" w:type="pct"/>
            <w:vMerge w:val="continue"/>
          </w:tcPr>
          <w:p w14:paraId="5647A25A">
            <w:pPr>
              <w:rPr>
                <w:rFonts w:ascii="Arial" w:hAnsi="Arial" w:cs="Arial"/>
                <w:sz w:val="20"/>
                <w:szCs w:val="20"/>
              </w:rPr>
            </w:pPr>
          </w:p>
        </w:tc>
        <w:tc>
          <w:tcPr>
            <w:tcW w:w="2720" w:type="pct"/>
          </w:tcPr>
          <w:p w14:paraId="152C399B">
            <w:pPr>
              <w:rPr>
                <w:rFonts w:ascii="Arial" w:hAnsi="Arial" w:cs="Arial"/>
                <w:color w:val="000000" w:themeColor="text1"/>
                <w:sz w:val="20"/>
                <w:szCs w:val="20"/>
                <w14:textFill>
                  <w14:solidFill>
                    <w14:schemeClr w14:val="tx1"/>
                  </w14:solidFill>
                </w14:textFill>
              </w:rPr>
            </w:pPr>
            <w:r>
              <w:rPr>
                <w:rFonts w:ascii="Arial" w:hAnsi="Arial" w:cs="Arial"/>
                <w:sz w:val="20"/>
              </w:rPr>
              <w:t>《湖南省乡村振兴战略规划（2018—2022年）》（2018.9）</w:t>
            </w:r>
          </w:p>
        </w:tc>
        <w:tc>
          <w:tcPr>
            <w:tcW w:w="1168" w:type="pct"/>
            <w:vMerge w:val="continue"/>
          </w:tcPr>
          <w:p w14:paraId="5CAA99CB">
            <w:pPr>
              <w:rPr>
                <w:rFonts w:ascii="Arial" w:hAnsi="Arial" w:cs="Arial"/>
                <w:color w:val="000000" w:themeColor="text1"/>
                <w:sz w:val="20"/>
                <w:szCs w:val="20"/>
                <w14:textFill>
                  <w14:solidFill>
                    <w14:schemeClr w14:val="tx1"/>
                  </w14:solidFill>
                </w14:textFill>
              </w:rPr>
            </w:pPr>
          </w:p>
        </w:tc>
      </w:tr>
      <w:bookmarkEnd w:id="377"/>
    </w:tbl>
    <w:p w14:paraId="41F21ED0">
      <w:pPr>
        <w:pStyle w:val="3"/>
        <w:numPr>
          <w:ilvl w:val="1"/>
          <w:numId w:val="21"/>
        </w:numPr>
        <w:rPr>
          <w:color w:val="1F4E79" w:themeColor="accent5" w:themeShade="80"/>
          <w:sz w:val="24"/>
        </w:rPr>
      </w:pPr>
      <w:bookmarkStart w:id="381" w:name="_Toc119937297"/>
      <w:bookmarkStart w:id="382" w:name="_Toc86683186"/>
      <w:bookmarkStart w:id="383" w:name="_Toc114235829"/>
      <w:bookmarkStart w:id="384" w:name="_Toc79402236"/>
      <w:bookmarkStart w:id="385" w:name="_Toc90729521"/>
      <w:r>
        <w:rPr>
          <w:color w:val="1F4E79" w:themeColor="accent5" w:themeShade="80"/>
          <w:sz w:val="24"/>
        </w:rPr>
        <w:t>社会法规政策评估</w:t>
      </w:r>
      <w:bookmarkEnd w:id="381"/>
      <w:bookmarkEnd w:id="382"/>
      <w:bookmarkEnd w:id="383"/>
      <w:bookmarkEnd w:id="384"/>
      <w:bookmarkEnd w:id="385"/>
    </w:p>
    <w:p w14:paraId="0094D93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中国法律框架包括三个方面：1）全国人大和国务院颁布的法律法规；2）部委颁布的规章、标准和技术规范；3）地方人民代表大会和地方政府颁布的</w:t>
      </w:r>
      <w:r>
        <w:rPr>
          <w:rFonts w:hint="eastAsia" w:ascii="Arial" w:hAnsi="Arial" w:cs="Arial"/>
          <w:sz w:val="22"/>
          <w:lang w:eastAsia="zh-CN"/>
        </w:rPr>
        <w:t>法律法规</w:t>
      </w:r>
      <w:r>
        <w:rPr>
          <w:rFonts w:ascii="Arial" w:hAnsi="Arial" w:cs="Arial"/>
          <w:sz w:val="22"/>
        </w:rPr>
        <w:t>。总体而言，国家层面、湖北和湖南两省及市县政府在征地和移民、少数民族发展、劳动权益、公众参与及咨询和申诉抱怨等方面已</w:t>
      </w:r>
      <w:r>
        <w:rPr>
          <w:rFonts w:hint="eastAsia" w:ascii="Arial" w:hAnsi="Arial" w:cs="Arial"/>
          <w:sz w:val="22"/>
          <w:lang w:eastAsia="zh-CN"/>
        </w:rPr>
        <w:t>建立</w:t>
      </w:r>
      <w:r>
        <w:rPr>
          <w:rFonts w:ascii="Arial" w:hAnsi="Arial" w:cs="Arial"/>
          <w:sz w:val="22"/>
        </w:rPr>
        <w:t>并实施相关的法规、标准和政策，系统管理项目周期内潜在的社会影响和风险。</w:t>
      </w:r>
    </w:p>
    <w:p w14:paraId="695D1F8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fldChar w:fldCharType="begin"/>
      </w:r>
      <w:r>
        <w:rPr>
          <w:rFonts w:ascii="Arial" w:hAnsi="Arial" w:cs="Arial"/>
          <w:sz w:val="22"/>
        </w:rPr>
        <w:instrText xml:space="preserve"> REF _Ref91099889 \r \h  \* MERGEFORMAT </w:instrText>
      </w:r>
      <w:r>
        <w:rPr>
          <w:rFonts w:ascii="Arial" w:hAnsi="Arial" w:cs="Arial"/>
          <w:sz w:val="22"/>
        </w:rPr>
        <w:fldChar w:fldCharType="separate"/>
      </w:r>
      <w:r>
        <w:rPr>
          <w:rFonts w:ascii="Arial" w:hAnsi="Arial" w:cs="Arial"/>
          <w:sz w:val="22"/>
        </w:rPr>
        <w:t>附件3</w:t>
      </w:r>
      <w:r>
        <w:rPr>
          <w:rFonts w:ascii="Arial" w:hAnsi="Arial" w:cs="Arial"/>
          <w:sz w:val="22"/>
        </w:rPr>
        <w:fldChar w:fldCharType="end"/>
      </w:r>
      <w:r>
        <w:rPr>
          <w:rFonts w:ascii="Arial" w:hAnsi="Arial" w:cs="Arial"/>
          <w:sz w:val="22"/>
        </w:rPr>
        <w:t>详细对比了世行政策和项目适用的社会管理法规。本节对照各项核心原则与要素，逐一总结对比分析了相关社会管理法规与世行政策的符合性，进而识别出现有社会法规政策方面存在的差距，并提出改进的行动计划和建议。</w:t>
      </w:r>
    </w:p>
    <w:p w14:paraId="348EE851">
      <w:pPr>
        <w:pStyle w:val="4"/>
        <w:numPr>
          <w:ilvl w:val="2"/>
          <w:numId w:val="23"/>
        </w:numPr>
        <w:tabs>
          <w:tab w:val="left" w:pos="851"/>
        </w:tabs>
        <w:adjustRightInd w:val="0"/>
        <w:snapToGrid w:val="0"/>
        <w:spacing w:before="120" w:after="120" w:line="240" w:lineRule="auto"/>
        <w:ind w:left="0" w:firstLine="0"/>
        <w:rPr>
          <w:rFonts w:ascii="Arial" w:hAnsi="Arial" w:cs="Arial"/>
          <w:sz w:val="22"/>
        </w:rPr>
      </w:pPr>
      <w:bookmarkStart w:id="386" w:name="_Toc90729522"/>
      <w:bookmarkStart w:id="387" w:name="_Toc119937298"/>
      <w:bookmarkStart w:id="388" w:name="_Toc114235830"/>
      <w:r>
        <w:rPr>
          <w:rFonts w:ascii="Arial" w:hAnsi="Arial" w:cs="Arial"/>
          <w:sz w:val="22"/>
          <w:szCs w:val="22"/>
        </w:rPr>
        <w:t>核心原则1 可持续的社会风险管理体系</w:t>
      </w:r>
      <w:r>
        <w:rPr>
          <w:rFonts w:ascii="Arial" w:hAnsi="Arial" w:cs="Arial"/>
          <w:sz w:val="20"/>
          <w:szCs w:val="20"/>
          <w:vertAlign w:val="superscript"/>
        </w:rPr>
        <w:footnoteReference w:id="9"/>
      </w:r>
      <w:bookmarkEnd w:id="386"/>
      <w:bookmarkEnd w:id="387"/>
      <w:bookmarkEnd w:id="388"/>
    </w:p>
    <w:p w14:paraId="697336C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核心原则1包括两个要素，均与社会法规政策相关，以下总结社会政策与其一致性。</w:t>
      </w:r>
    </w:p>
    <w:p w14:paraId="040A4C57">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要素1：</w:t>
      </w:r>
      <w:r>
        <w:rPr>
          <w:rFonts w:ascii="Arial" w:hAnsi="Arial" w:eastAsia="宋体" w:cs="Arial"/>
          <w:lang w:eastAsia="zh-CN"/>
        </w:rPr>
        <w:t>在项目层面，法律框架和管理机构能够充分地指导社会评估。</w:t>
      </w:r>
    </w:p>
    <w:p w14:paraId="1A1F4E5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社会稳定风险评估（SSRA）：</w:t>
      </w:r>
      <w:r>
        <w:rPr>
          <w:rFonts w:ascii="Arial" w:hAnsi="Arial" w:cs="Arial"/>
          <w:sz w:val="22"/>
        </w:rPr>
        <w:t>中国政府以社会稳定风险评估为工具对重大项目、重大政策、重大政策以及重大改革等可能涉及的关键的</w:t>
      </w:r>
      <w:r>
        <w:rPr>
          <w:rFonts w:hint="eastAsia" w:ascii="Arial" w:hAnsi="Arial" w:cs="Arial"/>
          <w:sz w:val="22"/>
          <w:lang w:eastAsia="zh-CN"/>
        </w:rPr>
        <w:t>（</w:t>
      </w:r>
      <w:r>
        <w:rPr>
          <w:rFonts w:ascii="Arial" w:hAnsi="Arial" w:cs="Arial"/>
          <w:sz w:val="22"/>
        </w:rPr>
        <w:t>substantial</w:t>
      </w:r>
      <w:r>
        <w:rPr>
          <w:rFonts w:hint="eastAsia" w:ascii="Arial" w:hAnsi="Arial" w:cs="Arial"/>
          <w:sz w:val="22"/>
          <w:lang w:eastAsia="zh-CN"/>
        </w:rPr>
        <w:t>）</w:t>
      </w:r>
      <w:r>
        <w:rPr>
          <w:rFonts w:ascii="Arial" w:hAnsi="Arial" w:cs="Arial"/>
          <w:sz w:val="22"/>
        </w:rPr>
        <w:t>社会影响和风险进行综合性管理。通过建立和实施一整套社会稳定风险评估体系，主动对社会影响进行化解和管理，从而推动科学决策和项目与社会可持续发展。</w:t>
      </w:r>
    </w:p>
    <w:p w14:paraId="3E0E3ECB">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国家发展改革委于2012年出台了重大固定资产投资项目社会稳定风险评估暂行办法。该办法要求，项目单位在组织开展重大项目前期工作时，应当对社会稳定风险进行调查分析，征询相关群众意见，查找并列出风险点、风险发生的可能性及影响程度，提出</w:t>
      </w:r>
      <w:r>
        <w:rPr>
          <w:rFonts w:hint="eastAsia" w:ascii="Arial" w:hAnsi="Arial" w:eastAsia="宋体" w:cs="Arial"/>
          <w:lang w:eastAsia="zh-CN"/>
        </w:rPr>
        <w:t>防范化解风险</w:t>
      </w:r>
      <w:r>
        <w:rPr>
          <w:rFonts w:ascii="Arial" w:hAnsi="Arial" w:eastAsia="宋体" w:cs="Arial"/>
          <w:lang w:eastAsia="zh-CN"/>
        </w:rPr>
        <w:t>的方案措施，提出采取相关措施后的社会稳定风险等级建议。</w:t>
      </w:r>
    </w:p>
    <w:p w14:paraId="438BD8FF">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国务院办公厅2012年颁布了《关于建立健全重大决策事项社会稳定风险评估机制的指导意见（试行）》，要求对重大决策事项，重大工程项目建设、重大政策制定等也应进行社会稳定风险评估。</w:t>
      </w:r>
    </w:p>
    <w:p w14:paraId="67109403">
      <w:pPr>
        <w:pStyle w:val="66"/>
        <w:numPr>
          <w:ilvl w:val="0"/>
          <w:numId w:val="24"/>
        </w:numPr>
        <w:tabs>
          <w:tab w:val="clear" w:pos="540"/>
        </w:tabs>
        <w:snapToGrid w:val="0"/>
        <w:spacing w:before="0" w:after="0"/>
        <w:ind w:left="720"/>
        <w:jc w:val="both"/>
        <w:rPr>
          <w:rFonts w:ascii="Arial" w:hAnsi="Arial" w:eastAsia="宋体" w:cs="Arial"/>
          <w:lang w:eastAsia="zh-CN"/>
        </w:rPr>
      </w:pPr>
      <w:r>
        <w:rPr>
          <w:rFonts w:ascii="Arial" w:hAnsi="Arial" w:eastAsia="宋体" w:cs="Arial"/>
          <w:lang w:eastAsia="zh-CN"/>
        </w:rPr>
        <w:t>2020年2月，中共中央办公厅和国务院办公厅发出了《关于加强新形势下重大决策社会稳定风险评估机制建设的意见》，要求包括重要建设项目在内的重大事项决策之前，均必须进行社会稳定风险评估。该意见对社会稳定风险评估的内容、评估方式、评估程序、评估管理、评估结果运用等方面做出了规定。《意见》特别强调社会稳定风险评估内容是项目可行性研究、项目申请报告必不可少的内容。</w:t>
      </w:r>
    </w:p>
    <w:p w14:paraId="020B2E14">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在国务院办公厅2012年颁布了《关于建立健全重大决策事项社会稳定风险评估机制的指导意见（试行）》之后，湖</w:t>
      </w:r>
      <w:r>
        <w:rPr>
          <w:rFonts w:hint="eastAsia" w:ascii="Arial" w:hAnsi="Arial" w:eastAsia="宋体" w:cs="Arial"/>
          <w:lang w:eastAsia="zh-CN"/>
        </w:rPr>
        <w:t>北省</w:t>
      </w:r>
      <w:r>
        <w:rPr>
          <w:rFonts w:ascii="Arial" w:hAnsi="Arial" w:eastAsia="宋体" w:cs="Arial"/>
          <w:lang w:eastAsia="zh-CN"/>
        </w:rPr>
        <w:t>和湖南省分别出台了《湖北省重大决策社会稳定风险评估工作实施细则（试行）》和《湖南省司法行政系统重大决策（事项）社会稳定风险评估实施办法（试行）》，明确了实施社会稳定风险评估的要求。2021年12月，上述两省政策分别被新颁布的《关于进一步加强新形势下重大决策社会稳定风险评估工作的实施意见》（鄂办发</w:t>
      </w:r>
      <w:r>
        <w:rPr>
          <w:rFonts w:hint="eastAsia" w:ascii="Arial" w:hAnsi="Arial" w:eastAsia="宋体" w:cs="Arial"/>
          <w:lang w:eastAsia="zh-CN"/>
        </w:rPr>
        <w:t>〔2021〕35号</w:t>
      </w:r>
      <w:r>
        <w:rPr>
          <w:rFonts w:ascii="Arial" w:hAnsi="Arial" w:eastAsia="宋体" w:cs="Arial"/>
          <w:lang w:eastAsia="zh-CN"/>
        </w:rPr>
        <w:t>）和《关于加强新形势下重大决策社会稳定风险评估工作的实施意见》（湘办发</w:t>
      </w:r>
      <w:r>
        <w:rPr>
          <w:rFonts w:hint="eastAsia" w:ascii="Arial" w:hAnsi="Arial" w:eastAsia="宋体" w:cs="Arial"/>
          <w:lang w:eastAsia="zh-CN"/>
        </w:rPr>
        <w:t>〔2021〕27号</w:t>
      </w:r>
      <w:r>
        <w:rPr>
          <w:rFonts w:ascii="Arial" w:hAnsi="Arial" w:eastAsia="宋体" w:cs="Arial"/>
          <w:lang w:eastAsia="zh-CN"/>
        </w:rPr>
        <w:t>）所替代。后者对湖北和湖南省内重大决策社会稳定风险评估的内容、评估方式、评估程序、评估管理、评估结果运用等方面做出了详细的规定。</w:t>
      </w:r>
    </w:p>
    <w:p w14:paraId="01F379D4">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w:t>
      </w:r>
      <w:r>
        <w:rPr>
          <w:rFonts w:hint="eastAsia" w:ascii="Arial" w:hAnsi="Arial" w:eastAsia="宋体" w:cs="Arial"/>
          <w:lang w:eastAsia="zh-CN"/>
        </w:rPr>
        <w:t>中华人民共和国土地管理法</w:t>
      </w:r>
      <w:r>
        <w:rPr>
          <w:rFonts w:ascii="Arial" w:hAnsi="Arial" w:eastAsia="宋体" w:cs="Arial"/>
          <w:lang w:eastAsia="zh-CN"/>
        </w:rPr>
        <w:t>》（2020年1月1日起实施）要求项目土地征收和拆迁开展前也应开展社会稳定风险评估。</w:t>
      </w:r>
    </w:p>
    <w:p w14:paraId="7495753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u w:val="single"/>
        </w:rPr>
      </w:pPr>
      <w:r>
        <w:rPr>
          <w:rFonts w:ascii="Arial" w:hAnsi="Arial" w:cs="Arial"/>
          <w:b/>
          <w:bCs/>
          <w:sz w:val="22"/>
        </w:rPr>
        <w:t>评估：</w:t>
      </w:r>
      <w:r>
        <w:rPr>
          <w:rFonts w:ascii="Arial" w:hAnsi="Arial" w:cs="Arial"/>
          <w:sz w:val="22"/>
        </w:rPr>
        <w:t>社会稳定风险评估是项目申请和可行性研究过程中的重要程序要求。中国湖北和湖南已制定和实施相关政策、机制、标准以及管理程序用以规范社会稳定风险评估。通过调查和评估了解到，相关市县部门重视社会稳定风险评估的实施，政府决策时也会参考风险评估的结论和风险分级。因此，社会法规政策总体上与要素1基本一致。</w:t>
      </w:r>
      <w:bookmarkStart w:id="389" w:name="_Hlk90671158"/>
    </w:p>
    <w:bookmarkEnd w:id="389"/>
    <w:p w14:paraId="39C66FFC">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要素2：</w:t>
      </w:r>
      <w:r>
        <w:rPr>
          <w:rFonts w:ascii="Arial" w:hAnsi="Arial" w:eastAsia="宋体" w:cs="Arial"/>
          <w:lang w:eastAsia="zh-CN"/>
        </w:rPr>
        <w:t>社会评估和管理过程中采用良好实践，包括6项元素</w:t>
      </w:r>
      <w:r>
        <w:rPr>
          <w:rFonts w:hint="eastAsia" w:ascii="Arial" w:hAnsi="Arial" w:eastAsia="宋体" w:cs="Arial"/>
          <w:lang w:eastAsia="zh-CN"/>
        </w:rPr>
        <w:t>（</w:t>
      </w:r>
      <w:r>
        <w:rPr>
          <w:rFonts w:ascii="Arial" w:hAnsi="Arial" w:eastAsia="宋体" w:cs="Arial"/>
          <w:lang w:eastAsia="zh-CN"/>
        </w:rPr>
        <w:t>aspects</w:t>
      </w:r>
      <w:r>
        <w:rPr>
          <w:rFonts w:hint="eastAsia" w:ascii="Arial" w:hAnsi="Arial" w:eastAsia="宋体" w:cs="Arial"/>
          <w:lang w:eastAsia="zh-CN"/>
        </w:rPr>
        <w:t>）</w:t>
      </w:r>
      <w:r>
        <w:rPr>
          <w:rFonts w:ascii="Arial" w:hAnsi="Arial" w:eastAsia="宋体" w:cs="Arial"/>
          <w:lang w:eastAsia="zh-CN"/>
        </w:rPr>
        <w:t>。</w:t>
      </w:r>
    </w:p>
    <w:p w14:paraId="0CC2DF8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根据社会风险筛查结果（</w:t>
      </w:r>
      <w:r>
        <w:rPr>
          <w:rFonts w:ascii="Arial" w:hAnsi="Arial" w:cs="Arial"/>
          <w:sz w:val="22"/>
        </w:rPr>
        <w:fldChar w:fldCharType="begin"/>
      </w:r>
      <w:r>
        <w:rPr>
          <w:rFonts w:ascii="Arial" w:hAnsi="Arial" w:cs="Arial"/>
          <w:sz w:val="22"/>
        </w:rPr>
        <w:instrText xml:space="preserve"> REF _Ref91099872 \r \h  \* MERGEFORMAT </w:instrText>
      </w:r>
      <w:r>
        <w:rPr>
          <w:rFonts w:ascii="Arial" w:hAnsi="Arial" w:cs="Arial"/>
          <w:sz w:val="22"/>
        </w:rPr>
        <w:fldChar w:fldCharType="separate"/>
      </w:r>
      <w:r>
        <w:rPr>
          <w:rFonts w:ascii="Arial" w:hAnsi="Arial" w:cs="Arial"/>
          <w:sz w:val="22"/>
        </w:rPr>
        <w:t>附件2</w:t>
      </w:r>
      <w:r>
        <w:rPr>
          <w:rFonts w:ascii="Arial" w:hAnsi="Arial" w:cs="Arial"/>
          <w:sz w:val="22"/>
        </w:rPr>
        <w:fldChar w:fldCharType="end"/>
      </w:r>
      <w:r>
        <w:rPr>
          <w:rFonts w:ascii="Arial" w:hAnsi="Arial" w:cs="Arial"/>
          <w:sz w:val="22"/>
        </w:rPr>
        <w:t>），湖北和湖南相关活动不涉及诱发、累积和跨境社会影响，社会影响评价的一致性分析见以上要素1。以下分别分析与要素2中5项元素的一致性。</w:t>
      </w:r>
    </w:p>
    <w:p w14:paraId="2B0614B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i</w:t>
      </w:r>
      <w:r>
        <w:rPr>
          <w:rFonts w:hint="eastAsia" w:ascii="Arial" w:hAnsi="Arial" w:cs="Arial"/>
          <w:b/>
          <w:bCs/>
          <w:sz w:val="22"/>
          <w:lang w:eastAsia="zh-CN"/>
        </w:rPr>
        <w:t>）</w:t>
      </w:r>
      <w:r>
        <w:rPr>
          <w:rFonts w:ascii="Arial" w:hAnsi="Arial" w:cs="Arial"/>
          <w:b/>
          <w:bCs/>
          <w:sz w:val="22"/>
        </w:rPr>
        <w:t xml:space="preserve"> 早期影响筛查：</w:t>
      </w:r>
      <w:r>
        <w:rPr>
          <w:rFonts w:ascii="Arial" w:hAnsi="Arial" w:cs="Arial"/>
          <w:sz w:val="22"/>
        </w:rPr>
        <w:t>项目选址和可研过程中应协调各相关部门（如自然资源局、文物局等）进行联合踏勘，对影响和风险进行筛查。例如，《建设项目用地预审管理办法》</w:t>
      </w:r>
      <w:r>
        <w:rPr>
          <w:rFonts w:hint="eastAsia" w:ascii="Arial" w:hAnsi="Arial" w:cs="Arial"/>
          <w:sz w:val="22"/>
          <w:lang w:eastAsia="zh-CN"/>
        </w:rPr>
        <w:t>（</w:t>
      </w:r>
      <w:r>
        <w:rPr>
          <w:rFonts w:ascii="Arial" w:hAnsi="Arial" w:cs="Arial"/>
          <w:sz w:val="22"/>
        </w:rPr>
        <w:t>2017</w:t>
      </w:r>
      <w:r>
        <w:rPr>
          <w:rFonts w:hint="eastAsia" w:ascii="Arial" w:hAnsi="Arial" w:cs="Arial"/>
          <w:sz w:val="22"/>
          <w:lang w:eastAsia="zh-CN"/>
        </w:rPr>
        <w:t>）</w:t>
      </w:r>
      <w:r>
        <w:rPr>
          <w:rFonts w:ascii="Arial" w:hAnsi="Arial" w:cs="Arial"/>
          <w:sz w:val="22"/>
        </w:rPr>
        <w:t>和《</w:t>
      </w:r>
      <w:r>
        <w:rPr>
          <w:rFonts w:hint="eastAsia" w:ascii="Arial" w:hAnsi="Arial" w:cs="Arial"/>
          <w:sz w:val="22"/>
          <w:lang w:eastAsia="zh-CN"/>
        </w:rPr>
        <w:t>中华人民共和国土地管理法</w:t>
      </w:r>
      <w:r>
        <w:rPr>
          <w:rFonts w:ascii="Arial" w:hAnsi="Arial" w:cs="Arial"/>
          <w:sz w:val="22"/>
        </w:rPr>
        <w:t>》（2020年1月1日起实施）要求从建设项目符合土地利用规划和避免征用基本农田的角度进行筛选。《</w:t>
      </w:r>
      <w:r>
        <w:rPr>
          <w:rFonts w:hint="eastAsia" w:ascii="Arial" w:hAnsi="Arial" w:cs="Arial"/>
          <w:sz w:val="22"/>
          <w:lang w:eastAsia="zh-CN"/>
        </w:rPr>
        <w:t>中华人民共和国文物保护法</w:t>
      </w:r>
      <w:r>
        <w:rPr>
          <w:rFonts w:ascii="Arial" w:hAnsi="Arial" w:cs="Arial"/>
          <w:sz w:val="22"/>
        </w:rPr>
        <w:t>》（2014年修订）要求项目选址前应开展文物调查尽量避免影响文物。《地质灾害防治条例》（2004）要求项目选址尽量避开灾害区域，对在地质灾害易发区内进行建设的项目，通过开展地质灾害评估明确灾害防治要求，从而减轻公众安全风险。小型村庄建设项目</w:t>
      </w:r>
      <w:r>
        <w:rPr>
          <w:rStyle w:val="46"/>
          <w:rFonts w:ascii="Arial" w:hAnsi="Arial" w:cs="Arial"/>
          <w:sz w:val="22"/>
        </w:rPr>
        <w:footnoteReference w:id="10"/>
      </w:r>
      <w:r>
        <w:rPr>
          <w:rFonts w:ascii="Arial" w:hAnsi="Arial" w:cs="Arial"/>
          <w:sz w:val="22"/>
        </w:rPr>
        <w:t>涉及新增建设用地的，项目单位须提供县级自然资源部门核发的建设项目用地预审与选址意见书。</w:t>
      </w:r>
    </w:p>
    <w:p w14:paraId="2356503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（ⅱ）</w:t>
      </w:r>
      <w:r>
        <w:rPr>
          <w:rFonts w:ascii="Arial" w:hAnsi="Arial" w:cs="Arial"/>
          <w:b/>
          <w:bCs/>
          <w:sz w:val="22"/>
        </w:rPr>
        <w:t xml:space="preserve"> 方案比选：</w:t>
      </w:r>
      <w:r>
        <w:rPr>
          <w:rFonts w:ascii="Arial" w:hAnsi="Arial" w:cs="Arial"/>
          <w:sz w:val="22"/>
        </w:rPr>
        <w:t>项目选址和可行性研究过程中要求对方案进行比选分析。《中华人民共和国行政许可法》和《国务院对确需保留的行政审批项目设定行政许可的决定》要求，项目可行性研究应比较不同方案的环境与社会影响程度，避免或尽量减少项目实施对当地环境和社会的负面影响。《重大固定资产投资项目社会稳定风险分析篇章和评估报告编制大纲（试行）的通知》（2013）中还明确，在规划选址、土地房屋征收补偿、移民安置、环境保护等方面，项目实施单位及其评估机构要征求项目所在地政府、有关部门及基层组织、社会团体等对拟建项目的支持态度，从而选取社会稳定风险可接受的方案。</w:t>
      </w:r>
    </w:p>
    <w:p w14:paraId="414FC7E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390" w:name="_Hlk65231048"/>
      <w:r>
        <w:rPr>
          <w:rFonts w:hint="eastAsia" w:ascii="Arial" w:hAnsi="Arial" w:cs="Arial"/>
          <w:b/>
          <w:bCs/>
          <w:sz w:val="22"/>
          <w:lang w:eastAsia="zh-CN"/>
        </w:rPr>
        <w:t>（ⅲ）</w:t>
      </w:r>
      <w:r>
        <w:rPr>
          <w:rFonts w:ascii="Arial" w:hAnsi="Arial" w:cs="Arial"/>
          <w:b/>
          <w:bCs/>
          <w:sz w:val="22"/>
        </w:rPr>
        <w:t xml:space="preserve"> 制定措施避免、减少和减缓社会影响：</w:t>
      </w:r>
      <w:r>
        <w:rPr>
          <w:rFonts w:ascii="Arial" w:hAnsi="Arial" w:cs="Arial"/>
          <w:sz w:val="22"/>
        </w:rPr>
        <w:t>《重大固定资产投资项目社会稳定风险分析篇章和评估报告编制大纲（试行）的通知（2013</w:t>
      </w:r>
      <w:r>
        <w:rPr>
          <w:rFonts w:hint="eastAsia" w:ascii="Arial" w:hAnsi="Arial" w:cs="Arial"/>
          <w:sz w:val="22"/>
          <w:lang w:eastAsia="zh-CN"/>
        </w:rPr>
        <w:t>）</w:t>
      </w:r>
      <w:r>
        <w:rPr>
          <w:rFonts w:ascii="Arial" w:hAnsi="Arial" w:cs="Arial"/>
          <w:sz w:val="22"/>
        </w:rPr>
        <w:t>》要求提出</w:t>
      </w:r>
      <w:r>
        <w:rPr>
          <w:rFonts w:hint="eastAsia" w:ascii="Arial" w:hAnsi="Arial" w:cs="Arial"/>
          <w:sz w:val="22"/>
          <w:lang w:eastAsia="zh-CN"/>
        </w:rPr>
        <w:t>防范化解风险</w:t>
      </w:r>
      <w:r>
        <w:rPr>
          <w:rFonts w:ascii="Arial" w:hAnsi="Arial" w:cs="Arial"/>
          <w:sz w:val="22"/>
        </w:rPr>
        <w:t>的方案措施。《关于建立重大决策事项社会稳定风险评估机制指导意见（试行）》中规定，评估报告认为决策事项存在高风险，应当区别情况作出不实施的决策，或者调整决策方案、降低风险等级后再行决策；存在中风险的，待采取有效的防范、化解风险措施后，再作出实施的决策；存在低风险的，作出可以实施的决策，但要做好解释说服工作，妥善处理相关群众的合理诉求。社会稳定风险评估还应评估决策事项的合法性、合理性、可行性和可控性，并要求制定相应的应急处置预案。</w:t>
      </w:r>
    </w:p>
    <w:bookmarkEnd w:id="390"/>
    <w:p w14:paraId="2CB51A8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（ⅳ）</w:t>
      </w:r>
      <w:r>
        <w:rPr>
          <w:rFonts w:ascii="Arial" w:hAnsi="Arial" w:cs="Arial"/>
          <w:b/>
          <w:bCs/>
          <w:sz w:val="22"/>
        </w:rPr>
        <w:t xml:space="preserve"> 明确实施减缓措施的机构职责和预算来源：</w:t>
      </w:r>
      <w:r>
        <w:rPr>
          <w:rFonts w:ascii="Arial" w:hAnsi="Arial" w:cs="Arial"/>
          <w:sz w:val="22"/>
        </w:rPr>
        <w:t>《关于建立重大决策事项社会稳定风险评估机制指导意见（试行）》在关于制定影响和风险管理措施部分，要求拟给予的补偿、安置或者救助是否合理公平及时，实施是否具备相应的人力物力财力进行评估。</w:t>
      </w:r>
    </w:p>
    <w:p w14:paraId="3AC666B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v</w:t>
      </w:r>
      <w:r>
        <w:rPr>
          <w:rFonts w:hint="eastAsia" w:ascii="Arial" w:hAnsi="Arial" w:cs="Arial"/>
          <w:b/>
          <w:bCs/>
          <w:sz w:val="22"/>
          <w:lang w:eastAsia="zh-CN"/>
        </w:rPr>
        <w:t>）</w:t>
      </w:r>
      <w:r>
        <w:rPr>
          <w:rFonts w:ascii="Arial" w:hAnsi="Arial" w:cs="Arial"/>
          <w:b/>
          <w:bCs/>
          <w:sz w:val="22"/>
        </w:rPr>
        <w:t xml:space="preserve"> 公众参与、信息公开和申诉机制（GRM）：</w:t>
      </w:r>
      <w:r>
        <w:rPr>
          <w:rFonts w:ascii="Arial" w:hAnsi="Arial" w:cs="Arial"/>
          <w:sz w:val="22"/>
        </w:rPr>
        <w:t>湖</w:t>
      </w:r>
      <w:r>
        <w:rPr>
          <w:rFonts w:hint="eastAsia" w:ascii="Arial" w:hAnsi="Arial" w:cs="Arial"/>
          <w:sz w:val="22"/>
          <w:lang w:eastAsia="zh-CN"/>
        </w:rPr>
        <w:t>北省</w:t>
      </w:r>
      <w:r>
        <w:rPr>
          <w:rFonts w:ascii="Arial" w:hAnsi="Arial" w:cs="Arial"/>
          <w:sz w:val="22"/>
        </w:rPr>
        <w:t>和湖南省社会稳定风险评估政策均要求对各方案涉及的利益相关方进行公众咨询，听取各方面的意见和建议，包括</w:t>
      </w:r>
      <w:r>
        <w:rPr>
          <w:rFonts w:ascii="Arial" w:hAnsi="Arial" w:cs="Arial"/>
          <w:color w:val="000000"/>
          <w:sz w:val="22"/>
          <w:shd w:val="clear" w:color="auto" w:fill="FFFFFF"/>
        </w:rPr>
        <w:t>调查大众媒体含网络媒体及移动媒体等新兴媒体对拟建项目的意见、诉求和舆论导向等</w:t>
      </w:r>
      <w:r>
        <w:rPr>
          <w:rFonts w:ascii="Arial" w:hAnsi="Arial" w:cs="Arial"/>
          <w:sz w:val="22"/>
        </w:rPr>
        <w:t>。《重大固定资产投资项目社会稳定风险分析篇章和评估报告编制大纲（试行）的通知》（2013）中明确，项目实施单位及其评估机构要征求项目所在地政府、有关部门及基层组织、社会团体等对拟建项目的支持态度。另外，该文件还要求对项目的公众参与完备性进行评估，包括拟建项目是否按照有关规定履行了公众参与、专家咨询、信息公开等程序性的要求。涉及征地和拆迁的项目，《</w:t>
      </w:r>
      <w:r>
        <w:rPr>
          <w:rFonts w:hint="eastAsia" w:ascii="Arial" w:hAnsi="Arial" w:cs="Arial"/>
          <w:sz w:val="22"/>
          <w:lang w:eastAsia="zh-CN"/>
        </w:rPr>
        <w:t>中华人民共和国土地管理法</w:t>
      </w:r>
      <w:r>
        <w:rPr>
          <w:rFonts w:ascii="Arial" w:hAnsi="Arial" w:cs="Arial"/>
          <w:sz w:val="22"/>
        </w:rPr>
        <w:t>》（2020年1月1日起实施）要求，依照法定程序批准后，由县级以上地方人民政府予以公告并组织实施，并将征收范围、土地现状、征收目的、补偿标准、安置方式和社会保障等在拟征收土地所在的乡（镇）和村、村民小组范围内公告至少三十日，听取被征地的农村集体经济组织及其成员、村民委员会和其他利害关系人的意见。申诉方面，土地法要求，土地所有权和使用权争议，由当事人协商解决</w:t>
      </w:r>
      <w:r>
        <w:rPr>
          <w:rFonts w:hint="eastAsia" w:ascii="Arial" w:hAnsi="Arial" w:cs="Arial"/>
          <w:sz w:val="22"/>
          <w:lang w:eastAsia="zh-CN"/>
        </w:rPr>
        <w:t>；</w:t>
      </w:r>
      <w:r>
        <w:rPr>
          <w:rFonts w:ascii="Arial" w:hAnsi="Arial" w:cs="Arial"/>
          <w:sz w:val="22"/>
        </w:rPr>
        <w:t>协商不成的，由人民政府处理。当事人对有关人民政府的处理决定不服的，可以自接到处理决定通知之日起三十日内，向人民法院起诉。在土地所有权和使用权争议解决前，任何一方不得改变土地利用现状。建设单位或者个人对责令限期拆除的行政处罚决定不服的，可以在接到责令限期拆除决定之日起十五日内，向人民法院起诉。自然资源部2019年6月27日印发了《农村集体土地征收基层政务公开标准指引》，对项目征地政策、前期准备、报批、组织实施整个过程中公开的内容、时限、渠道和方式进行了详细规定。针对小型村庄建设项目，国家发展改革委等部委2020年发布的《关于村庄建设项目施行简易审批的指导意见》（发改农经〔2020〕1337号）明确提出，谋划实施项目，应当采取座谈调研、入户调查等方式听取村民诉求，充分尊重村民意愿，保障村民参与集体决策。在此基础上，湖北和湖南省鼓励项目选择、建设和管理等采用“村支两委讨论—公示—村民代表大会通过”的建管模式，充分保障广大群众享有的知情权、参与权、决策权和监督权。</w:t>
      </w:r>
    </w:p>
    <w:p w14:paraId="685F0F2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国家及湖北、湖南相应的社会方面法规主要以社会稳定风险评价和征地拆迁实施方面对主要的社会影响进行评估和管理。社会评估和管理过程中有明确的机制安排进行早期影响筛查、方案比选、并明确主要社会风险（如征地和移民、社会稳定风险等）的管理措施。法规系统明确了相应机构针对特定的影响进行管理。社会稳定风险管理及征地和拆迁相关法规建立了详细的体系要求进行信息公示、公众参与和申诉处理。因此，社会法规政策总体上与要素2一致。</w:t>
      </w:r>
      <w:bookmarkStart w:id="391" w:name="_Hlk90671174"/>
    </w:p>
    <w:bookmarkEnd w:id="391"/>
    <w:p w14:paraId="153C822D">
      <w:pPr>
        <w:pStyle w:val="4"/>
        <w:numPr>
          <w:ilvl w:val="2"/>
          <w:numId w:val="23"/>
        </w:numPr>
        <w:tabs>
          <w:tab w:val="left" w:pos="851"/>
        </w:tabs>
        <w:adjustRightInd w:val="0"/>
        <w:snapToGrid w:val="0"/>
        <w:spacing w:before="120" w:after="120" w:line="240" w:lineRule="auto"/>
        <w:ind w:left="0" w:firstLine="0"/>
        <w:rPr>
          <w:rFonts w:ascii="Arial" w:hAnsi="Arial" w:cs="Arial"/>
          <w:sz w:val="22"/>
          <w:szCs w:val="22"/>
        </w:rPr>
      </w:pPr>
      <w:bookmarkStart w:id="392" w:name="_Toc118800958"/>
      <w:bookmarkEnd w:id="392"/>
      <w:bookmarkStart w:id="393" w:name="_Toc119937299"/>
      <w:bookmarkEnd w:id="393"/>
      <w:bookmarkStart w:id="394" w:name="_Toc118182421"/>
      <w:bookmarkEnd w:id="394"/>
      <w:bookmarkStart w:id="395" w:name="_Toc119929024"/>
      <w:bookmarkEnd w:id="395"/>
      <w:bookmarkStart w:id="396" w:name="_Toc117538619"/>
      <w:bookmarkEnd w:id="396"/>
      <w:bookmarkStart w:id="397" w:name="_Toc117538551"/>
      <w:bookmarkEnd w:id="397"/>
      <w:bookmarkStart w:id="398" w:name="_Toc118224326"/>
      <w:bookmarkEnd w:id="398"/>
      <w:bookmarkStart w:id="399" w:name="_Toc117612431"/>
      <w:bookmarkEnd w:id="399"/>
      <w:bookmarkStart w:id="400" w:name="_Toc118828176"/>
      <w:bookmarkEnd w:id="400"/>
      <w:bookmarkStart w:id="401" w:name="_Toc117542193"/>
      <w:bookmarkEnd w:id="401"/>
      <w:bookmarkStart w:id="402" w:name="_Toc119928787"/>
      <w:bookmarkEnd w:id="402"/>
      <w:bookmarkStart w:id="403" w:name="_Toc114235831"/>
      <w:bookmarkStart w:id="404" w:name="_Toc119937300"/>
      <w:bookmarkStart w:id="405" w:name="_Toc90729523"/>
      <w:r>
        <w:rPr>
          <w:rFonts w:ascii="Arial" w:hAnsi="Arial" w:cs="Arial"/>
          <w:sz w:val="22"/>
          <w:szCs w:val="22"/>
        </w:rPr>
        <w:t>核心原则2 文物资源管理体系</w:t>
      </w:r>
      <w:bookmarkEnd w:id="403"/>
      <w:bookmarkEnd w:id="404"/>
      <w:bookmarkEnd w:id="405"/>
    </w:p>
    <w:p w14:paraId="4D5AC60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核心原则2下的要素3和要素4明确了自然栖息地管理要求，是环境管理系统的内容。社会法规评估仅评估与要素5的一致性。</w:t>
      </w:r>
    </w:p>
    <w:p w14:paraId="2E6CA210">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要素5：</w:t>
      </w:r>
      <w:r>
        <w:rPr>
          <w:rFonts w:ascii="Arial" w:hAnsi="Arial" w:eastAsia="宋体" w:cs="Arial"/>
          <w:lang w:eastAsia="zh-CN"/>
        </w:rPr>
        <w:t>充分考虑对物质文化遗产的潜在负面影响，实施适当措施避开、减少或减缓影响。</w:t>
      </w:r>
    </w:p>
    <w:p w14:paraId="1892024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文物保护：</w:t>
      </w:r>
      <w:r>
        <w:rPr>
          <w:rFonts w:ascii="Arial" w:hAnsi="Arial" w:cs="Arial"/>
          <w:sz w:val="22"/>
        </w:rPr>
        <w:t>湖北和湖南项目活动会涉及小型土建活动，如建设农村污水收集处理系统、农村生活垃圾收集处理系统和新建畜禽粪资源化利用设施等。根据社会影响筛查（</w:t>
      </w:r>
      <w:r>
        <w:rPr>
          <w:rFonts w:ascii="Arial" w:hAnsi="Arial" w:cs="Arial"/>
          <w:sz w:val="22"/>
        </w:rPr>
        <w:fldChar w:fldCharType="begin"/>
      </w:r>
      <w:r>
        <w:rPr>
          <w:rFonts w:ascii="Arial" w:hAnsi="Arial" w:cs="Arial"/>
          <w:sz w:val="22"/>
        </w:rPr>
        <w:instrText xml:space="preserve"> REF _Ref91099913 \r \h  \* MERGEFORMAT </w:instrText>
      </w:r>
      <w:r>
        <w:rPr>
          <w:rFonts w:ascii="Arial" w:hAnsi="Arial" w:cs="Arial"/>
          <w:sz w:val="22"/>
        </w:rPr>
        <w:fldChar w:fldCharType="separate"/>
      </w:r>
      <w:r>
        <w:rPr>
          <w:rFonts w:ascii="Arial" w:hAnsi="Arial" w:cs="Arial"/>
          <w:sz w:val="22"/>
        </w:rPr>
        <w:t>附件2</w:t>
      </w:r>
      <w:r>
        <w:rPr>
          <w:rFonts w:ascii="Arial" w:hAnsi="Arial" w:cs="Arial"/>
          <w:sz w:val="22"/>
        </w:rPr>
        <w:fldChar w:fldCharType="end"/>
      </w:r>
      <w:r>
        <w:rPr>
          <w:rFonts w:ascii="Arial" w:hAnsi="Arial" w:cs="Arial"/>
          <w:sz w:val="22"/>
        </w:rPr>
        <w:t>），本项目涉及物质文化遗产的可行性很低。中国已经建立并实施了完善的文物保护法对建设活动可能涉及的文物影响进行评估和管理。《</w:t>
      </w:r>
      <w:r>
        <w:rPr>
          <w:rFonts w:hint="eastAsia" w:ascii="Arial" w:hAnsi="Arial" w:cs="Arial"/>
          <w:sz w:val="22"/>
          <w:lang w:eastAsia="zh-CN"/>
        </w:rPr>
        <w:t>中华人民共和国文物保护法</w:t>
      </w:r>
      <w:r>
        <w:rPr>
          <w:rFonts w:ascii="Arial" w:hAnsi="Arial" w:cs="Arial"/>
          <w:sz w:val="22"/>
        </w:rPr>
        <w:t>》要求文物保护单位的保护范围内不得进行其他建设工程或者爆破、钻探、挖掘等作业，且在建设工程选址时，应尽可能避开不可移动文物。</w:t>
      </w:r>
      <w:bookmarkStart w:id="406" w:name="_Hlk78985267"/>
      <w:r>
        <w:rPr>
          <w:rFonts w:ascii="Arial" w:hAnsi="Arial" w:cs="Arial"/>
          <w:sz w:val="22"/>
        </w:rPr>
        <w:t>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对已有的污染文物保护单位及其环境的设施，应当限期治理。</w:t>
      </w:r>
      <w:bookmarkEnd w:id="406"/>
      <w:r>
        <w:rPr>
          <w:rFonts w:ascii="Arial" w:hAnsi="Arial" w:cs="Arial"/>
          <w:sz w:val="22"/>
        </w:rPr>
        <w:t>在进行大型基本建设工程，建设单位应当事先报请省人民政府文物行政部门，组织从事考古发掘的单位在工程范围内有可能埋藏文物的地方进行考古调查、勘探。</w:t>
      </w:r>
    </w:p>
    <w:p w14:paraId="346E15B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w:t>
      </w:r>
      <w:r>
        <w:rPr>
          <w:rFonts w:hint="eastAsia" w:ascii="Arial" w:hAnsi="Arial" w:cs="Arial"/>
          <w:sz w:val="22"/>
          <w:lang w:eastAsia="zh-CN"/>
        </w:rPr>
        <w:t>中华人民共和国文物保护法</w:t>
      </w:r>
      <w:r>
        <w:rPr>
          <w:rFonts w:ascii="Arial" w:hAnsi="Arial" w:cs="Arial"/>
          <w:sz w:val="22"/>
        </w:rPr>
        <w:t>》及《</w:t>
      </w:r>
      <w:r>
        <w:rPr>
          <w:rFonts w:hint="eastAsia" w:ascii="Arial" w:hAnsi="Arial" w:cs="Arial"/>
          <w:sz w:val="22"/>
          <w:lang w:eastAsia="zh-CN"/>
        </w:rPr>
        <w:t>中华人民共和国文物保护法实施条例</w:t>
      </w:r>
      <w:r>
        <w:rPr>
          <w:rFonts w:ascii="Arial" w:hAnsi="Arial" w:cs="Arial"/>
          <w:sz w:val="22"/>
        </w:rPr>
        <w:t>》已充分考虑了对文物资源的潜在影响，确保文物避免因项目建设而受到影响的风险。中国与湖北和湖南有关物质文化遗产保护的法规与要素5一致。</w:t>
      </w:r>
    </w:p>
    <w:p w14:paraId="7E42EE1B">
      <w:pPr>
        <w:pStyle w:val="4"/>
        <w:numPr>
          <w:ilvl w:val="2"/>
          <w:numId w:val="23"/>
        </w:numPr>
        <w:tabs>
          <w:tab w:val="left" w:pos="851"/>
        </w:tabs>
        <w:adjustRightInd w:val="0"/>
        <w:snapToGrid w:val="0"/>
        <w:spacing w:before="120" w:after="120" w:line="240" w:lineRule="auto"/>
        <w:ind w:left="0" w:firstLine="0"/>
        <w:rPr>
          <w:rFonts w:ascii="Arial" w:hAnsi="Arial" w:cs="Arial"/>
          <w:sz w:val="22"/>
          <w:szCs w:val="22"/>
        </w:rPr>
      </w:pPr>
      <w:bookmarkStart w:id="407" w:name="_Toc90729524"/>
      <w:bookmarkStart w:id="408" w:name="_Toc114235832"/>
      <w:bookmarkStart w:id="409" w:name="_Toc119937301"/>
      <w:r>
        <w:rPr>
          <w:rFonts w:ascii="Arial" w:hAnsi="Arial" w:cs="Arial"/>
          <w:sz w:val="22"/>
          <w:szCs w:val="22"/>
        </w:rPr>
        <w:t>核心原则3 公众和劳动者安全</w:t>
      </w:r>
      <w:bookmarkEnd w:id="407"/>
      <w:r>
        <w:rPr>
          <w:rFonts w:ascii="Arial" w:hAnsi="Arial" w:cs="Arial"/>
          <w:sz w:val="22"/>
          <w:szCs w:val="22"/>
        </w:rPr>
        <w:t>管理体系</w:t>
      </w:r>
      <w:bookmarkEnd w:id="408"/>
      <w:bookmarkEnd w:id="409"/>
    </w:p>
    <w:p w14:paraId="68B5749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核心原则3下的要素7明确了有毒有害物质和病虫害管理要求</w:t>
      </w:r>
      <w:r>
        <w:rPr>
          <w:rFonts w:hint="eastAsia" w:ascii="Arial" w:hAnsi="Arial" w:cs="Arial"/>
          <w:sz w:val="22"/>
          <w:lang w:eastAsia="zh-CN"/>
        </w:rPr>
        <w:t>，作</w:t>
      </w:r>
      <w:r>
        <w:rPr>
          <w:rFonts w:ascii="Arial" w:hAnsi="Arial" w:cs="Arial"/>
          <w:sz w:val="22"/>
        </w:rPr>
        <w:t>为环境系统分析的内容。社会法规分析及评估与要素6和要素8中有关公众安全和劳工安全要求的一致性。</w:t>
      </w:r>
    </w:p>
    <w:p w14:paraId="1446F5EA">
      <w:pPr>
        <w:pStyle w:val="66"/>
        <w:shd w:val="clear" w:color="auto" w:fill="D8D8D8" w:themeFill="background1" w:themeFillShade="D9"/>
        <w:tabs>
          <w:tab w:val="clear" w:pos="540"/>
        </w:tabs>
        <w:adjustRightInd w:val="0"/>
        <w:snapToGrid w:val="0"/>
        <w:spacing w:before="120" w:after="120"/>
        <w:jc w:val="both"/>
        <w:rPr>
          <w:rFonts w:ascii="Arial" w:hAnsi="Arial" w:eastAsia="宋体" w:cs="Arial"/>
          <w:lang w:eastAsia="zh-CN"/>
        </w:rPr>
      </w:pPr>
      <w:r>
        <w:rPr>
          <w:rFonts w:ascii="Arial" w:hAnsi="Arial" w:eastAsia="宋体" w:cs="Arial"/>
          <w:b/>
          <w:bCs/>
          <w:lang w:eastAsia="zh-CN"/>
        </w:rPr>
        <w:t>要素6：</w:t>
      </w:r>
      <w:r>
        <w:rPr>
          <w:rFonts w:ascii="Arial" w:hAnsi="Arial" w:eastAsia="宋体" w:cs="Arial"/>
          <w:lang w:eastAsia="zh-CN"/>
        </w:rPr>
        <w:t>通过项目设施安全设计、施工和运营，或在开展项目活动中采取安全措施、安全检查和必要的补救措施保证社区、个人和工人的安全。</w:t>
      </w:r>
    </w:p>
    <w:p w14:paraId="0154CDC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劳动者安全管理</w:t>
      </w:r>
      <w:r>
        <w:rPr>
          <w:rFonts w:ascii="Arial" w:hAnsi="Arial" w:cs="Arial"/>
          <w:sz w:val="22"/>
        </w:rPr>
        <w:t>：项目活动不可避免地涉及劳动者健康和安全风险，包括污水处理设施运营单位及其员工职业健康管理，产业基地配套设施建设和农村垃圾收集处理过程中的承包商工人健康和安全管理等。中国建立并实施一整套制度管理劳动者安全：</w:t>
      </w:r>
    </w:p>
    <w:p w14:paraId="2D68095D">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中国《</w:t>
      </w:r>
      <w:r>
        <w:rPr>
          <w:rFonts w:hint="eastAsia" w:ascii="Arial" w:hAnsi="Arial" w:eastAsia="宋体" w:cs="Arial"/>
          <w:lang w:eastAsia="zh-CN"/>
        </w:rPr>
        <w:t>中华人民共和国劳动法</w:t>
      </w:r>
      <w:r>
        <w:rPr>
          <w:rFonts w:ascii="Arial" w:hAnsi="Arial" w:eastAsia="宋体" w:cs="Arial"/>
          <w:lang w:eastAsia="zh-CN"/>
        </w:rPr>
        <w:t>》（2018年修订）、</w:t>
      </w:r>
      <w:r>
        <w:rPr>
          <w:rFonts w:hint="eastAsia" w:ascii="Arial" w:hAnsi="Arial" w:eastAsia="宋体" w:cs="Arial"/>
          <w:lang w:eastAsia="zh-CN"/>
        </w:rPr>
        <w:t>《中华人民共和国民法典》</w:t>
      </w:r>
      <w:r>
        <w:rPr>
          <w:rFonts w:ascii="Arial" w:hAnsi="Arial" w:eastAsia="宋体" w:cs="Arial"/>
          <w:lang w:eastAsia="zh-CN"/>
        </w:rPr>
        <w:t>等针对童工、歧视、强迫劳动</w:t>
      </w:r>
      <w:r>
        <w:rPr>
          <w:rFonts w:hint="eastAsia" w:ascii="Arial" w:hAnsi="Arial" w:eastAsia="宋体" w:cs="Arial"/>
          <w:lang w:eastAsia="zh-CN"/>
        </w:rPr>
        <w:t>作出</w:t>
      </w:r>
      <w:r>
        <w:rPr>
          <w:rFonts w:ascii="Arial" w:hAnsi="Arial" w:eastAsia="宋体" w:cs="Arial"/>
          <w:lang w:eastAsia="zh-CN"/>
        </w:rPr>
        <w:t>了明确规定。比如，禁止用人单位招用未满16周岁的未成年人；对女职工和未成年工（16</w:t>
      </w:r>
      <w:r>
        <w:rPr>
          <w:rFonts w:hint="eastAsia" w:ascii="Arial" w:hAnsi="Arial" w:eastAsia="宋体" w:cs="Arial"/>
          <w:lang w:eastAsia="zh-CN"/>
        </w:rPr>
        <w:t>—</w:t>
      </w:r>
      <w:r>
        <w:rPr>
          <w:rFonts w:ascii="Arial" w:hAnsi="Arial" w:eastAsia="宋体" w:cs="Arial"/>
          <w:lang w:eastAsia="zh-CN"/>
        </w:rPr>
        <w:t>18岁）实行特殊保护；劳动者就业不因民族、种族、性别、宗教信仰不同而</w:t>
      </w:r>
      <w:r>
        <w:rPr>
          <w:rFonts w:hint="eastAsia" w:ascii="Arial" w:hAnsi="Arial" w:eastAsia="宋体" w:cs="Arial"/>
          <w:lang w:eastAsia="zh-CN"/>
        </w:rPr>
        <w:t>受到</w:t>
      </w:r>
      <w:r>
        <w:rPr>
          <w:rFonts w:ascii="Arial" w:hAnsi="Arial" w:eastAsia="宋体" w:cs="Arial"/>
          <w:lang w:eastAsia="zh-CN"/>
        </w:rPr>
        <w:t>歧视；妇女享有与男子平等的就业权利；禁止强迫劳动。</w:t>
      </w:r>
    </w:p>
    <w:p w14:paraId="0B3C111A">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hint="eastAsia" w:ascii="Arial" w:hAnsi="Arial" w:eastAsia="宋体" w:cs="Arial"/>
          <w:lang w:eastAsia="zh-CN"/>
        </w:rPr>
        <w:t>《中华人民共和国安全生产法》</w:t>
      </w:r>
      <w:r>
        <w:rPr>
          <w:rFonts w:ascii="Arial" w:hAnsi="Arial" w:eastAsia="宋体" w:cs="Arial"/>
          <w:lang w:eastAsia="zh-CN"/>
        </w:rPr>
        <w:t>要求，生产经营单位必须建立、健全安全生产责任制和安全生产规章制度，改善安全生产条件，确保安全生产。该法还要求向公众公开举报电话、邮箱，欢迎居民、居委会/村委会监督生产经营企业的安全生产违法行为。</w:t>
      </w:r>
    </w:p>
    <w:p w14:paraId="1A68C908">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hint="eastAsia" w:ascii="Arial" w:hAnsi="Arial" w:eastAsia="宋体" w:cs="Arial"/>
          <w:lang w:eastAsia="zh-CN"/>
        </w:rPr>
        <w:t>《中华人民共和国民法典》</w:t>
      </w:r>
      <w:r>
        <w:rPr>
          <w:rFonts w:ascii="Arial" w:hAnsi="Arial" w:eastAsia="宋体" w:cs="Arial"/>
          <w:lang w:eastAsia="zh-CN"/>
        </w:rPr>
        <w:t>要求新建、改建、扩建工程的劳动安全卫生设施必须与主体工程同时设计、同时施工、同时投入生产和使用。</w:t>
      </w:r>
    </w:p>
    <w:p w14:paraId="40F50B0A">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《工伤保险条例》（2010年修订）规定，中国境内的所有用人单位应当依照本条例规定参加工伤保险，为本单位全部职工缴纳工伤保险费。</w:t>
      </w:r>
    </w:p>
    <w:p w14:paraId="13B559A3">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2020年出台的《职业健康安全管理体系要求及使用指南》要求企业致力于全面系统地识别、控制组织潜在的职业健康安全危险源，尽量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但是，“职业健康与安全管理体系”并非强制性的要求</w:t>
      </w:r>
    </w:p>
    <w:p w14:paraId="2F3C79A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中国湖北和湖南两省已建立并实施一整套有关劳动者健康和安全的法规，以充分保障劳动者权益。法规也要求项目在设计、施工和运营期间应该采取恰当的安全措施、检查和补救措施来保障社区、个人和工人的安全。相关公众安全和劳动者安全的法规与要素6基本一致。</w:t>
      </w:r>
    </w:p>
    <w:p w14:paraId="3E14321E">
      <w:pPr>
        <w:pStyle w:val="66"/>
        <w:shd w:val="clear" w:color="auto" w:fill="D8D8D8" w:themeFill="background1" w:themeFillShade="D9"/>
        <w:tabs>
          <w:tab w:val="clear" w:pos="540"/>
        </w:tabs>
        <w:adjustRightInd w:val="0"/>
        <w:snapToGrid w:val="0"/>
        <w:spacing w:before="120" w:after="120"/>
        <w:jc w:val="both"/>
        <w:rPr>
          <w:rFonts w:ascii="Arial" w:hAnsi="Arial" w:eastAsia="宋体" w:cs="Arial"/>
          <w:lang w:eastAsia="zh-CN"/>
        </w:rPr>
      </w:pPr>
      <w:r>
        <w:rPr>
          <w:rFonts w:ascii="Arial" w:hAnsi="Arial" w:eastAsia="宋体" w:cs="Arial"/>
          <w:b/>
          <w:bCs/>
          <w:lang w:eastAsia="zh-CN"/>
        </w:rPr>
        <w:t>要素8：</w:t>
      </w:r>
      <w:r>
        <w:rPr>
          <w:rFonts w:ascii="Arial" w:hAnsi="Arial" w:eastAsia="宋体" w:cs="Arial"/>
          <w:lang w:eastAsia="zh-CN"/>
        </w:rPr>
        <w:t>在自然灾害易发区（如洪水、飓风、地震或其他气候事件）的项目活动，应采取措施避免、减少或减缓社区、个人和工人的风险。</w:t>
      </w:r>
    </w:p>
    <w:p w14:paraId="27D38E0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灾害安全管理机制：</w:t>
      </w:r>
      <w:r>
        <w:rPr>
          <w:rFonts w:ascii="Arial" w:hAnsi="Arial" w:cs="Arial"/>
          <w:sz w:val="22"/>
        </w:rPr>
        <w:t>项目位于湖北省和湖南省，活动可能会涉及自然灾害易发区，可能的自然灾害有洪水、雷电、山体滑坡等。项目实施过程中，外来务工人员流动可能导致疾病传播（如COVID</w:t>
      </w:r>
      <w:r>
        <w:rPr>
          <w:rFonts w:hint="eastAsia" w:ascii="Arial" w:hAnsi="Arial" w:cs="Arial"/>
          <w:sz w:val="22"/>
          <w:lang w:eastAsia="zh-CN"/>
        </w:rPr>
        <w:t>—</w:t>
      </w:r>
      <w:r>
        <w:rPr>
          <w:rFonts w:ascii="Arial" w:hAnsi="Arial" w:cs="Arial"/>
          <w:sz w:val="22"/>
        </w:rPr>
        <w:t>19）。在进行城乡规划和重大建设工程过程中，《</w:t>
      </w:r>
      <w:r>
        <w:rPr>
          <w:rFonts w:hint="eastAsia" w:ascii="Arial" w:hAnsi="Arial" w:cs="Arial"/>
          <w:sz w:val="22"/>
          <w:lang w:eastAsia="zh-CN"/>
        </w:rPr>
        <w:t>气象灾害防御条例</w:t>
      </w:r>
      <w:r>
        <w:rPr>
          <w:rFonts w:ascii="Arial" w:hAnsi="Arial" w:cs="Arial"/>
          <w:sz w:val="22"/>
        </w:rPr>
        <w:t>》要求县级以上政府人民政府要充分考虑气象因素和自然灾害的风险，并提出避免、减轻灾害的影响。另外，《</w:t>
      </w:r>
      <w:r>
        <w:rPr>
          <w:rFonts w:hint="eastAsia" w:ascii="Arial" w:hAnsi="Arial" w:cs="Arial"/>
          <w:sz w:val="22"/>
          <w:lang w:eastAsia="zh-CN"/>
        </w:rPr>
        <w:t>气象灾害防御条例</w:t>
      </w:r>
      <w:r>
        <w:rPr>
          <w:rFonts w:ascii="Arial" w:hAnsi="Arial" w:cs="Arial"/>
          <w:sz w:val="22"/>
        </w:rPr>
        <w:t>》规定新建、改建、扩建建（构）筑物、场所和设施的雷电防护装置应当与主体工程同时设计、同时施工、同时投入使用。《中华人民共和国防汛条例》针对洪涝灾害，从组织机构、防汛准备、实施与抢险、善后工作、经费、奖惩等对抗洪防汛进行了系统安排。《地质灾害防治条例》对地质灾害的调查、预防管理进行了系统化安排，如</w:t>
      </w:r>
      <w:r>
        <w:rPr>
          <w:rFonts w:hint="eastAsia" w:ascii="Arial" w:hAnsi="Arial" w:cs="Arial"/>
          <w:sz w:val="22"/>
          <w:lang w:eastAsia="zh-CN"/>
        </w:rPr>
        <w:t>地质灾害</w:t>
      </w:r>
      <w:r>
        <w:rPr>
          <w:rFonts w:ascii="Arial" w:hAnsi="Arial" w:cs="Arial"/>
          <w:sz w:val="22"/>
        </w:rPr>
        <w:t>预防、地质灾害应急、地质灾害治理、法律责任。《</w:t>
      </w:r>
      <w:r>
        <w:rPr>
          <w:rFonts w:hint="eastAsia" w:ascii="Arial" w:hAnsi="Arial" w:cs="Arial"/>
          <w:sz w:val="22"/>
          <w:lang w:eastAsia="zh-CN"/>
        </w:rPr>
        <w:t>中华人民共和国防震减灾法</w:t>
      </w:r>
      <w:r>
        <w:rPr>
          <w:rFonts w:ascii="Arial" w:hAnsi="Arial" w:cs="Arial"/>
          <w:sz w:val="22"/>
        </w:rPr>
        <w:t>》要求新建、扩建、改建建设工程，应当达到抗震设防要求，并对有关建设项目的地震安全评价，防震、抗震要求提出具体规定。</w:t>
      </w:r>
      <w:r>
        <w:rPr>
          <w:rFonts w:hint="eastAsia" w:ascii="Arial" w:hAnsi="Arial" w:cs="Arial"/>
          <w:sz w:val="22"/>
          <w:lang w:eastAsia="zh-CN"/>
        </w:rPr>
        <w:t>《中华人民共和国传染病防治法》</w:t>
      </w:r>
      <w:r>
        <w:rPr>
          <w:rFonts w:ascii="Arial" w:hAnsi="Arial" w:cs="Arial"/>
          <w:sz w:val="22"/>
        </w:rPr>
        <w:t>（2020年4月）规定，县级以上人民政府制定传染病防治规划并组织实施，建立健全传染病防治的疾病预防控制、医疗救治和监督管理体系。新闻媒体应无偿开展传染病防治和公共卫生教育的公益宣传。根据国家卫生健康委员会发布的《关于做好精准健康管理推进人员有序流动的通知》（联防联控机制综发﹝2020﹞203），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p w14:paraId="79FD6AC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有关项目活动的自然灾害防控措施的法规与要素8的要求一致。</w:t>
      </w:r>
    </w:p>
    <w:p w14:paraId="09F731C3">
      <w:pPr>
        <w:pStyle w:val="4"/>
        <w:numPr>
          <w:ilvl w:val="2"/>
          <w:numId w:val="23"/>
        </w:numPr>
        <w:tabs>
          <w:tab w:val="left" w:pos="851"/>
        </w:tabs>
        <w:adjustRightInd w:val="0"/>
        <w:snapToGrid w:val="0"/>
        <w:spacing w:before="120" w:after="120" w:line="240" w:lineRule="auto"/>
        <w:ind w:left="0" w:firstLine="0"/>
        <w:rPr>
          <w:rFonts w:ascii="Arial" w:hAnsi="Arial" w:cs="Arial"/>
          <w:sz w:val="22"/>
          <w:szCs w:val="22"/>
        </w:rPr>
      </w:pPr>
      <w:bookmarkStart w:id="410" w:name="_Toc90729525"/>
      <w:bookmarkStart w:id="411" w:name="_Toc114235833"/>
      <w:bookmarkStart w:id="412" w:name="_Toc119937302"/>
      <w:r>
        <w:rPr>
          <w:rFonts w:ascii="Arial" w:hAnsi="Arial" w:cs="Arial"/>
          <w:sz w:val="22"/>
          <w:szCs w:val="22"/>
        </w:rPr>
        <w:t xml:space="preserve">核心原则4 </w:t>
      </w:r>
      <w:bookmarkEnd w:id="410"/>
      <w:r>
        <w:rPr>
          <w:rFonts w:ascii="Arial" w:hAnsi="Arial" w:cs="Arial"/>
          <w:sz w:val="22"/>
          <w:szCs w:val="22"/>
        </w:rPr>
        <w:t>非自愿移民管理体系</w:t>
      </w:r>
      <w:bookmarkEnd w:id="411"/>
      <w:bookmarkEnd w:id="412"/>
    </w:p>
    <w:p w14:paraId="6B3CBFE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核心原则4下要素9从6方面对结果导向项目的征地和移民进行管理，这6个元素均与本项目社会法规政策相关，以下分别分析一致性。</w:t>
      </w:r>
    </w:p>
    <w:p w14:paraId="149B1EB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i</w:t>
      </w:r>
      <w:r>
        <w:rPr>
          <w:rFonts w:hint="eastAsia" w:ascii="Arial" w:hAnsi="Arial" w:cs="Arial"/>
          <w:b/>
          <w:bCs/>
          <w:sz w:val="22"/>
          <w:lang w:eastAsia="zh-CN"/>
        </w:rPr>
        <w:t>）</w:t>
      </w:r>
      <w:r>
        <w:rPr>
          <w:rFonts w:ascii="Arial" w:hAnsi="Arial" w:cs="Arial"/>
          <w:b/>
          <w:bCs/>
          <w:sz w:val="22"/>
        </w:rPr>
        <w:t xml:space="preserve"> 避免和减少征地相关负面影响</w:t>
      </w:r>
      <w:r>
        <w:rPr>
          <w:rFonts w:ascii="Arial" w:hAnsi="Arial" w:cs="Arial"/>
          <w:sz w:val="22"/>
        </w:rPr>
        <w:t>：如以上要素2下关于“早期影响筛查”的分析，《建设项目用地预审管理办法》（2017）、《</w:t>
      </w:r>
      <w:r>
        <w:rPr>
          <w:rFonts w:hint="eastAsia" w:ascii="Arial" w:hAnsi="Arial" w:cs="Arial"/>
          <w:sz w:val="22"/>
          <w:lang w:eastAsia="zh-CN"/>
        </w:rPr>
        <w:t>中华人民共和国土地管理法</w:t>
      </w:r>
      <w:r>
        <w:rPr>
          <w:rFonts w:ascii="Arial" w:hAnsi="Arial" w:cs="Arial"/>
          <w:sz w:val="22"/>
        </w:rPr>
        <w:t>》（2020年1月1日起实施）以及社会稳定风险评估的相关法规均要求项目和企业要求提高节约集约用地，尽可能利用存量</w:t>
      </w:r>
      <w:r>
        <w:rPr>
          <w:rFonts w:hint="eastAsia" w:ascii="Arial" w:hAnsi="Arial" w:cs="Arial"/>
          <w:sz w:val="22"/>
          <w:lang w:eastAsia="zh-CN"/>
        </w:rPr>
        <w:t>建设用地，</w:t>
      </w:r>
      <w:r>
        <w:rPr>
          <w:rFonts w:ascii="Arial" w:hAnsi="Arial" w:cs="Arial"/>
          <w:sz w:val="22"/>
        </w:rPr>
        <w:t>尽量避免占用农用地（特别是永久基本农田），通过优化方案减少征地和移民搬迁影响，从而可以降低项目实施社会稳定风险。项目前期自然资源部门也会参与踏勘确认项目用地情况，可行性研究报告对不同方案征地和移民影响进行比选。政府部门在审查项目用地和可行性研究过程中，也会审查项目用地方案是否合理。针对设施农业用地，在《关于设施农业用地管理有关问题的通知》（自然资规</w:t>
      </w:r>
      <w:r>
        <w:rPr>
          <w:rFonts w:hint="eastAsia" w:ascii="Arial" w:hAnsi="Arial" w:cs="Arial"/>
          <w:sz w:val="22"/>
          <w:lang w:eastAsia="zh-CN"/>
        </w:rPr>
        <w:t>〔2019〕4号</w:t>
      </w:r>
      <w:r>
        <w:rPr>
          <w:rFonts w:ascii="Arial" w:hAnsi="Arial" w:cs="Arial"/>
          <w:sz w:val="22"/>
        </w:rPr>
        <w:t>）的基础上，湖北和湖南结合当地实际情况出台了相应的管理办法，例如2020年湖北省出台了《省自然资源厅 省农业农村厅 关于进一步规范设施农业用地管理有关问题的通知》（鄂自然资规〔2020〕4号），要求镇人民政府应会同县级自然资源和农业农村等部门依据国土空间规划、农业发展规划，合理布局设施农业用地，确定设施农业用地位置、范围。设施农业用地选址应尽量利用未利用地和低效闲置的土地，不占或少占耕地。确需占用耕地的，应尽量占用劣质耕地，避免滥占优质耕地；湖南省出台了《湖南省自然资源厅 湖南省农业农村厅关于改进设施农业用地管理的通知》（湘自然资规〔2020〕3号），提出乡镇政府依据国土空间规划、农业发展规划、村庄规划等，在保护耕地、节约集约利用土地、符合设施农业用地政策的前提下，确定设施农业用地位置范围且选址应尽量利用荒山、荒沟、荒丘、荒滩和农村集体建设用地。同时，2021年自然资源部发布了《自然资源部农业农村部国家林业和草原局关于严格耕地用途管制有关问题的通知》（自然资发</w:t>
      </w:r>
      <w:r>
        <w:rPr>
          <w:rFonts w:hint="eastAsia" w:ascii="Arial" w:hAnsi="Arial" w:cs="Arial"/>
          <w:sz w:val="22"/>
          <w:lang w:eastAsia="zh-CN"/>
        </w:rPr>
        <w:t>〔2021〕166号</w:t>
      </w:r>
      <w:r>
        <w:rPr>
          <w:rFonts w:ascii="Arial" w:hAnsi="Arial" w:cs="Arial"/>
          <w:sz w:val="22"/>
        </w:rPr>
        <w:t>），要求永久基本农田不得转为林地、草地、园地等其他农用地及农业设施建设用地，对耕地转为其他农用地及农业设施建设用地实行年度“进出平衡”，应当通过统筹林地、草地、园地等其他农用地及农业设施建设用地整治为耕地等方式，补足同等数量、质量的可以长期稳定利用的耕地。湖</w:t>
      </w:r>
      <w:r>
        <w:rPr>
          <w:rFonts w:hint="eastAsia" w:ascii="Arial" w:hAnsi="Arial" w:cs="Arial"/>
          <w:sz w:val="22"/>
          <w:lang w:eastAsia="zh-CN"/>
        </w:rPr>
        <w:t>北省</w:t>
      </w:r>
      <w:r>
        <w:rPr>
          <w:rFonts w:ascii="Arial" w:hAnsi="Arial" w:cs="Arial"/>
          <w:sz w:val="22"/>
        </w:rPr>
        <w:t>和湖南省已着手制定占用耕地“进出平衡”方案，正处在征求意见阶段。涉及土地经营权流转的，《农村土地经营权流转管理办法》（农业农村部2021年1号令）要求受让主体提出申请，县级以上地方人民政府或者乡（镇）人民政府应当依法组织相关职能部门、农村集体经济组织代表、农民代表、专家等就土地用途、受让主体农业经营能力，以及经营项目是否符合粮食生产等产业规划等进行审查审核，未按规定提交审查审核申请或者审查审核未通过的，不得开展土地经营权流转活动。</w:t>
      </w:r>
    </w:p>
    <w:p w14:paraId="1DF6410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（ⅱ）</w:t>
      </w:r>
      <w:r>
        <w:rPr>
          <w:rFonts w:ascii="Arial" w:hAnsi="Arial" w:cs="Arial"/>
          <w:b/>
          <w:bCs/>
          <w:sz w:val="22"/>
        </w:rPr>
        <w:t xml:space="preserve"> 识别并解决因征地或丧失自然资源而造成的经济和社会影响。</w:t>
      </w:r>
      <w:r>
        <w:rPr>
          <w:rFonts w:ascii="Arial" w:hAnsi="Arial" w:cs="Arial"/>
          <w:sz w:val="22"/>
        </w:rPr>
        <w:t>《</w:t>
      </w:r>
      <w:r>
        <w:rPr>
          <w:rFonts w:hint="eastAsia" w:ascii="Arial" w:hAnsi="Arial" w:cs="Arial"/>
          <w:sz w:val="22"/>
          <w:lang w:eastAsia="zh-CN"/>
        </w:rPr>
        <w:t>中华人民共和国土地管理法</w:t>
      </w:r>
      <w:r>
        <w:rPr>
          <w:rFonts w:ascii="Arial" w:hAnsi="Arial" w:cs="Arial"/>
          <w:sz w:val="22"/>
        </w:rPr>
        <w:t>》（2020年1月1日起实施）要求“拟征收土地的所有权人、使用权人应当在公告规定期限内，持不动产权属证明材料办理补偿登记。县级以上地方人民政府应当组织有关部门测算并落实有关费用，保证足额到位”。湖北和湖南相关的征地补偿办法按照《</w:t>
      </w:r>
      <w:r>
        <w:rPr>
          <w:rFonts w:hint="eastAsia" w:ascii="Arial" w:hAnsi="Arial" w:cs="Arial"/>
          <w:sz w:val="22"/>
          <w:lang w:eastAsia="zh-CN"/>
        </w:rPr>
        <w:t>中华人民共和国土地管理法</w:t>
      </w:r>
      <w:r>
        <w:rPr>
          <w:rFonts w:ascii="Arial" w:hAnsi="Arial" w:cs="Arial"/>
          <w:sz w:val="22"/>
        </w:rPr>
        <w:t>》的要求，对征地补偿安置的实施流程进行了系统安排，其中对于缺乏充分法律权利的人也进行了规定。征地过程中，受影响人应对实物量调查指标进行确认，项目报批前土地征收单位应对“与拟征收土地的所有权人、使用权人就补偿、安置等签订协议”。针对设施农用地，湖北和湖南均要求签订用地协议，并报乡镇人民政府备案。涉及土地经营权流转的，《农村土地经营权流转管理办法》（农业农村部2021年1号令）要求，土地经营权流转应当遵循依法、自愿、有偿原则，并签订土地经营权流转合同；土地经营权流转收益归承包方所有。此外，从基层的农村或社区，到乡镇、到县级以上政府，已建立起一整套有关征地补偿的申诉处理机制。如果受影响人对其权益影响的识别、补偿和安置处理不满意，村民可向社长或村委会申诉，并请求处理，也可以向镇政府和县市政府申请处理。根据《信访工作条例》（2022），各级党委和政府信访部门要履行受理、转送、交办协调解决、督促检查等职责。如申诉者对申诉结果不满意，也可以通过法律诉讼解决纠纷，维护其合法权益。</w:t>
      </w:r>
    </w:p>
    <w:p w14:paraId="0B2873C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（ⅲ）</w:t>
      </w:r>
      <w:r>
        <w:rPr>
          <w:rFonts w:ascii="Arial" w:hAnsi="Arial" w:cs="Arial"/>
          <w:b/>
          <w:bCs/>
          <w:sz w:val="22"/>
        </w:rPr>
        <w:t xml:space="preserve"> 项目用地前按照重置价足额支付补偿款和过渡费。</w:t>
      </w:r>
      <w:r>
        <w:rPr>
          <w:rFonts w:ascii="Arial" w:hAnsi="Arial" w:cs="Arial"/>
          <w:sz w:val="22"/>
        </w:rPr>
        <w:t>《</w:t>
      </w:r>
      <w:r>
        <w:rPr>
          <w:rFonts w:hint="eastAsia" w:ascii="Arial" w:hAnsi="Arial" w:cs="Arial"/>
          <w:sz w:val="22"/>
          <w:lang w:eastAsia="zh-CN"/>
        </w:rPr>
        <w:t>中华人民共和国土地管理法</w:t>
      </w:r>
      <w:r>
        <w:rPr>
          <w:rFonts w:ascii="Arial" w:hAnsi="Arial" w:cs="Arial"/>
          <w:sz w:val="22"/>
        </w:rPr>
        <w:t>》（2020年1月1日起实施）从政策层面明确了不同类型用地形式的补偿政策、标准、原则、流程、时间等。第47条要求，征收土地应当给予公平、合理的补偿，保障被征地农民原有生活水平不降低、长远生计有保障；征收土地应当依法及时足额支付土地补偿费、安置补助费以及农村村民住宅、其他地上附着物和青苗等的补偿费用，并安排被征地农民的社会保障费用。征收农用地的土地补偿费、安置补助费标准由省、自治区、直辖市通过制定公布区片综合地价确定，并至少每三年调整或者重新公布一次。征收农用地以外的其他土地、地上附着物和青苗等的补偿标准，由省、自治区、直辖市制定。应当按照先补偿后搬迁、居住条件有改善的原则，尊重农村村民意愿，采取重新安排宅基地建房、提供安置房或者货币补偿等方式给予公平、合理的补偿，并对因征收造成的搬迁、临时安置等费用予以补偿，保障农村村民居住的权利和合法的住房财产权益。</w:t>
      </w:r>
    </w:p>
    <w:p w14:paraId="29EE0D1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省、县/市根据经济发展水平和市场行情，通常每两到三年对各地征地补偿标准进行一次调整，如湖北省政府于2019年11月8日对征地补偿标准进行了最新一期调整，发布了《湖北省人民政府关于公布实施湖北省征地区片综合地价标准的通知》，明确要求湖北省各市（州）人民政府应于该标准公布后三个月内，根据本地经济发展水平和实际情况，制定本地区被征收土地上的附着物和青苗补偿标准，并报省自然资源厅备案；湖南省于2021年7月15日发布了《湖南省人民政府关于调整湖南省征地补偿标准的通知》</w:t>
      </w:r>
      <w:r>
        <w:rPr>
          <w:rFonts w:hint="eastAsia" w:ascii="Arial" w:hAnsi="Arial" w:cs="Arial"/>
          <w:sz w:val="22"/>
          <w:lang w:eastAsia="zh-CN"/>
        </w:rPr>
        <w:t>（</w:t>
      </w:r>
      <w:r>
        <w:rPr>
          <w:rFonts w:ascii="Arial" w:hAnsi="Arial" w:cs="Arial"/>
          <w:sz w:val="22"/>
        </w:rPr>
        <w:t>湘政发</w:t>
      </w:r>
      <w:r>
        <w:rPr>
          <w:rFonts w:hint="eastAsia" w:ascii="Arial" w:hAnsi="Arial" w:cs="Arial"/>
          <w:sz w:val="22"/>
          <w:lang w:eastAsia="zh-CN"/>
        </w:rPr>
        <w:t>〔2021〕3号）</w:t>
      </w:r>
      <w:r>
        <w:rPr>
          <w:rFonts w:ascii="Arial" w:hAnsi="Arial" w:cs="Arial"/>
          <w:sz w:val="22"/>
        </w:rPr>
        <w:t>，明确征地区片综合地价60%为安置补助费、40%为土地补偿费；征收永久基本农田的，按本标准的2倍执行；征收水田（属永久基本农田的除外）的，按本标准的1.2倍执行；征收园地、林地的，按照相应的地类系数执行；征收其他农用地的，按本标准执行；征收未利用地的，按本标准的0.6倍执行；市州人民政府可以根据当地实际制定具体实施细则，作出相应调整，但是不得低于本通知确定的补偿标准和地类系数。同时，新的《</w:t>
      </w:r>
      <w:r>
        <w:rPr>
          <w:rFonts w:hint="eastAsia" w:ascii="Arial" w:hAnsi="Arial" w:cs="Arial"/>
          <w:sz w:val="22"/>
          <w:lang w:eastAsia="zh-CN"/>
        </w:rPr>
        <w:t>中华人民共和国土地管理法</w:t>
      </w:r>
      <w:r>
        <w:rPr>
          <w:rFonts w:ascii="Arial" w:hAnsi="Arial" w:cs="Arial"/>
          <w:sz w:val="22"/>
        </w:rPr>
        <w:t>》明确要求项目征地和移民应先补偿后占地或用地。</w:t>
      </w:r>
    </w:p>
    <w:p w14:paraId="2C78A12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对于国有土地上房屋，征收补偿安置方式相对比较固定，均通过第三方市场评估结果，签订补偿安置协议后实施。国家出台了《国有土地上房屋征收与补偿条例》（国务院令</w:t>
      </w:r>
      <w:r>
        <w:rPr>
          <w:rFonts w:hint="eastAsia" w:ascii="Arial" w:hAnsi="Arial" w:cs="Arial"/>
          <w:sz w:val="22"/>
          <w:lang w:eastAsia="zh-CN"/>
        </w:rPr>
        <w:t>〔2011〕590号</w:t>
      </w:r>
      <w:r>
        <w:rPr>
          <w:rFonts w:ascii="Arial" w:hAnsi="Arial" w:cs="Arial"/>
          <w:sz w:val="22"/>
        </w:rPr>
        <w:t>）和《国有土地上房屋征收评估办法》（建房</w:t>
      </w:r>
      <w:r>
        <w:rPr>
          <w:rFonts w:hint="eastAsia" w:ascii="Arial" w:hAnsi="Arial" w:cs="Arial"/>
          <w:sz w:val="22"/>
          <w:lang w:eastAsia="zh-CN"/>
        </w:rPr>
        <w:t>〔2011〕77号</w:t>
      </w:r>
      <w:r>
        <w:rPr>
          <w:rFonts w:ascii="Arial" w:hAnsi="Arial" w:cs="Arial"/>
          <w:sz w:val="22"/>
        </w:rPr>
        <w:t>）等文件，对土地评估政策、流程管理、公众参与、补偿支付、安置政策等都有系统的安排。各省、县/市还根据本地区的实际，向拆迁户提供搬迁补贴、过渡补偿、停产停业损失补偿等支持性措施。如《湖北省国有土地上房屋征收与补偿实施办法》（2015.7.6），第25</w:t>
      </w:r>
      <w:r>
        <w:rPr>
          <w:rFonts w:hint="eastAsia" w:ascii="Arial" w:hAnsi="Arial" w:cs="Arial"/>
          <w:sz w:val="22"/>
          <w:lang w:eastAsia="zh-CN"/>
        </w:rPr>
        <w:t>—</w:t>
      </w:r>
      <w:r>
        <w:rPr>
          <w:rFonts w:ascii="Arial" w:hAnsi="Arial" w:cs="Arial"/>
          <w:sz w:val="22"/>
        </w:rPr>
        <w:t>27条规定：1）被征收房屋和产权调换房屋的价值，由具有相应资质的房地产价格评估机构依照国有土地上房屋征收评估办法评估确定，评估时点为房屋征收决定公告之日。2）房地产价格评估应当按照国家规定的技术标准和评估程序，参照被征收房屋类似房地产的市场价格进行评估。3）房地产价格评估机构、房地产估价师、房地产价格评估专家委员会应当独立、客观、公正地开展房屋征收评估、鉴定活动，任何单位和个人不得干预房屋征收评估、鉴定活动。4）市、县级房地产管理部门应当定期向社会公布依法登记注册、具有三级以上资质和无不良信用记录的房地产价格评估机构目录，供被征收人选择。《湖南省国有土地上房屋征收与补偿实施办法》（2014）规定，作出房屋征收决定的市、县级人民政府应当根据不同情况，按照规定给予被征收人以下补偿：1）被征收房屋价值的补偿；2）因征收房屋造成的搬迁、临时安置的补偿；3）因征收房屋造成的停产停业损失的补偿。被征收房屋价值补偿中的房屋室内装饰装修价值补偿，由房屋征收部门与被征收人协商确定；协商不成的，可以委托按照本办法选定或者确定的房地产价格评估机构评估确定。</w:t>
      </w:r>
    </w:p>
    <w:p w14:paraId="2ACBAD7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对于土地经营权流转，由流转双方平等协商确定。涉及整村（组）土地经营权流转面积较大、涉及农户较多、经营风险较高的项目可以设立风险保障金，具体额度由流转双方协商。</w:t>
      </w:r>
    </w:p>
    <w:p w14:paraId="62CB571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（ⅳ）</w:t>
      </w:r>
      <w:r>
        <w:rPr>
          <w:rFonts w:ascii="Arial" w:hAnsi="Arial" w:cs="Arial"/>
          <w:b/>
          <w:bCs/>
          <w:sz w:val="22"/>
        </w:rPr>
        <w:t xml:space="preserve"> 生计恢复的政策安排：</w:t>
      </w:r>
      <w:r>
        <w:rPr>
          <w:rFonts w:ascii="Arial" w:hAnsi="Arial" w:cs="Arial"/>
          <w:sz w:val="22"/>
        </w:rPr>
        <w:t>《</w:t>
      </w:r>
      <w:r>
        <w:rPr>
          <w:rFonts w:hint="eastAsia" w:ascii="Arial" w:hAnsi="Arial" w:cs="Arial"/>
          <w:sz w:val="22"/>
          <w:lang w:eastAsia="zh-CN"/>
        </w:rPr>
        <w:t>中华人民共和国土地管理法</w:t>
      </w:r>
      <w:r>
        <w:rPr>
          <w:rFonts w:ascii="Arial" w:hAnsi="Arial" w:cs="Arial"/>
          <w:sz w:val="22"/>
        </w:rPr>
        <w:t>》（2020）明确要求应保障被征地农民原有生活水平不降低、长远生计有保障。总体而言，征地农民安置方式主要包括5种：农业生产安置、重新择业安置、入股分红安置、异地移民安置（《关于完善征地补偿安置制度的指导意见》（国土资发</w:t>
      </w:r>
      <w:r>
        <w:rPr>
          <w:rFonts w:hint="eastAsia" w:ascii="Arial" w:hAnsi="Arial" w:cs="Arial"/>
          <w:sz w:val="22"/>
          <w:lang w:eastAsia="zh-CN"/>
        </w:rPr>
        <w:t>〔2004〕238号</w:t>
      </w:r>
      <w:r>
        <w:rPr>
          <w:rFonts w:ascii="Arial" w:hAnsi="Arial" w:cs="Arial"/>
          <w:sz w:val="22"/>
        </w:rPr>
        <w:t>）、养老保险安置（《</w:t>
      </w:r>
      <w:r>
        <w:rPr>
          <w:rFonts w:hint="eastAsia" w:ascii="Arial" w:hAnsi="Arial" w:cs="Arial"/>
          <w:sz w:val="22"/>
          <w:lang w:eastAsia="zh-CN"/>
        </w:rPr>
        <w:t>中华人民共和国土地管理法</w:t>
      </w:r>
      <w:r>
        <w:rPr>
          <w:rFonts w:ascii="Arial" w:hAnsi="Arial" w:cs="Arial"/>
          <w:sz w:val="22"/>
        </w:rPr>
        <w:t>》（2020）第48条，等）。在提供以上5种安置方式的同时，国家政策，如《关于做好被征地农民就业培训和社会保障工作的指导意见（国发</w:t>
      </w:r>
      <w:r>
        <w:rPr>
          <w:rFonts w:hint="eastAsia" w:ascii="Arial" w:hAnsi="Arial" w:cs="Arial"/>
          <w:sz w:val="22"/>
          <w:lang w:eastAsia="zh-CN"/>
        </w:rPr>
        <w:t>〔2006〕29号</w:t>
      </w:r>
      <w:r>
        <w:rPr>
          <w:rFonts w:ascii="Arial" w:hAnsi="Arial" w:cs="Arial"/>
          <w:sz w:val="22"/>
        </w:rPr>
        <w:t>）》，还要求各地建立适合被征地农民特点与需求的社会保障制度，采取有效措施落实就业培训和社会保障资金，促进被征地农民实现就业和融入城镇社会，确保被征地农民生活水平不因征地而降低，长远生计有保障，对符合条件的被征地农民按规定落实各项就业创业扶持政策，提供职业培训，优化公共就业服务，努力帮扶被征地农民就业创业。如《湖北省人民政府关于被征地农民参加基本养老保险的指导意见》（鄂政发〔2014〕53号）规定，符合以下五项条件的被征地农民均应该纳入基本养老保险：1）承包地被县级以上人民政府依法征收；2）被征地时持有《农村土地承包合同</w:t>
      </w:r>
      <w:bookmarkStart w:id="784" w:name="_GoBack"/>
      <w:bookmarkEnd w:id="784"/>
      <w:r>
        <w:rPr>
          <w:rFonts w:ascii="Arial" w:hAnsi="Arial" w:cs="Arial"/>
          <w:sz w:val="22"/>
        </w:rPr>
        <w:t>》或《农村土地承包经营权证书》；3）被征地时户口在征地所在地；4）被征地后家庭人均耕地面积不足0.3亩</w:t>
      </w:r>
      <w:r>
        <w:rPr>
          <w:rFonts w:hint="eastAsia" w:ascii="Arial" w:hAnsi="Arial" w:cs="Arial"/>
          <w:sz w:val="22"/>
          <w:lang w:eastAsia="zh-CN"/>
        </w:rPr>
        <w:t>（</w:t>
      </w:r>
      <w:r>
        <w:rPr>
          <w:rFonts w:ascii="Arial" w:hAnsi="Arial" w:cs="Arial"/>
          <w:sz w:val="22"/>
        </w:rPr>
        <w:t>含0.3亩</w:t>
      </w:r>
      <w:r>
        <w:rPr>
          <w:rFonts w:hint="eastAsia" w:ascii="Arial" w:hAnsi="Arial" w:cs="Arial"/>
          <w:sz w:val="22"/>
          <w:lang w:eastAsia="zh-CN"/>
        </w:rPr>
        <w:t>）</w:t>
      </w:r>
      <w:r>
        <w:rPr>
          <w:rFonts w:ascii="Arial" w:hAnsi="Arial" w:cs="Arial"/>
          <w:sz w:val="22"/>
        </w:rPr>
        <w:t>；5）年满16周岁。湖北省征地农民基本养老保险补偿标准是：县级以上人民政府为被征地农民给予一次性养老保险补偿，其补偿标准按不低于被征地时所在市、州上年度农村居民年人均纯收入的3倍确定。对被征地时60周岁以上</w:t>
      </w:r>
      <w:r>
        <w:rPr>
          <w:rFonts w:hint="eastAsia" w:ascii="Arial" w:hAnsi="Arial" w:cs="Arial"/>
          <w:sz w:val="22"/>
          <w:lang w:eastAsia="zh-CN"/>
        </w:rPr>
        <w:t>（</w:t>
      </w:r>
      <w:r>
        <w:rPr>
          <w:rFonts w:ascii="Arial" w:hAnsi="Arial" w:cs="Arial"/>
          <w:sz w:val="22"/>
        </w:rPr>
        <w:t>含60周岁</w:t>
      </w:r>
      <w:r>
        <w:rPr>
          <w:rFonts w:hint="eastAsia" w:ascii="Arial" w:hAnsi="Arial" w:cs="Arial"/>
          <w:sz w:val="22"/>
          <w:lang w:eastAsia="zh-CN"/>
        </w:rPr>
        <w:t>）</w:t>
      </w:r>
      <w:r>
        <w:rPr>
          <w:rFonts w:ascii="Arial" w:hAnsi="Arial" w:cs="Arial"/>
          <w:sz w:val="22"/>
        </w:rPr>
        <w:t>的人员，按照一次性养老保险补偿标准给予全额补偿；对被征地时60周岁以下</w:t>
      </w:r>
      <w:r>
        <w:rPr>
          <w:rFonts w:hint="eastAsia" w:ascii="Arial" w:hAnsi="Arial" w:cs="Arial"/>
          <w:sz w:val="22"/>
          <w:lang w:eastAsia="zh-CN"/>
        </w:rPr>
        <w:t>（</w:t>
      </w:r>
      <w:r>
        <w:rPr>
          <w:rFonts w:ascii="Arial" w:hAnsi="Arial" w:cs="Arial"/>
          <w:sz w:val="22"/>
        </w:rPr>
        <w:t>59周岁至16周岁</w:t>
      </w:r>
      <w:r>
        <w:rPr>
          <w:rFonts w:hint="eastAsia" w:ascii="Arial" w:hAnsi="Arial" w:cs="Arial"/>
          <w:sz w:val="22"/>
          <w:lang w:eastAsia="zh-CN"/>
        </w:rPr>
        <w:t>）</w:t>
      </w:r>
      <w:r>
        <w:rPr>
          <w:rFonts w:ascii="Arial" w:hAnsi="Arial" w:cs="Arial"/>
          <w:sz w:val="22"/>
        </w:rPr>
        <w:t>的人员，年龄每降低1岁，补偿标准按全额补偿的1%递减。《湖南省人民政府办公厅转发省人力资源社会保障厅关于做好被征地农民社会保障工作的意见的通知》（湘政办发〔2014〕31号）规定，因政府统一征收农村集体土地而导致失去全部或大部分土地，且在征地时享有农村集体土地承包权的16周岁以上在册农业人口，由被征地农民个人申请，所在的农村集体经济组织、村民委员会或村民小组讨论通过并公示，报乡镇、市州或县市区国土资源、农村土地承包经营管理和公安部门审核确定且在此公示无异议后，经市州或县市区人民政府审定，报送市州或县市区人力资源社会保障部门办理登记手续。符合参保条件的被征地农民自愿选择参加城镇职工基本养老保险或城乡居民社会养老保险，政府和集体经济组织为被征地农民参加上述社会养老保险提供参保缴费补贴。缴费补贴额=被征地农民一次性缴纳城镇职工基本养老保险费时上一年度全省在岗职工年平均工资的60%（或100%）×12%（或20%）×补贴年限。</w:t>
      </w:r>
    </w:p>
    <w:p w14:paraId="2DD926E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v</w:t>
      </w:r>
      <w:r>
        <w:rPr>
          <w:rFonts w:hint="eastAsia" w:ascii="Arial" w:hAnsi="Arial" w:cs="Arial"/>
          <w:b/>
          <w:bCs/>
          <w:sz w:val="22"/>
          <w:lang w:eastAsia="zh-CN"/>
        </w:rPr>
        <w:t>）</w:t>
      </w:r>
      <w:r>
        <w:rPr>
          <w:rFonts w:ascii="Arial" w:hAnsi="Arial" w:cs="Arial"/>
          <w:b/>
          <w:bCs/>
          <w:sz w:val="22"/>
        </w:rPr>
        <w:t xml:space="preserve"> 公共设施恢复的政策安排：</w:t>
      </w:r>
      <w:r>
        <w:rPr>
          <w:rFonts w:ascii="Arial" w:hAnsi="Arial" w:cs="Arial"/>
          <w:sz w:val="22"/>
        </w:rPr>
        <w:t>对于征地拆迁可能造成的公共设施影响，《</w:t>
      </w:r>
      <w:r>
        <w:rPr>
          <w:rFonts w:hint="eastAsia" w:ascii="Arial" w:hAnsi="Arial" w:cs="Arial"/>
          <w:sz w:val="22"/>
          <w:lang w:eastAsia="zh-CN"/>
        </w:rPr>
        <w:t>中华人民共和国土地管理法</w:t>
      </w:r>
      <w:r>
        <w:rPr>
          <w:rFonts w:ascii="Arial" w:hAnsi="Arial" w:cs="Arial"/>
          <w:sz w:val="22"/>
        </w:rPr>
        <w:t>》和《</w:t>
      </w:r>
      <w:r>
        <w:rPr>
          <w:rFonts w:hint="eastAsia" w:ascii="Arial" w:hAnsi="Arial" w:cs="Arial"/>
          <w:sz w:val="22"/>
          <w:lang w:eastAsia="zh-CN"/>
        </w:rPr>
        <w:t>中华人民共和国土地管理法实施条例</w:t>
      </w:r>
      <w:r>
        <w:rPr>
          <w:rFonts w:ascii="Arial" w:hAnsi="Arial" w:cs="Arial"/>
          <w:sz w:val="22"/>
        </w:rPr>
        <w:t>》中均规定，在征地方案批准和公告后，</w:t>
      </w:r>
      <w:r>
        <w:rPr>
          <w:rFonts w:hint="eastAsia" w:ascii="Arial" w:hAnsi="Arial" w:cs="Arial"/>
          <w:sz w:val="22"/>
          <w:lang w:eastAsia="zh-CN"/>
        </w:rPr>
        <w:t>由</w:t>
      </w:r>
      <w:r>
        <w:rPr>
          <w:rFonts w:ascii="Arial" w:hAnsi="Arial" w:cs="Arial"/>
          <w:sz w:val="22"/>
        </w:rPr>
        <w:t>县级人民政府组织征地范围内的土地调查，并将结果向公众公示至少30天。新的《</w:t>
      </w:r>
      <w:r>
        <w:rPr>
          <w:rFonts w:hint="eastAsia" w:ascii="Arial" w:hAnsi="Arial" w:cs="Arial"/>
          <w:sz w:val="22"/>
          <w:lang w:eastAsia="zh-CN"/>
        </w:rPr>
        <w:t>中华人民共和国土地管理法</w:t>
      </w:r>
      <w:r>
        <w:rPr>
          <w:rFonts w:ascii="Arial" w:hAnsi="Arial" w:cs="Arial"/>
          <w:sz w:val="22"/>
        </w:rPr>
        <w:t>》（2020）第47条要求，“对其中的农村村民住宅，应当按照先补偿后搬迁、居住条件有改善的原则，……，予以补偿”。</w:t>
      </w:r>
    </w:p>
    <w:p w14:paraId="7EB58CE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vi</w:t>
      </w:r>
      <w:r>
        <w:rPr>
          <w:rFonts w:hint="eastAsia" w:ascii="Arial" w:hAnsi="Arial" w:cs="Arial"/>
          <w:b/>
          <w:bCs/>
          <w:sz w:val="22"/>
          <w:lang w:eastAsia="zh-CN"/>
        </w:rPr>
        <w:t>）</w:t>
      </w:r>
      <w:r>
        <w:rPr>
          <w:rFonts w:ascii="Arial" w:hAnsi="Arial" w:cs="Arial"/>
          <w:b/>
          <w:bCs/>
          <w:sz w:val="22"/>
        </w:rPr>
        <w:t xml:space="preserve"> 信息公示、公众参与和知情决策。</w:t>
      </w:r>
      <w:r>
        <w:rPr>
          <w:rFonts w:ascii="Arial" w:hAnsi="Arial" w:cs="Arial"/>
          <w:sz w:val="22"/>
        </w:rPr>
        <w:t>公众参与贯穿项目全过程，是征地移民安置活动取得成功的重要保障。自然资源部2019年6月出台了《农村集体土地征收基层政务公开标准指引》，全面梳理公开事项、明确公开内容、规范公开流程、完善公开方式，切实维护人民群众的</w:t>
      </w:r>
      <w:r>
        <w:rPr>
          <w:rFonts w:hint="eastAsia" w:ascii="Arial" w:hAnsi="Arial" w:cs="Arial"/>
          <w:sz w:val="22"/>
          <w:lang w:eastAsia="zh-CN"/>
        </w:rPr>
        <w:t>知情权、参与权、表达权、监督权</w:t>
      </w:r>
      <w:r>
        <w:rPr>
          <w:rFonts w:ascii="Arial" w:hAnsi="Arial" w:cs="Arial"/>
          <w:sz w:val="22"/>
        </w:rPr>
        <w:t>。征地移民过</w:t>
      </w:r>
      <w:r>
        <w:rPr>
          <w:rFonts w:hint="eastAsia" w:ascii="Arial" w:hAnsi="Arial" w:cs="Arial"/>
          <w:sz w:val="22"/>
          <w:lang w:eastAsia="zh-CN"/>
        </w:rPr>
        <w:t>程中</w:t>
      </w:r>
      <w:r>
        <w:rPr>
          <w:rFonts w:ascii="Arial" w:hAnsi="Arial" w:cs="Arial"/>
          <w:sz w:val="22"/>
        </w:rPr>
        <w:t>公众参与不同环节的主要目的如下：</w:t>
      </w:r>
    </w:p>
    <w:p w14:paraId="15EB9433">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14:paraId="09A11C02">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实物量调查阶段的参与包括征地公告、实物指标调查宣传、调查过程参与、调查成果签字确认以及调查成果公示和复核。</w:t>
      </w:r>
    </w:p>
    <w:p w14:paraId="04BC240A">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社会稳定风险评估阶段，通过与利益相关方进行有意义的磋商，评估项目征地拆迁可能产生的重大社会风险，包括其他与项目无直接关系但也可能对项目产生重大影响的风险。</w:t>
      </w:r>
    </w:p>
    <w:p w14:paraId="40BF46A9">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补偿方案的拟定过程中，需要对方案进行公示、听取和征求受影响人意见，必要时召开听证会。</w:t>
      </w:r>
    </w:p>
    <w:p w14:paraId="05068FA0">
      <w:pPr>
        <w:pStyle w:val="66"/>
        <w:numPr>
          <w:ilvl w:val="0"/>
          <w:numId w:val="24"/>
        </w:numPr>
        <w:tabs>
          <w:tab w:val="clear" w:pos="540"/>
        </w:tabs>
        <w:adjustRightInd w:val="0"/>
        <w:snapToGrid w:val="0"/>
        <w:spacing w:before="120" w:after="120"/>
        <w:ind w:left="720"/>
        <w:jc w:val="both"/>
        <w:rPr>
          <w:rFonts w:ascii="Arial" w:hAnsi="Arial" w:eastAsia="宋体" w:cs="Arial"/>
          <w:lang w:eastAsia="zh-CN"/>
        </w:rPr>
      </w:pPr>
      <w:r>
        <w:rPr>
          <w:rFonts w:ascii="Arial" w:hAnsi="Arial" w:eastAsia="宋体" w:cs="Arial"/>
          <w:lang w:eastAsia="zh-CN"/>
        </w:rPr>
        <w:t>实施过程中的公众参与主要包括生产安置、生活安置、补偿资金的分配和使用等环节的信息公开透明，并听取和征求移民的意见、谈判并达成协议。</w:t>
      </w:r>
    </w:p>
    <w:p w14:paraId="67C0928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涉及设施农业用地的，在签订用地协议前，应由乡镇人民政府和农村集体经济组织通过公开形式将议定事项向社会予以公告不少于5天（湖北省）或10天（湖南省），公告期结束无异议的方可签订正式协议。</w:t>
      </w:r>
    </w:p>
    <w:p w14:paraId="61C19DE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中国制定并形成了完整的土地征用、设施农业用地、土地流转、房屋拆迁、移民安置和补偿的法律框架和政策体系。涉及农村征地和拆迁主要依据《中华人民共和国土地管理法》（2020年）、湖</w:t>
      </w:r>
      <w:r>
        <w:rPr>
          <w:rFonts w:hint="eastAsia" w:ascii="Arial" w:hAnsi="Arial" w:cs="Arial"/>
          <w:sz w:val="22"/>
          <w:lang w:eastAsia="zh-CN"/>
        </w:rPr>
        <w:t>北省</w:t>
      </w:r>
      <w:r>
        <w:rPr>
          <w:rFonts w:ascii="Arial" w:hAnsi="Arial" w:cs="Arial"/>
          <w:sz w:val="22"/>
        </w:rPr>
        <w:t>和湖南省出台的土地管理法实施办法和相关补偿安置标准。涉及城镇范围内拆迁的主要依据《国有土地上房屋征收与补偿条例》（2011年）。2019年8月26日对《</w:t>
      </w:r>
      <w:r>
        <w:rPr>
          <w:rFonts w:hint="eastAsia" w:ascii="Arial" w:hAnsi="Arial" w:cs="Arial"/>
          <w:sz w:val="22"/>
          <w:lang w:eastAsia="zh-CN"/>
        </w:rPr>
        <w:t>中华人民共和国土地管理法</w:t>
      </w:r>
      <w:r>
        <w:rPr>
          <w:rFonts w:ascii="Arial" w:hAnsi="Arial" w:cs="Arial"/>
          <w:sz w:val="22"/>
        </w:rPr>
        <w:t>》进行修订（2020年1月1日生效），在很大程度上统一了农村和城镇征地拆迁做法。新的《</w:t>
      </w:r>
      <w:r>
        <w:rPr>
          <w:rFonts w:hint="eastAsia" w:ascii="Arial" w:hAnsi="Arial" w:cs="Arial"/>
          <w:sz w:val="22"/>
          <w:lang w:eastAsia="zh-CN"/>
        </w:rPr>
        <w:t>中华人民共和国土地管理法</w:t>
      </w:r>
      <w:r>
        <w:rPr>
          <w:rFonts w:ascii="Arial" w:hAnsi="Arial" w:cs="Arial"/>
          <w:sz w:val="22"/>
        </w:rPr>
        <w:t>》明确了公共利益征地的范围，加强了土地征用的前期风险管理，强化了征地和拆迁过程中的信息公示和公众参与（含听证会），并要求在土地报批前与土地所有权人和使用权人签订协议，并提前安排征地补偿安置资金。新法要求按照“区片综合地价”确定征地补偿标准，并至少每三年调整或重新公布一次。明确征收土地应给予受影响人公平、合理的补偿，“保障被征地农民原有生活水平不降低”。因此，新的土地管理法将更有利于全面保障受影响人的权益、生计可持续和居住条件的改善。总体上，有关征地和移民的法规与核心原则4和要素9的要求相一致。</w:t>
      </w:r>
    </w:p>
    <w:p w14:paraId="5BD49458">
      <w:pPr>
        <w:pStyle w:val="4"/>
        <w:numPr>
          <w:ilvl w:val="2"/>
          <w:numId w:val="23"/>
        </w:numPr>
        <w:tabs>
          <w:tab w:val="left" w:pos="851"/>
        </w:tabs>
        <w:adjustRightInd w:val="0"/>
        <w:snapToGrid w:val="0"/>
        <w:spacing w:before="120" w:after="120" w:line="240" w:lineRule="auto"/>
        <w:ind w:left="0" w:firstLine="0"/>
        <w:rPr>
          <w:rFonts w:ascii="Arial" w:hAnsi="Arial" w:cs="Arial"/>
          <w:sz w:val="22"/>
          <w:szCs w:val="22"/>
        </w:rPr>
      </w:pPr>
      <w:bookmarkStart w:id="413" w:name="_Toc90729526"/>
      <w:bookmarkStart w:id="414" w:name="_Toc119937303"/>
      <w:bookmarkStart w:id="415" w:name="_Toc114235834"/>
      <w:r>
        <w:rPr>
          <w:rFonts w:ascii="Arial" w:hAnsi="Arial" w:cs="Arial"/>
          <w:sz w:val="22"/>
          <w:szCs w:val="22"/>
        </w:rPr>
        <w:t>核心原则5 少数民族和弱势群体的管理体系</w:t>
      </w:r>
      <w:bookmarkEnd w:id="413"/>
      <w:bookmarkEnd w:id="414"/>
      <w:bookmarkEnd w:id="415"/>
    </w:p>
    <w:p w14:paraId="054BC87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核心原则5下三个要素分别与本项目社会法规系统相关，以下分别分析一致性。</w:t>
      </w:r>
    </w:p>
    <w:p w14:paraId="4757390E">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要素10：</w:t>
      </w:r>
      <w:r>
        <w:rPr>
          <w:rFonts w:ascii="Arial" w:hAnsi="Arial" w:eastAsia="宋体" w:cs="Arial"/>
          <w:lang w:eastAsia="zh-CN"/>
        </w:rPr>
        <w:t>如果少数民族可能受到（正面或负面）影响，则进行有意义的磋商，以获得广泛的社区支持该计划的活动。</w:t>
      </w:r>
    </w:p>
    <w:p w14:paraId="7834992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少数民族咨询的政策要求：</w:t>
      </w:r>
      <w:r>
        <w:rPr>
          <w:rFonts w:ascii="Arial" w:hAnsi="Arial" w:cs="Arial"/>
          <w:sz w:val="22"/>
        </w:rPr>
        <w:t>湖</w:t>
      </w:r>
      <w:r>
        <w:rPr>
          <w:rFonts w:hint="eastAsia" w:ascii="Arial" w:hAnsi="Arial" w:cs="Arial"/>
          <w:sz w:val="22"/>
          <w:lang w:eastAsia="zh-CN"/>
        </w:rPr>
        <w:t>北省</w:t>
      </w:r>
      <w:r>
        <w:rPr>
          <w:rFonts w:ascii="Arial" w:hAnsi="Arial" w:cs="Arial"/>
          <w:sz w:val="22"/>
        </w:rPr>
        <w:t>和湖南省均为多民族省份。据2020年第七次人口普查统计，湖北省各少数民族人口为277.11万人，占全省总人口的4.8%，主要有土家族、苗族、回族、侗族、满族、蒙古族、白族等世居民族，主要分布在鄂西南民族自治</w:t>
      </w:r>
      <w:r>
        <w:rPr>
          <w:rFonts w:hint="eastAsia" w:ascii="Arial" w:hAnsi="Arial" w:cs="Arial"/>
          <w:sz w:val="22"/>
          <w:lang w:eastAsia="zh-CN"/>
        </w:rPr>
        <w:t>地区</w:t>
      </w:r>
      <w:r>
        <w:rPr>
          <w:rFonts w:ascii="Arial" w:hAnsi="Arial" w:cs="Arial"/>
          <w:sz w:val="22"/>
        </w:rPr>
        <w:t>、武汉市、荆州市等地。湖南省各少数民族人口为668.52万人，占10.06%，类型也较丰富，其中土家族和苗族在沅江、资水流域的湘西土家族苗族自治州境内较为集中。项目区域包括湖北和湖南省部分少数民族聚居区域，例如湖北长阳、洪湖、郧西、湖南的衡阳、慈利、芷江等地。我国</w:t>
      </w:r>
      <w:r>
        <w:rPr>
          <w:rFonts w:hint="eastAsia" w:ascii="Arial" w:hAnsi="Arial" w:cs="Arial"/>
          <w:sz w:val="22"/>
          <w:lang w:eastAsia="zh-CN"/>
        </w:rPr>
        <w:t>《中华人民共和国宪法》</w:t>
      </w:r>
      <w:r>
        <w:rPr>
          <w:rFonts w:ascii="Arial" w:hAnsi="Arial" w:cs="Arial"/>
          <w:sz w:val="22"/>
        </w:rPr>
        <w:t>明确，中华人民共和国各民族一律平等。《中华人民共和国民族区域自治法》规定，民族自治地方的自治机关在处理涉及本地方各民族的特殊问题的时候，必须与他们的代表充分协商，尊重他们的意见；民族自治地方的自治机关保障本地方内各民族公民都享有宪法规定的公民权利。基于这些法律基础，如果少数民族受到类似征地拆迁影响时，不仅能与普通公民一样享受同等权益，而且在必要时各地方政府还将按照符合少数民族文化的方式开展免费、事先和知情的协商。该法还规定，……民族自治地方的自治机关在国家计划的指导下，根据本地方的财力、物力和其他具体条件，自主地安排地方基本建设项目……国家在民族自治地方开发资源、进行建设的时候，应当照顾民族自治地方的利益，作出有利于民族自治地方经济建设的安排，照顾当地少数民族的生产和生活。另一方面，根据《社会稳定性风险评估》规定</w:t>
      </w:r>
      <w:r>
        <w:rPr>
          <w:rFonts w:hint="eastAsia" w:ascii="Arial" w:hAnsi="Arial" w:cs="Arial"/>
          <w:sz w:val="22"/>
          <w:lang w:eastAsia="zh-CN"/>
        </w:rPr>
        <w:t>，在</w:t>
      </w:r>
      <w:r>
        <w:rPr>
          <w:rFonts w:ascii="Arial" w:hAnsi="Arial" w:cs="Arial"/>
          <w:sz w:val="22"/>
        </w:rPr>
        <w:t>项目可行性研究阶段，实施单位（委托专业机构）开展社会风险评价，进行影响识别、公众咨询、提出减缓措施并编制《项目社会稳定性风险评价》；对于县级以上地方人民政府拟申请征收土地的，应当开展拟征收土地现状调查和社会稳定风险评估。在省级层面，各市/县根据相关法规制定了本地区的政策制度，例如</w:t>
      </w:r>
      <w:r>
        <w:rPr>
          <w:rFonts w:ascii="Arial" w:hAnsi="Arial" w:cs="Arial"/>
          <w:sz w:val="22"/>
          <w:szCs w:val="28"/>
        </w:rPr>
        <w:t>2021年12月湖北省委省政府发布了《关于进一步加强新形势下重大决策社会稳定风险评估工作的实施意见》</w:t>
      </w:r>
      <w:r>
        <w:rPr>
          <w:rFonts w:ascii="Arial" w:hAnsi="Arial" w:cs="Arial"/>
          <w:sz w:val="22"/>
        </w:rPr>
        <w:t>，以及湖南省颁布了《关于加强新形势下重大决策社会稳定风险评估工作的实施意见》（湘办发</w:t>
      </w:r>
      <w:r>
        <w:rPr>
          <w:rFonts w:hint="eastAsia" w:ascii="Arial" w:hAnsi="Arial" w:cs="Arial"/>
          <w:sz w:val="22"/>
          <w:lang w:eastAsia="zh-CN"/>
        </w:rPr>
        <w:t>〔2021〕27号</w:t>
      </w:r>
      <w:r>
        <w:rPr>
          <w:rFonts w:ascii="Arial" w:hAnsi="Arial" w:cs="Arial"/>
          <w:sz w:val="22"/>
        </w:rPr>
        <w:t>）。</w:t>
      </w:r>
    </w:p>
    <w:p w14:paraId="14E4BA4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国家和湖北、湖南省制定了尊重少数民族意见、维护民族平等、尊重风俗习惯的一系列综合性的少数民族发展政策。与核心原则5和要素10的要求一致。</w:t>
      </w:r>
    </w:p>
    <w:p w14:paraId="25C9E292">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要素11：</w:t>
      </w:r>
      <w:r>
        <w:rPr>
          <w:rFonts w:ascii="Arial" w:hAnsi="Arial" w:eastAsia="宋体" w:cs="Arial"/>
          <w:lang w:eastAsia="zh-CN"/>
        </w:rPr>
        <w:t>确保少数民族可以利用传统资源或文化，通过项目创造工作机会，其中，使用</w:t>
      </w:r>
      <w:r>
        <w:rPr>
          <w:rFonts w:hint="eastAsia" w:ascii="Arial" w:hAnsi="Arial" w:eastAsia="宋体" w:cs="Arial"/>
          <w:lang w:eastAsia="zh-CN"/>
        </w:rPr>
        <w:t>民族地区</w:t>
      </w:r>
      <w:r>
        <w:rPr>
          <w:rFonts w:ascii="Arial" w:hAnsi="Arial" w:eastAsia="宋体" w:cs="Arial"/>
          <w:lang w:eastAsia="zh-CN"/>
        </w:rPr>
        <w:t>文化资源的，应征得相关少数民族的同意。</w:t>
      </w:r>
    </w:p>
    <w:p w14:paraId="4D05D32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保障少数民族发展权益的政策依据：</w:t>
      </w:r>
      <w:r>
        <w:rPr>
          <w:rFonts w:ascii="Arial" w:hAnsi="Arial" w:cs="Arial"/>
          <w:sz w:val="22"/>
        </w:rPr>
        <w:t>《中华人民共和国民族区域自治法》明确，国家在民族自治地方开发资源、进行建设的时候，应当照顾民族自治地方的利益，作出有利于民族自治地方经济建设的安排，照顾当地少数民族的生产和生活，且上级国家机关应当把民族自治地方的重大生态平衡、环境保护的综合治理工程项目纳入国民经济和社会发展计划。从公众咨询的角度看，《重大行政决策程序暂行条例》规定，制定经济和社会发展等方面的重要规划和决定在本行政区域实施的重大公共建设项目时，要开展事先公众参与，并对公众参与的时间、形式、流程、记录等进行了系统规定。根据以上</w:t>
      </w:r>
      <w:r>
        <w:rPr>
          <w:rFonts w:hint="eastAsia" w:ascii="Arial" w:hAnsi="Arial" w:cs="Arial"/>
          <w:sz w:val="22"/>
          <w:lang w:eastAsia="zh-CN"/>
        </w:rPr>
        <w:t>两部</w:t>
      </w:r>
      <w:r>
        <w:rPr>
          <w:rFonts w:ascii="Arial" w:hAnsi="Arial" w:cs="Arial"/>
          <w:sz w:val="22"/>
        </w:rPr>
        <w:t>法规，湖北湖南两省均编制少数民族事业发展五年规划，例如2022年1月湖北省制定了《湖北省民族工作高质量发展“十四五”规划》（2022 1），规划分类提出了共筑精神家园、共同繁荣发展、共享美好生活、民族交往交流交融等4个方面18项具体指标，明确了创新推进铸牢中华民族共同体意识工程、民族地区绿色产业融合创新发展工程、乡村振兴重点帮扶工程、民族宗教事务大数据管理平台建设等8个重点工程项目；2021年12月湖南省出台了《湖南省民族工作“十四五”发展规划》，分类提出了经济社会发展、民生福祉、生态文明建设、乡村振兴、铸牢中华民族共同体意识重点工程、民族团结进步创建等6个方面的具体指标、42个重点工程项目。</w:t>
      </w:r>
    </w:p>
    <w:p w14:paraId="7382706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国家、湖北和湖南省对少数民族发展，为少数民族居民创造就业机会、提升生活水平上，进行了自上而下系统的规划和安排，且依据《重大行政决策程序暂行条例》的要求，相关规划和项目均须开展事先公众咨询。因与核心原则5和要素11的要求一致。</w:t>
      </w:r>
    </w:p>
    <w:p w14:paraId="6E1E4B0C">
      <w:pPr>
        <w:adjustRightInd w:val="0"/>
        <w:snapToGrid w:val="0"/>
        <w:spacing w:before="120" w:after="120"/>
        <w:rPr>
          <w:rFonts w:ascii="Arial" w:hAnsi="Arial" w:cs="Arial"/>
          <w:sz w:val="22"/>
        </w:rPr>
      </w:pPr>
      <w:r>
        <w:rPr>
          <w:rFonts w:ascii="Arial" w:hAnsi="Arial" w:cs="Arial"/>
          <w:b/>
          <w:bCs/>
          <w:sz w:val="22"/>
          <w:highlight w:val="lightGray"/>
        </w:rPr>
        <w:t>要素12：</w:t>
      </w:r>
      <w:r>
        <w:rPr>
          <w:rFonts w:ascii="Arial" w:hAnsi="Arial" w:cs="Arial"/>
          <w:sz w:val="22"/>
          <w:highlight w:val="lightGray"/>
        </w:rPr>
        <w:t>关注困难群体或受到歧视的群体，包括穷人，残疾人，妇女和儿童，老年人或被边缘化的族群；并在必要时采取特殊措施，以促进公平地获得项目收益</w:t>
      </w:r>
    </w:p>
    <w:p w14:paraId="1B31F77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贫困及扶贫制度：</w:t>
      </w:r>
      <w:bookmarkStart w:id="416" w:name="_Hlk78987059"/>
      <w:r>
        <w:rPr>
          <w:rFonts w:ascii="Arial" w:hAnsi="Arial" w:cs="Arial"/>
          <w:sz w:val="22"/>
        </w:rPr>
        <w:t>中国已于2020年实现全面脱贫，目前主要关注受各种原因影响存在返贫风险的脱贫户、存在致贫风险的一般农户，或受突发事件等各类因素影响导致刚性支出较大或收入大幅缩减，导致基本生活出现严重困难并存在返贫致贫风险的农户。对此，中共中央办公厅、国务院办公厅于2020年8月印发了《关于改革完善社会救助制度的意见》（中办发〔2020〕18号），要求统筹发展社会救助体系，巩固</w:t>
      </w:r>
      <w:r>
        <w:rPr>
          <w:rFonts w:hint="eastAsia" w:ascii="Arial" w:hAnsi="Arial" w:cs="Arial"/>
          <w:sz w:val="22"/>
          <w:lang w:eastAsia="zh-CN"/>
        </w:rPr>
        <w:t>拓展</w:t>
      </w:r>
      <w:r>
        <w:rPr>
          <w:rFonts w:ascii="Arial" w:hAnsi="Arial" w:cs="Arial"/>
          <w:sz w:val="22"/>
        </w:rPr>
        <w:t>脱贫攻坚成果，切实兜住兜牢基本民生保障底线。对共同生活的家庭成员人均收入低于当地最低生活保障标准且符合财产状况规定的家庭，给予最低生活保障。对无劳动能力、无生活来源、无法定赡养抚养扶养义务人或者其法定义务人无履行义务能力的城乡老年人、残疾人、未成年人，给予特困人员救助供养。同时，根据实际需要给予相应的医疗、住房、教育、就业等专项社会救助。对不符合低保或特困供养条件的低收入家庭和刚性支出较大导致基本生活出现严重困难的家庭，根据实际需要给予相应的医疗、住房、教育、就业等专项社会救助或实施其他必要救助措施。对遭遇突发事件、意外伤害、重大疾病，受传染病疫情等突发公共卫生事件影响或由于其他特殊原因导致基本生活暂时陷入困境的家庭或个人以及临时遇困、生活无着人员，给予急难社会救助。对遭遇自然灾害的，给予受灾人员救助。在此基础上，湖北省和湖南省分别出台了本省的《实施意见》。两省每年都要公布城乡低保标准、特困供养标准和政策，由当地县级以上人民政府统一制定，各地标准不一样。2022年，湖北省城市低保平均标准是月人均700元，农村低保平均标准是年人均6236元，</w:t>
      </w:r>
      <w:r>
        <w:rPr>
          <w:rFonts w:hint="eastAsia" w:ascii="Arial" w:hAnsi="Arial" w:cs="Arial"/>
          <w:sz w:val="22"/>
        </w:rPr>
        <w:t>城市特困救助供养标准每人每年</w:t>
      </w:r>
      <w:r>
        <w:rPr>
          <w:rFonts w:ascii="Arial" w:hAnsi="Arial" w:cs="Arial"/>
          <w:sz w:val="22"/>
        </w:rPr>
        <w:t>16807</w:t>
      </w:r>
      <w:r>
        <w:rPr>
          <w:rFonts w:hint="eastAsia" w:ascii="Arial" w:hAnsi="Arial" w:cs="Arial"/>
          <w:sz w:val="22"/>
        </w:rPr>
        <w:t>元，农村特困救助供养标准每人每年</w:t>
      </w:r>
      <w:r>
        <w:rPr>
          <w:rFonts w:ascii="Arial" w:hAnsi="Arial" w:cs="Arial"/>
          <w:sz w:val="22"/>
        </w:rPr>
        <w:t>11990</w:t>
      </w:r>
      <w:r>
        <w:rPr>
          <w:rFonts w:hint="eastAsia" w:ascii="Arial" w:hAnsi="Arial" w:cs="Arial"/>
          <w:sz w:val="22"/>
        </w:rPr>
        <w:t>元；</w:t>
      </w:r>
      <w:r>
        <w:rPr>
          <w:rFonts w:ascii="Arial" w:hAnsi="Arial" w:cs="Arial"/>
          <w:sz w:val="22"/>
        </w:rPr>
        <w:t>湖南省城市低保平均标准是月人均618元，农村低保平均标准是年人均5557元，</w:t>
      </w:r>
      <w:r>
        <w:rPr>
          <w:rFonts w:hint="eastAsia" w:ascii="Arial" w:hAnsi="Arial" w:cs="Arial"/>
          <w:sz w:val="22"/>
        </w:rPr>
        <w:t>城市特困平均标准每人每年</w:t>
      </w:r>
      <w:r>
        <w:rPr>
          <w:rFonts w:ascii="Arial" w:hAnsi="Arial" w:cs="Arial"/>
          <w:sz w:val="22"/>
        </w:rPr>
        <w:t>9640</w:t>
      </w:r>
      <w:r>
        <w:rPr>
          <w:rFonts w:hint="eastAsia" w:ascii="Arial" w:hAnsi="Arial" w:cs="Arial"/>
          <w:sz w:val="22"/>
        </w:rPr>
        <w:t>元，农村特困平均标准每人每年</w:t>
      </w:r>
      <w:r>
        <w:rPr>
          <w:rFonts w:ascii="Arial" w:hAnsi="Arial" w:cs="Arial"/>
          <w:sz w:val="22"/>
        </w:rPr>
        <w:t>7224</w:t>
      </w:r>
      <w:r>
        <w:rPr>
          <w:rFonts w:hint="eastAsia" w:ascii="Arial" w:hAnsi="Arial" w:cs="Arial"/>
          <w:sz w:val="22"/>
        </w:rPr>
        <w:t>元。</w:t>
      </w:r>
      <w:bookmarkEnd w:id="416"/>
    </w:p>
    <w:p w14:paraId="66F007B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《湖北省民政事业发展“十四五”规划》</w:t>
      </w:r>
      <w:r>
        <w:rPr>
          <w:rFonts w:hint="eastAsia" w:ascii="Arial" w:hAnsi="Arial" w:cs="Arial"/>
          <w:sz w:val="22"/>
          <w:lang w:eastAsia="zh-CN"/>
        </w:rPr>
        <w:t>（</w:t>
      </w:r>
      <w:r>
        <w:rPr>
          <w:rFonts w:ascii="Arial" w:hAnsi="Arial" w:cs="Arial"/>
          <w:sz w:val="22"/>
        </w:rPr>
        <w:t>2021.10.29</w:t>
      </w:r>
      <w:r>
        <w:rPr>
          <w:rFonts w:hint="eastAsia" w:ascii="Arial" w:hAnsi="Arial" w:cs="Arial"/>
          <w:sz w:val="22"/>
          <w:lang w:eastAsia="zh-CN"/>
        </w:rPr>
        <w:t>）</w:t>
      </w:r>
      <w:r>
        <w:rPr>
          <w:rFonts w:ascii="Arial" w:hAnsi="Arial" w:cs="Arial"/>
          <w:sz w:val="22"/>
        </w:rPr>
        <w:t>提出，到2025年，建成与全省经济社会发展水平相适应的民政事业高质量发展格局：1</w:t>
      </w:r>
      <w:r>
        <w:rPr>
          <w:rFonts w:hint="eastAsia" w:ascii="Arial" w:hAnsi="Arial" w:cs="Arial"/>
          <w:sz w:val="22"/>
          <w:lang w:eastAsia="zh-CN"/>
        </w:rPr>
        <w:t>）</w:t>
      </w:r>
      <w:r>
        <w:rPr>
          <w:rFonts w:ascii="Arial" w:hAnsi="Arial" w:cs="Arial"/>
          <w:sz w:val="22"/>
        </w:rPr>
        <w:t>基本民生保障水平明显提升。社会救助体系更加完善，形成以基本生活救助、专项社会救助、急难社会救助为主体，</w:t>
      </w:r>
      <w:r>
        <w:rPr>
          <w:rFonts w:hint="eastAsia" w:ascii="Arial" w:hAnsi="Arial" w:cs="Arial"/>
          <w:sz w:val="22"/>
          <w:lang w:val="en-US" w:eastAsia="zh-CN"/>
        </w:rPr>
        <w:t>以</w:t>
      </w:r>
      <w:r>
        <w:rPr>
          <w:rFonts w:ascii="Arial" w:hAnsi="Arial" w:cs="Arial"/>
          <w:sz w:val="22"/>
        </w:rPr>
        <w:t>社会力量参与为补充，建立健全</w:t>
      </w:r>
      <w:r>
        <w:rPr>
          <w:rFonts w:hint="eastAsia" w:ascii="Arial" w:hAnsi="Arial" w:cs="Arial"/>
          <w:sz w:val="22"/>
          <w:lang w:eastAsia="zh-CN"/>
        </w:rPr>
        <w:t>分层分类社会救助</w:t>
      </w:r>
      <w:r>
        <w:rPr>
          <w:rFonts w:ascii="Arial" w:hAnsi="Arial" w:cs="Arial"/>
          <w:sz w:val="22"/>
        </w:rPr>
        <w:t>制度体系。实现救助管理服务提档升级。孤儿、事实无人抚养儿童保障政策得到有效落实，困难残疾人生活补贴、重度残疾人护理补贴制度及老年人社会福利制度进一步完善，保障水平不断提升。2</w:t>
      </w:r>
      <w:r>
        <w:rPr>
          <w:rFonts w:hint="eastAsia" w:ascii="Arial" w:hAnsi="Arial" w:cs="Arial"/>
          <w:sz w:val="22"/>
          <w:lang w:eastAsia="zh-CN"/>
        </w:rPr>
        <w:t>）</w:t>
      </w:r>
      <w:r>
        <w:rPr>
          <w:rFonts w:ascii="Arial" w:hAnsi="Arial" w:cs="Arial"/>
          <w:sz w:val="22"/>
        </w:rPr>
        <w:t>基本社会服务质量明显提高。居家社区机构相协调、医养康养相结合的养老服务体系不断完善，养老服务供给结构不断优化，养老服务质量持续改善。关爱服务体系更加健全。政府购买社会服务力度增强，社会专业力量提供多样化服务。婚姻综合服务提质增效，儿童收养工作进一步规范。到2025年的主要发展指标有：城乡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8万人；志愿服务站点在社区综合服务设施中的覆盖率达到80%；每百户居民拥有的社区综合服务设施面积超过30平方米；社会组织专职工作人员数量达到40万人。《湖南省“十四五”民政事业发展规划》（2021.9.13）分别从社会救助、养老服务、儿童福利、基层社会治理、基本社会服务、社会组织发展、慈善事业和社会工作、区划地名管理服务、现代化新湖南“五化”民政共九个方面，明确了发展任务，提出了工作重点。《规划》提出，到2025年，城乡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9万人；志愿服务站点在社区综合服务设施中的覆盖率达到80%；每百户居民拥有的社区综合服务设施面积超过43平方米；社会组织专职工作人员数量达到37万人。</w:t>
      </w:r>
    </w:p>
    <w:p w14:paraId="2164F61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妇女权益保障：</w:t>
      </w:r>
      <w:r>
        <w:rPr>
          <w:rFonts w:ascii="Arial" w:hAnsi="Arial" w:cs="Arial"/>
          <w:sz w:val="22"/>
        </w:rPr>
        <w:t>关于性别平等与妇女发展，《中华人民共和国妇女权益保障法》</w:t>
      </w:r>
      <w:r>
        <w:rPr>
          <w:rFonts w:hint="eastAsia" w:ascii="Arial" w:hAnsi="Arial" w:cs="Arial"/>
          <w:sz w:val="22"/>
          <w:lang w:eastAsia="zh-CN"/>
        </w:rPr>
        <w:t>（</w:t>
      </w:r>
      <w:r>
        <w:rPr>
          <w:rFonts w:ascii="Arial" w:hAnsi="Arial" w:cs="Arial"/>
          <w:sz w:val="22"/>
        </w:rPr>
        <w:t>20</w:t>
      </w:r>
      <w:r>
        <w:rPr>
          <w:rFonts w:hint="eastAsia" w:ascii="Arial" w:hAnsi="Arial" w:cs="Arial"/>
          <w:sz w:val="22"/>
        </w:rPr>
        <w:t>231.1</w:t>
      </w:r>
      <w:r>
        <w:rPr>
          <w:rFonts w:hint="eastAsia" w:ascii="Arial" w:hAnsi="Arial" w:cs="Arial"/>
          <w:sz w:val="22"/>
          <w:lang w:eastAsia="zh-CN"/>
        </w:rPr>
        <w:t>）</w:t>
      </w:r>
      <w:r>
        <w:rPr>
          <w:rFonts w:ascii="Arial" w:hAnsi="Arial" w:cs="Arial"/>
          <w:sz w:val="22"/>
        </w:rPr>
        <w:t>要求，要保障妇女的合法权益，促进男女平等，并明确国家保障妇女享有与男子平等的劳动权利和社会保障权利。</w:t>
      </w:r>
      <w:bookmarkStart w:id="417" w:name="_Hlk78986245"/>
      <w:r>
        <w:rPr>
          <w:rFonts w:ascii="Arial" w:hAnsi="Arial" w:cs="Arial"/>
          <w:sz w:val="22"/>
        </w:rPr>
        <w:t>例如，该法规定妇女在农村土地承包经营、集体经济组织收益分配、土地征收或者征用补偿费使用以及宅基地使用等方面，享有与男性平等的权利。任何组织和个人不得以妇女未婚、结婚、离婚、丧偶等为由，侵害妇女在农村经济组织中的各项权益。</w:t>
      </w:r>
      <w:bookmarkEnd w:id="417"/>
      <w:r>
        <w:rPr>
          <w:rFonts w:ascii="Arial" w:hAnsi="Arial" w:cs="Arial"/>
          <w:sz w:val="22"/>
        </w:rPr>
        <w:t>国务院于2022年9月颁布了《中国妇女发展纲要</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2030年</w:t>
      </w:r>
      <w:r>
        <w:rPr>
          <w:rFonts w:hint="eastAsia" w:ascii="Arial" w:hAnsi="Arial" w:cs="Arial"/>
          <w:sz w:val="22"/>
          <w:lang w:eastAsia="zh-CN"/>
        </w:rPr>
        <w:t>）</w:t>
      </w:r>
      <w:r>
        <w:rPr>
          <w:rFonts w:ascii="Arial" w:hAnsi="Arial" w:cs="Arial"/>
          <w:sz w:val="22"/>
        </w:rPr>
        <w:t>》，提出的发展目标是：男女平等基本国策得到深入贯彻落实，促进男女平等和妇女全面发展的制度机制创新完善。妇女平等享有全方位全生命周期健康服务，健康水平持续提升。妇女平等享有受教育权利</w:t>
      </w:r>
      <w:r>
        <w:rPr>
          <w:rFonts w:hint="eastAsia" w:ascii="Arial" w:hAnsi="Arial" w:cs="Arial"/>
          <w:sz w:val="22"/>
          <w:lang w:eastAsia="zh-CN"/>
        </w:rPr>
        <w:t>，</w:t>
      </w:r>
      <w:r>
        <w:rPr>
          <w:rFonts w:ascii="Arial" w:hAnsi="Arial" w:cs="Arial"/>
          <w:sz w:val="22"/>
        </w:rPr>
        <w:t>素质能力持续提高。妇女平等享有经济权益，经济地位稳步提升。妇女平等享有政治权利</w:t>
      </w:r>
      <w:r>
        <w:rPr>
          <w:rFonts w:hint="eastAsia" w:ascii="Arial" w:hAnsi="Arial" w:cs="Arial"/>
          <w:sz w:val="22"/>
          <w:lang w:eastAsia="zh-CN"/>
        </w:rPr>
        <w:t>，</w:t>
      </w:r>
      <w:r>
        <w:rPr>
          <w:rFonts w:ascii="Arial" w:hAnsi="Arial" w:cs="Arial"/>
          <w:sz w:val="22"/>
        </w:rPr>
        <w:t>参与国家和经济文化社会事务管理的水平逐步提高。妇女平等享有多层次可持续的社会保障，待遇水平稳步提高。支持家庭发展的法规政策体系更加完善，社会主义家庭文</w:t>
      </w:r>
      <w:r>
        <w:rPr>
          <w:rFonts w:hint="eastAsia" w:ascii="Arial" w:hAnsi="Arial" w:cs="Arial"/>
          <w:sz w:val="22"/>
          <w:lang w:eastAsia="zh-CN"/>
        </w:rPr>
        <w:t>明</w:t>
      </w:r>
      <w:r>
        <w:rPr>
          <w:rFonts w:ascii="Arial" w:hAnsi="Arial" w:cs="Arial"/>
          <w:sz w:val="22"/>
        </w:rPr>
        <w:t>新风尚广泛弘扬。男女平等理念更加深入人心，妇女发展环境更为优化。法治体系更加健全，妇女合法权益得到切实保障。妇女的获得感、幸福感、安全感显著提升。</w:t>
      </w:r>
    </w:p>
    <w:p w14:paraId="394268F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《湖北省妇女发展规划（2021</w:t>
      </w:r>
      <w:r>
        <w:rPr>
          <w:rFonts w:hint="eastAsia" w:ascii="Arial" w:hAnsi="Arial" w:cs="Arial"/>
          <w:sz w:val="22"/>
          <w:lang w:eastAsia="zh-CN"/>
        </w:rPr>
        <w:t>—</w:t>
      </w:r>
      <w:r>
        <w:rPr>
          <w:rFonts w:ascii="Arial" w:hAnsi="Arial" w:cs="Arial"/>
          <w:sz w:val="22"/>
        </w:rPr>
        <w:t>2030年）》（2021.12.25）确定了2030年妇女发展主要目标，在妇女与健康，妇女与教育，妇女与经济、妇女参与决策与管理、妇女与社会保障、妇女与家庭建设、妇女与环境、妇女与法律八个方面，提出了明确的发展目标和考核指标，制定了确保发展目标实现的保障措施。《湖南省妇女发展规划</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》（2021.9.16）针对妇女发展设置健康、教育、经济、参与决策和管理、社会保障、家庭建设、环境、法律8个领域，提出80项主要目标和95项策略措施。</w:t>
      </w:r>
    </w:p>
    <w:p w14:paraId="43C1889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儿童保护：《</w:t>
      </w:r>
      <w:r>
        <w:rPr>
          <w:rFonts w:ascii="Arial" w:hAnsi="Arial" w:cs="Arial"/>
          <w:sz w:val="22"/>
        </w:rPr>
        <w:t>中华人民共和国未成年人保护法》（2020修订）规定，未成年人依法平等地享有各项权利，不因本人及其父母或者其他监护人的民族、种族、性别、户籍、职业、宗教信仰、教育程度、家庭状况、身心健康状况等受到歧视。该法律对未成年人家庭保护、学校保护、社会保护、网络保护、政府保护、司法保护方面做出了详细规定。在省级层面，《湖北省儿童发展规划（2021－2030年）》（2021.12.25）确定了2030年儿童发展主要目标，在儿童与健康、儿童与安全、儿童与教育、儿童与福利、儿童与家庭、儿童与环境、儿童与法律保护等七个方面，提出了明确的发展目标，制定了确保发展目标实现的保障措施，并且建立了对发展目标实行年度监测、中期评估、终期评估的监测评估机制。《湖南省儿童发展规划</w:t>
      </w:r>
      <w:r>
        <w:rPr>
          <w:rFonts w:hint="eastAsia" w:ascii="Arial" w:hAnsi="Arial" w:cs="Arial"/>
          <w:sz w:val="22"/>
          <w:lang w:eastAsia="zh-CN"/>
        </w:rPr>
        <w:t>（</w:t>
      </w:r>
      <w:r>
        <w:rPr>
          <w:rFonts w:ascii="Arial" w:hAnsi="Arial" w:cs="Arial"/>
          <w:sz w:val="22"/>
        </w:rPr>
        <w:t>2021</w:t>
      </w:r>
      <w:r>
        <w:rPr>
          <w:rFonts w:hint="eastAsia" w:ascii="Arial" w:hAnsi="Arial" w:cs="Arial"/>
          <w:sz w:val="22"/>
          <w:lang w:eastAsia="zh-CN"/>
        </w:rPr>
        <w:t>—</w:t>
      </w:r>
      <w:r>
        <w:rPr>
          <w:rFonts w:ascii="Arial" w:hAnsi="Arial" w:cs="Arial"/>
          <w:sz w:val="22"/>
        </w:rPr>
        <w:t>2025年</w:t>
      </w:r>
      <w:r>
        <w:rPr>
          <w:rFonts w:hint="eastAsia" w:ascii="Arial" w:hAnsi="Arial" w:cs="Arial"/>
          <w:sz w:val="22"/>
          <w:lang w:eastAsia="zh-CN"/>
        </w:rPr>
        <w:t>）</w:t>
      </w:r>
      <w:r>
        <w:rPr>
          <w:rFonts w:ascii="Arial" w:hAnsi="Arial" w:cs="Arial"/>
          <w:sz w:val="22"/>
        </w:rPr>
        <w:t>》（2021.9.16）在儿童发展健康、安全、教育、福利、家庭、环境、法律保护7个领域提出74项主要目标和88项策略措施。</w:t>
      </w:r>
    </w:p>
    <w:p w14:paraId="72A135C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基于以上分析，在关注少数民族、贫困和妇女、儿童等弱势群体权益和发展方面，国家、湖北省、湖南省有系统的管理规划、措施和相应的机构安排，能确保有关群体平等参与，并公平从项目发展中受益。因此，有关弱势群体和妇女发展的政策与核心原则5和要素12的要求一致。</w:t>
      </w:r>
    </w:p>
    <w:p w14:paraId="2D9842D2">
      <w:pPr>
        <w:pStyle w:val="4"/>
        <w:numPr>
          <w:ilvl w:val="2"/>
          <w:numId w:val="23"/>
        </w:numPr>
        <w:tabs>
          <w:tab w:val="left" w:pos="851"/>
        </w:tabs>
        <w:adjustRightInd w:val="0"/>
        <w:snapToGrid w:val="0"/>
        <w:spacing w:before="120" w:after="120" w:line="240" w:lineRule="auto"/>
        <w:ind w:left="0" w:firstLine="0"/>
        <w:rPr>
          <w:rFonts w:ascii="Arial" w:hAnsi="Arial" w:cs="Arial"/>
          <w:sz w:val="22"/>
          <w:szCs w:val="22"/>
        </w:rPr>
      </w:pPr>
      <w:bookmarkStart w:id="418" w:name="_Toc90729527"/>
      <w:bookmarkStart w:id="419" w:name="_Toc119937304"/>
      <w:bookmarkStart w:id="420" w:name="_Toc114235835"/>
      <w:r>
        <w:rPr>
          <w:rFonts w:ascii="Arial" w:hAnsi="Arial" w:cs="Arial"/>
          <w:sz w:val="22"/>
          <w:szCs w:val="22"/>
        </w:rPr>
        <w:t>核心原则6社会冲突</w:t>
      </w:r>
      <w:bookmarkEnd w:id="418"/>
      <w:r>
        <w:rPr>
          <w:rFonts w:ascii="Arial" w:hAnsi="Arial" w:cs="Arial"/>
          <w:sz w:val="22"/>
          <w:szCs w:val="22"/>
        </w:rPr>
        <w:t>管理体系</w:t>
      </w:r>
      <w:bookmarkEnd w:id="419"/>
      <w:bookmarkEnd w:id="420"/>
    </w:p>
    <w:p w14:paraId="4548492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要素13</w:t>
      </w:r>
      <w:r>
        <w:rPr>
          <w:rFonts w:ascii="Arial" w:hAnsi="Arial" w:cs="Arial"/>
          <w:sz w:val="22"/>
        </w:rPr>
        <w:t>要求项目要考虑冲突的风险，包括分配不均和文化敏感性。总体上，要素13与本项目不相关。此外，如核心原则1和要素1分析结果，中国以社会稳定风险分析为工具，对各种社会影响和风险进行综合性管理，因此本项目不会加剧当地社会冲突。</w:t>
      </w:r>
    </w:p>
    <w:p w14:paraId="012A64D6">
      <w:pPr>
        <w:pStyle w:val="3"/>
        <w:numPr>
          <w:ilvl w:val="1"/>
          <w:numId w:val="21"/>
        </w:numPr>
        <w:rPr>
          <w:color w:val="1F4E79" w:themeColor="accent5" w:themeShade="80"/>
          <w:sz w:val="24"/>
        </w:rPr>
      </w:pPr>
      <w:bookmarkStart w:id="421" w:name="_Toc119937305"/>
      <w:bookmarkStart w:id="422" w:name="_Toc114235836"/>
      <w:bookmarkStart w:id="423" w:name="_Toc79402237"/>
      <w:bookmarkStart w:id="424" w:name="_Toc86683187"/>
      <w:bookmarkStart w:id="425" w:name="_Toc90729528"/>
      <w:r>
        <w:rPr>
          <w:color w:val="1F4E79" w:themeColor="accent5" w:themeShade="80"/>
          <w:sz w:val="24"/>
        </w:rPr>
        <w:t>社会管理机制与能力评估</w:t>
      </w:r>
      <w:bookmarkEnd w:id="421"/>
      <w:bookmarkEnd w:id="422"/>
      <w:bookmarkEnd w:id="423"/>
      <w:bookmarkEnd w:id="424"/>
      <w:bookmarkEnd w:id="425"/>
    </w:p>
    <w:p w14:paraId="526B242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世行结果导向型贷款环境和社会管理系统评估指南》核心原则1下要素1和要素2对实施单位的相关社会机构的职责和能力提出了原则性的要求。此外，各风险对应的核心原则也是对应机构能力的依据。一方面，是确保相关机构有法规和行政职权可以承诺资源投入及实施相应措施管理社会风险（</w:t>
      </w:r>
      <w:r>
        <w:rPr>
          <w:rFonts w:ascii="Arial" w:hAnsi="Arial" w:cs="Arial"/>
          <w:b/>
          <w:bCs/>
          <w:sz w:val="22"/>
        </w:rPr>
        <w:t>要素1</w:t>
      </w:r>
      <w:r>
        <w:rPr>
          <w:rFonts w:ascii="Arial" w:hAnsi="Arial" w:cs="Arial"/>
          <w:sz w:val="22"/>
        </w:rPr>
        <w:t>）。另一方面，影响评估和管理要求有明晰的机构职责和资源，从而可以支持相关方案实施（</w:t>
      </w:r>
      <w:r>
        <w:rPr>
          <w:rFonts w:ascii="Arial" w:hAnsi="Arial" w:cs="Arial"/>
          <w:b/>
          <w:bCs/>
          <w:sz w:val="22"/>
        </w:rPr>
        <w:t>要素2下V</w:t>
      </w:r>
      <w:r>
        <w:rPr>
          <w:rFonts w:ascii="Arial" w:hAnsi="Arial" w:cs="Arial"/>
          <w:sz w:val="22"/>
        </w:rPr>
        <w:t xml:space="preserve">）。 </w:t>
      </w:r>
    </w:p>
    <w:p w14:paraId="7356F82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如</w:t>
      </w:r>
      <w:r>
        <w:rPr>
          <w:rFonts w:ascii="Arial" w:hAnsi="Arial" w:cs="Arial"/>
          <w:b/>
          <w:bCs/>
          <w:sz w:val="22"/>
        </w:rPr>
        <w:fldChar w:fldCharType="begin"/>
      </w:r>
      <w:r>
        <w:rPr>
          <w:rFonts w:ascii="Arial" w:hAnsi="Arial" w:cs="Arial"/>
          <w:sz w:val="22"/>
        </w:rPr>
        <w:instrText xml:space="preserve"> REF _Ref85468384 \h </w:instrText>
      </w:r>
      <w:r>
        <w:rPr>
          <w:rFonts w:ascii="Arial" w:hAnsi="Arial" w:cs="Arial"/>
          <w:b/>
          <w:bCs/>
          <w:sz w:val="22"/>
        </w:rPr>
        <w:instrText xml:space="preserve"> \* MERGEFORMAT </w:instrText>
      </w:r>
      <w:r>
        <w:rPr>
          <w:rFonts w:ascii="Arial" w:hAnsi="Arial" w:cs="Arial"/>
          <w:b/>
          <w:bCs/>
          <w:sz w:val="22"/>
        </w:rPr>
        <w:fldChar w:fldCharType="separate"/>
      </w:r>
      <w:r>
        <w:rPr>
          <w:rFonts w:ascii="Arial" w:hAnsi="Arial" w:cs="Arial"/>
          <w:b/>
          <w:bCs/>
          <w:sz w:val="22"/>
        </w:rPr>
        <w:t>表 4</w:t>
      </w:r>
      <w:r>
        <w:rPr>
          <w:rFonts w:ascii="Arial" w:hAnsi="Arial" w:cs="Arial"/>
          <w:b/>
          <w:bCs/>
          <w:sz w:val="22"/>
        </w:rPr>
        <w:noBreakHyphen/>
      </w:r>
      <w:r>
        <w:rPr>
          <w:rFonts w:ascii="Arial" w:hAnsi="Arial" w:cs="Arial"/>
          <w:b/>
          <w:bCs/>
          <w:sz w:val="22"/>
        </w:rPr>
        <w:t>1</w:t>
      </w:r>
      <w:r>
        <w:rPr>
          <w:rFonts w:ascii="Arial" w:hAnsi="Arial" w:cs="Arial"/>
          <w:b/>
          <w:bCs/>
          <w:sz w:val="22"/>
        </w:rPr>
        <w:fldChar w:fldCharType="end"/>
      </w:r>
      <w:r>
        <w:rPr>
          <w:rFonts w:ascii="Arial" w:hAnsi="Arial" w:cs="Arial"/>
          <w:sz w:val="22"/>
        </w:rPr>
        <w:t>所示，湖北和湖南省市县相关政府部门针对不同社会风险已经设置了明晰的管理机构，配备了有资质的人员。本节分析各</w:t>
      </w:r>
      <w:r>
        <w:rPr>
          <w:rFonts w:hint="eastAsia" w:ascii="Arial" w:hAnsi="Arial" w:cs="Arial"/>
          <w:sz w:val="22"/>
          <w:lang w:eastAsia="zh-CN"/>
        </w:rPr>
        <w:t>社会治理体系</w:t>
      </w:r>
      <w:r>
        <w:rPr>
          <w:rFonts w:ascii="Arial" w:hAnsi="Arial" w:cs="Arial"/>
          <w:sz w:val="22"/>
        </w:rPr>
        <w:t>对应的机构设置情况，并评估目前的机构设置是否合理，是否存在需要加强的地方。主要分两个层面分析：首先，通过调查和咨询了解各社会管理系统的机构设置；其次，针对每一个社会管理系统评估当前机构安排的合理性和能力，分析与核心原则1下的要素1和要素2的一致性，对于存在不足的地方，提出行动要求和建议。本节将在充分协商的基础上，评估每个行政机构的职责、工作规程或程序、人员配置和能力、跨部门协调等。根据评估，每个省级和县级机关有几十名工作人员。不同地区专门人员的数量并不完全相同，具体通过相关官方文件和程序确定，从而分配或维持人力及其他资源以满足动态需求。针对不同的社会风险，本部分对相应机构或机构功能团进行分析和评估。</w:t>
      </w:r>
      <w:r>
        <w:rPr>
          <w:rFonts w:ascii="Arial" w:hAnsi="Arial" w:cs="Arial"/>
          <w:sz w:val="22"/>
        </w:rPr>
        <w:fldChar w:fldCharType="begin"/>
      </w:r>
      <w:r>
        <w:rPr>
          <w:rFonts w:ascii="Arial" w:hAnsi="Arial" w:cs="Arial"/>
          <w:sz w:val="22"/>
        </w:rPr>
        <w:instrText xml:space="preserve"> REF _Ref91099944 \r \h  \* MERGEFORMAT </w:instrText>
      </w:r>
      <w:r>
        <w:rPr>
          <w:rFonts w:ascii="Arial" w:hAnsi="Arial" w:cs="Arial"/>
          <w:sz w:val="22"/>
        </w:rPr>
        <w:fldChar w:fldCharType="separate"/>
      </w:r>
      <w:r>
        <w:rPr>
          <w:rFonts w:ascii="Arial" w:hAnsi="Arial" w:cs="Arial"/>
          <w:sz w:val="22"/>
        </w:rPr>
        <w:t>附件4</w:t>
      </w:r>
      <w:r>
        <w:rPr>
          <w:rFonts w:ascii="Arial" w:hAnsi="Arial" w:cs="Arial"/>
          <w:sz w:val="22"/>
        </w:rPr>
        <w:fldChar w:fldCharType="end"/>
      </w:r>
      <w:r>
        <w:rPr>
          <w:rFonts w:ascii="Arial" w:hAnsi="Arial" w:cs="Arial"/>
          <w:sz w:val="22"/>
        </w:rPr>
        <w:t>中附表4</w:t>
      </w:r>
      <w:r>
        <w:rPr>
          <w:rFonts w:hint="eastAsia" w:ascii="Arial" w:hAnsi="Arial" w:cs="Arial"/>
          <w:sz w:val="22"/>
          <w:lang w:eastAsia="zh-CN"/>
        </w:rPr>
        <w:t>—</w:t>
      </w:r>
      <w:r>
        <w:rPr>
          <w:rFonts w:ascii="Arial" w:hAnsi="Arial" w:cs="Arial"/>
          <w:sz w:val="22"/>
        </w:rPr>
        <w:t>1汇总了详细的利益相关方分析结论，归纳和分析各类活动涉及的政府管理部门的职责，并</w:t>
      </w:r>
      <w:r>
        <w:rPr>
          <w:rFonts w:hint="eastAsia" w:ascii="Arial" w:hAnsi="Arial" w:cs="Arial"/>
          <w:sz w:val="22"/>
          <w:lang w:eastAsia="zh-CN"/>
        </w:rPr>
        <w:t>列举了</w:t>
      </w:r>
      <w:r>
        <w:rPr>
          <w:rFonts w:ascii="Arial" w:hAnsi="Arial" w:cs="Arial"/>
          <w:sz w:val="22"/>
        </w:rPr>
        <w:t>社会系统下管理部门访谈的结果。</w:t>
      </w:r>
    </w:p>
    <w:p w14:paraId="6A7A2157">
      <w:pPr>
        <w:pStyle w:val="4"/>
        <w:numPr>
          <w:ilvl w:val="2"/>
          <w:numId w:val="25"/>
        </w:numPr>
        <w:adjustRightInd w:val="0"/>
        <w:snapToGrid w:val="0"/>
        <w:spacing w:before="120" w:after="120" w:line="240" w:lineRule="auto"/>
        <w:ind w:left="851" w:hanging="851"/>
        <w:rPr>
          <w:rFonts w:ascii="Arial" w:hAnsi="Arial" w:cs="Arial"/>
          <w:sz w:val="22"/>
          <w:szCs w:val="22"/>
        </w:rPr>
      </w:pPr>
      <w:bookmarkStart w:id="426" w:name="_Toc86683188"/>
      <w:bookmarkStart w:id="427" w:name="_Toc119937306"/>
      <w:bookmarkStart w:id="428" w:name="_Toc114235837"/>
      <w:bookmarkStart w:id="429" w:name="_Toc90729529"/>
      <w:r>
        <w:rPr>
          <w:rFonts w:ascii="Arial" w:hAnsi="Arial" w:cs="Arial"/>
          <w:sz w:val="22"/>
          <w:szCs w:val="22"/>
        </w:rPr>
        <w:t>社会风险评估管理机构</w:t>
      </w:r>
      <w:r>
        <w:rPr>
          <w:rFonts w:ascii="Arial" w:hAnsi="Arial" w:cs="Arial"/>
          <w:sz w:val="22"/>
          <w:szCs w:val="22"/>
          <w:vertAlign w:val="superscript"/>
        </w:rPr>
        <w:footnoteReference w:id="11"/>
      </w:r>
      <w:bookmarkEnd w:id="426"/>
      <w:bookmarkEnd w:id="427"/>
      <w:bookmarkEnd w:id="428"/>
      <w:bookmarkEnd w:id="429"/>
    </w:p>
    <w:p w14:paraId="6A5E0382">
      <w:pPr>
        <w:pStyle w:val="76"/>
        <w:widowControl w:val="0"/>
        <w:numPr>
          <w:ilvl w:val="0"/>
          <w:numId w:val="26"/>
        </w:numPr>
        <w:tabs>
          <w:tab w:val="left" w:pos="859"/>
        </w:tabs>
        <w:adjustRightInd w:val="0"/>
        <w:snapToGrid w:val="0"/>
        <w:spacing w:before="120" w:after="120"/>
        <w:ind w:right="326"/>
        <w:jc w:val="both"/>
        <w:rPr>
          <w:rFonts w:ascii="Arial" w:hAnsi="Arial" w:cs="Arial"/>
          <w:sz w:val="22"/>
          <w:shd w:val="clear" w:color="auto" w:fill="FFFFFF"/>
          <w:lang w:bidi="ar"/>
        </w:rPr>
      </w:pPr>
      <w:r>
        <w:rPr>
          <w:rFonts w:ascii="Arial" w:hAnsi="Arial" w:cs="Arial"/>
          <w:b/>
          <w:bCs/>
          <w:sz w:val="22"/>
          <w:shd w:val="clear" w:color="auto" w:fill="FFFFFF"/>
        </w:rPr>
        <w:t>省发改委：</w:t>
      </w:r>
      <w:r>
        <w:rPr>
          <w:rFonts w:ascii="Arial" w:hAnsi="Arial" w:cs="Arial"/>
          <w:sz w:val="22"/>
          <w:shd w:val="clear" w:color="auto" w:fill="FFFFFF"/>
        </w:rPr>
        <w:t>负责根据</w:t>
      </w:r>
      <w:r>
        <w:rPr>
          <w:rFonts w:ascii="Arial" w:hAnsi="Arial" w:cs="Arial"/>
          <w:sz w:val="22"/>
        </w:rPr>
        <w:t>项目</w:t>
      </w:r>
      <w:r>
        <w:rPr>
          <w:rFonts w:ascii="Arial" w:hAnsi="Arial" w:cs="Arial"/>
          <w:sz w:val="22"/>
          <w:shd w:val="clear" w:color="auto" w:fill="FFFFFF"/>
        </w:rPr>
        <w:t>社会稳定风险情况审批、核准重大固定资产投资项目；项目核准申请报告时，应当附该项目社会稳定风险评估报告。</w:t>
      </w:r>
    </w:p>
    <w:p w14:paraId="33B98A90">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hint="eastAsia" w:ascii="Arial" w:hAnsi="Arial" w:cs="Arial"/>
          <w:b/>
          <w:bCs/>
          <w:sz w:val="22"/>
          <w:lang w:eastAsia="zh-CN"/>
        </w:rPr>
        <w:t>省委政法委</w:t>
      </w:r>
      <w:r>
        <w:rPr>
          <w:rFonts w:ascii="Arial" w:hAnsi="Arial" w:cs="Arial"/>
          <w:b/>
          <w:bCs/>
          <w:sz w:val="22"/>
        </w:rPr>
        <w:t>：</w:t>
      </w:r>
      <w:r>
        <w:rPr>
          <w:rFonts w:ascii="Arial" w:hAnsi="Arial" w:cs="Arial"/>
          <w:sz w:val="22"/>
        </w:rPr>
        <w:t>做好稳评工作的综合协调和督促指导。对存在跨地区跨部门的项目，督促、指导决策主体、评估主体召集各地</w:t>
      </w:r>
      <w:r>
        <w:rPr>
          <w:rFonts w:hint="eastAsia" w:ascii="Arial" w:hAnsi="Arial" w:cs="Arial"/>
          <w:sz w:val="22"/>
          <w:lang w:eastAsia="zh-CN"/>
        </w:rPr>
        <w:t>区委政法委</w:t>
      </w:r>
      <w:r>
        <w:rPr>
          <w:rFonts w:ascii="Arial" w:hAnsi="Arial" w:cs="Arial"/>
          <w:sz w:val="22"/>
        </w:rPr>
        <w:t>和相关部门共同讨论。</w:t>
      </w:r>
    </w:p>
    <w:p w14:paraId="70058536">
      <w:pPr>
        <w:pStyle w:val="48"/>
        <w:numPr>
          <w:ilvl w:val="0"/>
          <w:numId w:val="26"/>
        </w:numPr>
        <w:shd w:val="clear" w:color="auto" w:fill="FFFFFF"/>
        <w:adjustRightInd w:val="0"/>
        <w:snapToGrid w:val="0"/>
        <w:spacing w:before="120" w:after="120"/>
        <w:ind w:firstLineChars="0"/>
        <w:rPr>
          <w:rFonts w:ascii="Arial" w:hAnsi="Arial" w:cs="Arial"/>
          <w:sz w:val="22"/>
          <w:shd w:val="clear" w:color="auto" w:fill="FFFFFF"/>
        </w:rPr>
      </w:pPr>
      <w:r>
        <w:rPr>
          <w:rFonts w:ascii="Arial" w:hAnsi="Arial" w:cs="Arial"/>
          <w:b/>
          <w:bCs/>
          <w:sz w:val="22"/>
          <w:shd w:val="clear" w:color="auto" w:fill="FFFFFF"/>
        </w:rPr>
        <w:t>市县人民政府：</w:t>
      </w:r>
      <w:r>
        <w:rPr>
          <w:rFonts w:ascii="Arial" w:hAnsi="Arial" w:cs="Arial"/>
          <w:sz w:val="22"/>
          <w:shd w:val="clear" w:color="auto" w:fill="FFFFFF"/>
        </w:rPr>
        <w:t>对全县有关项目的社会稳定风险进行评估、决策、落实和督导。其中稳评报告由市县党委办公会讨论决策通过。</w:t>
      </w:r>
    </w:p>
    <w:p w14:paraId="1ED44CB9">
      <w:pPr>
        <w:pStyle w:val="48"/>
        <w:numPr>
          <w:ilvl w:val="0"/>
          <w:numId w:val="26"/>
        </w:numPr>
        <w:shd w:val="clear" w:color="auto" w:fill="FFFFFF"/>
        <w:adjustRightInd w:val="0"/>
        <w:snapToGrid w:val="0"/>
        <w:spacing w:before="120" w:after="120"/>
        <w:ind w:firstLineChars="0"/>
        <w:rPr>
          <w:rFonts w:ascii="Arial" w:hAnsi="Arial" w:cs="Arial"/>
          <w:sz w:val="22"/>
          <w:shd w:val="clear" w:color="auto" w:fill="FFFFFF"/>
        </w:rPr>
      </w:pPr>
      <w:r>
        <w:rPr>
          <w:rFonts w:ascii="Arial" w:hAnsi="Arial" w:cs="Arial"/>
          <w:b/>
          <w:bCs/>
          <w:sz w:val="22"/>
          <w:shd w:val="clear" w:color="auto" w:fill="FFFFFF"/>
        </w:rPr>
        <w:t>市</w:t>
      </w:r>
      <w:r>
        <w:rPr>
          <w:rFonts w:hint="eastAsia" w:ascii="Arial" w:hAnsi="Arial" w:cs="Arial"/>
          <w:b/>
          <w:bCs/>
          <w:sz w:val="22"/>
          <w:shd w:val="clear" w:color="auto" w:fill="FFFFFF"/>
          <w:lang w:eastAsia="zh-CN"/>
        </w:rPr>
        <w:t>县委政法委</w:t>
      </w:r>
      <w:r>
        <w:rPr>
          <w:rFonts w:ascii="Arial" w:hAnsi="Arial" w:cs="Arial"/>
          <w:b/>
          <w:bCs/>
          <w:sz w:val="22"/>
          <w:shd w:val="clear" w:color="auto" w:fill="FFFFFF"/>
        </w:rPr>
        <w:t>：</w:t>
      </w:r>
      <w:r>
        <w:rPr>
          <w:rFonts w:ascii="Arial" w:hAnsi="Arial" w:cs="Arial"/>
          <w:sz w:val="22"/>
          <w:shd w:val="clear" w:color="auto" w:fill="FFFFFF"/>
        </w:rPr>
        <w:t>稳评备案，并督导评估主体开展工作。</w:t>
      </w:r>
    </w:p>
    <w:p w14:paraId="51902275">
      <w:pPr>
        <w:pStyle w:val="48"/>
        <w:numPr>
          <w:ilvl w:val="0"/>
          <w:numId w:val="26"/>
        </w:numPr>
        <w:shd w:val="clear" w:color="auto" w:fill="FFFFFF"/>
        <w:adjustRightInd w:val="0"/>
        <w:snapToGrid w:val="0"/>
        <w:spacing w:before="120" w:after="120"/>
        <w:ind w:firstLineChars="0"/>
        <w:rPr>
          <w:rFonts w:ascii="Arial" w:hAnsi="Arial" w:cs="Arial"/>
          <w:sz w:val="22"/>
          <w:shd w:val="clear" w:color="auto" w:fill="FFFFFF"/>
        </w:rPr>
      </w:pPr>
      <w:r>
        <w:rPr>
          <w:rFonts w:ascii="Arial" w:hAnsi="Arial" w:cs="Arial"/>
          <w:b/>
          <w:bCs/>
          <w:sz w:val="22"/>
          <w:shd w:val="clear" w:color="auto" w:fill="FFFFFF"/>
        </w:rPr>
        <w:t>评估主体</w:t>
      </w:r>
      <w:r>
        <w:rPr>
          <w:rFonts w:hint="eastAsia" w:ascii="Arial" w:hAnsi="Arial" w:cs="Arial"/>
          <w:sz w:val="22"/>
          <w:shd w:val="clear" w:color="auto" w:fill="FFFFFF"/>
          <w:lang w:eastAsia="zh-CN"/>
        </w:rPr>
        <w:t>—</w:t>
      </w:r>
      <w:r>
        <w:rPr>
          <w:rFonts w:ascii="Arial" w:hAnsi="Arial" w:cs="Arial"/>
          <w:sz w:val="22"/>
          <w:shd w:val="clear" w:color="auto" w:fill="FFFFFF"/>
        </w:rPr>
        <w:t>组织社会稳定风险评估，或委托第三方评估机构开展稳评，组织各项稳评措施的落实。</w:t>
      </w:r>
    </w:p>
    <w:p w14:paraId="2186C6C3">
      <w:pPr>
        <w:pStyle w:val="48"/>
        <w:numPr>
          <w:ilvl w:val="0"/>
          <w:numId w:val="26"/>
        </w:numPr>
        <w:shd w:val="clear" w:color="auto" w:fill="FFFFFF"/>
        <w:adjustRightInd w:val="0"/>
        <w:snapToGrid w:val="0"/>
        <w:spacing w:before="120" w:after="120"/>
        <w:ind w:firstLineChars="0"/>
        <w:rPr>
          <w:rFonts w:ascii="Arial" w:hAnsi="Arial" w:cs="Arial"/>
          <w:sz w:val="22"/>
          <w:shd w:val="clear" w:color="auto" w:fill="FFFFFF"/>
        </w:rPr>
      </w:pPr>
      <w:r>
        <w:rPr>
          <w:rFonts w:ascii="Arial" w:hAnsi="Arial" w:cs="Arial"/>
          <w:b/>
          <w:bCs/>
          <w:sz w:val="22"/>
          <w:shd w:val="clear" w:color="auto" w:fill="FFFFFF"/>
        </w:rPr>
        <w:t>第三方评估机构</w:t>
      </w:r>
      <w:r>
        <w:rPr>
          <w:rFonts w:ascii="Arial" w:hAnsi="Arial" w:cs="Arial"/>
          <w:sz w:val="22"/>
          <w:shd w:val="clear" w:color="auto" w:fill="FFFFFF"/>
        </w:rPr>
        <w:t>：各地要求有所不同，总体而言，需参与和通过</w:t>
      </w:r>
      <w:r>
        <w:rPr>
          <w:rFonts w:hint="eastAsia" w:ascii="Arial" w:hAnsi="Arial" w:cs="Arial"/>
          <w:sz w:val="22"/>
          <w:shd w:val="clear" w:color="auto" w:fill="FFFFFF"/>
          <w:lang w:eastAsia="zh-CN"/>
        </w:rPr>
        <w:t>国家发展改革委</w:t>
      </w:r>
      <w:r>
        <w:rPr>
          <w:rFonts w:ascii="Arial" w:hAnsi="Arial" w:cs="Arial"/>
          <w:sz w:val="22"/>
          <w:shd w:val="clear" w:color="auto" w:fill="FFFFFF"/>
        </w:rPr>
        <w:t>组织的社会稳定风险评估培训及考核，并提前在省级政法部门备案。</w:t>
      </w:r>
    </w:p>
    <w:p w14:paraId="4A83DBA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b/>
          <w:bCs/>
          <w:sz w:val="22"/>
        </w:rPr>
      </w:pPr>
      <w:r>
        <w:rPr>
          <w:rFonts w:ascii="Arial" w:hAnsi="Arial" w:cs="Arial"/>
          <w:b/>
          <w:bCs/>
          <w:sz w:val="22"/>
        </w:rPr>
        <w:t>以湖北省仙桃市为例，</w:t>
      </w:r>
      <w:r>
        <w:rPr>
          <w:rFonts w:ascii="Arial" w:hAnsi="Arial" w:cs="Arial"/>
          <w:sz w:val="22"/>
        </w:rPr>
        <w:t>仙桃</w:t>
      </w:r>
      <w:r>
        <w:rPr>
          <w:rFonts w:hint="eastAsia" w:ascii="Arial" w:hAnsi="Arial" w:cs="Arial"/>
          <w:sz w:val="22"/>
          <w:lang w:eastAsia="zh-CN"/>
        </w:rPr>
        <w:t>市委政法委</w:t>
      </w:r>
      <w:r>
        <w:rPr>
          <w:rFonts w:ascii="Arial" w:hAnsi="Arial" w:cs="Arial"/>
          <w:sz w:val="22"/>
        </w:rPr>
        <w:t>设立了维稳指导科负责指导、督促各评估主体对重大决策和工程建设项目开展社会稳定性风险评估，提供相应政策咨询与指导，并监督评估主体是否按照社会稳定风险评估报告中的要求落实各项风险防范化解措施；统筹协调处理影响社会稳定的重大事项，预防、化解影响稳定的社会矛盾和事件；负责落实影响社会稳定的矛盾排查、定期分析社会稳定形势和维稳工作研判机制，研究提出对策措施。评估主体和第三方评估机构按要求开展重大决策社会稳定风险评估，并对项目风险等级进行准确划分；评估主体对评估报告及程序严格把关，认定风险评估意见后出具申请备案函，由本地本单位主要负责人签字后报市委政法委备案，经市委政法委对评估内容审核后予以备案并开具备案意见。</w:t>
      </w:r>
    </w:p>
    <w:p w14:paraId="3F8EE4C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国家和地方的法规赋予了相关机构明确的职责，并设置人员编制；两省的主管部门（</w:t>
      </w:r>
      <w:r>
        <w:rPr>
          <w:rFonts w:hint="eastAsia" w:ascii="Arial" w:hAnsi="Arial" w:cs="Arial"/>
          <w:sz w:val="22"/>
          <w:lang w:eastAsia="zh-CN"/>
        </w:rPr>
        <w:t>省委政法委</w:t>
      </w:r>
      <w:r>
        <w:rPr>
          <w:rFonts w:ascii="Arial" w:hAnsi="Arial" w:cs="Arial"/>
          <w:sz w:val="22"/>
        </w:rPr>
        <w:t>）要求从业人员参与相关培训。另外，在社会稳定评估时要求确保有充足预算确保相关措施得以落实。在项目风险管控措施的落实上，虽然由评估主体负责组织和实施，市县相关主管部门负责监督，但不同社会风险的监管单位不同，例如自然资源部门仅监督征地拆迁补偿安置有关事项，而同一项目的</w:t>
      </w:r>
      <w:r>
        <w:rPr>
          <w:rFonts w:hint="eastAsia" w:ascii="Arial" w:hAnsi="Arial" w:cs="Arial"/>
          <w:sz w:val="22"/>
          <w:lang w:eastAsia="zh-CN"/>
        </w:rPr>
        <w:t>其他</w:t>
      </w:r>
      <w:r>
        <w:rPr>
          <w:rFonts w:ascii="Arial" w:hAnsi="Arial" w:cs="Arial"/>
          <w:sz w:val="22"/>
        </w:rPr>
        <w:t>社会风险，例如对公众参与（如征求受影响人对项目选址的意见建议等）落实情况则</w:t>
      </w:r>
      <w:r>
        <w:rPr>
          <w:rFonts w:hint="eastAsia" w:ascii="Arial" w:hAnsi="Arial" w:cs="Arial"/>
          <w:sz w:val="22"/>
          <w:lang w:eastAsia="zh-CN"/>
        </w:rPr>
        <w:t>由其他</w:t>
      </w:r>
      <w:r>
        <w:rPr>
          <w:rFonts w:ascii="Arial" w:hAnsi="Arial" w:cs="Arial"/>
          <w:sz w:val="22"/>
        </w:rPr>
        <w:t>单位负责，例如信访部门等。因此，湖北和湖南两省的社会稳定风险评估和管理的机制有效，符合世行政策原则的要求。</w:t>
      </w:r>
      <w:bookmarkStart w:id="430" w:name="_Hlk90671320"/>
    </w:p>
    <w:bookmarkEnd w:id="430"/>
    <w:p w14:paraId="45706AD5">
      <w:pPr>
        <w:pStyle w:val="4"/>
        <w:numPr>
          <w:ilvl w:val="2"/>
          <w:numId w:val="25"/>
        </w:numPr>
        <w:adjustRightInd w:val="0"/>
        <w:snapToGrid w:val="0"/>
        <w:spacing w:before="120" w:after="120" w:line="240" w:lineRule="auto"/>
        <w:ind w:left="851" w:hanging="851"/>
        <w:rPr>
          <w:rFonts w:ascii="Arial" w:hAnsi="Arial" w:cs="Arial"/>
          <w:sz w:val="22"/>
          <w:szCs w:val="22"/>
        </w:rPr>
      </w:pPr>
      <w:bookmarkStart w:id="431" w:name="_Toc118224334"/>
      <w:bookmarkEnd w:id="431"/>
      <w:bookmarkStart w:id="432" w:name="_Toc119928795"/>
      <w:bookmarkEnd w:id="432"/>
      <w:bookmarkStart w:id="433" w:name="_Toc118800966"/>
      <w:bookmarkEnd w:id="433"/>
      <w:bookmarkStart w:id="434" w:name="_Toc119929032"/>
      <w:bookmarkEnd w:id="434"/>
      <w:bookmarkStart w:id="435" w:name="_Toc119937307"/>
      <w:bookmarkEnd w:id="435"/>
      <w:bookmarkStart w:id="436" w:name="_Toc117542201"/>
      <w:bookmarkEnd w:id="436"/>
      <w:bookmarkStart w:id="437" w:name="_Toc118828184"/>
      <w:bookmarkEnd w:id="437"/>
      <w:bookmarkStart w:id="438" w:name="_Toc117612439"/>
      <w:bookmarkEnd w:id="438"/>
      <w:bookmarkStart w:id="439" w:name="_Toc118182429"/>
      <w:bookmarkEnd w:id="439"/>
      <w:bookmarkStart w:id="440" w:name="_Toc117538627"/>
      <w:bookmarkEnd w:id="440"/>
      <w:bookmarkStart w:id="441" w:name="_Toc117538559"/>
      <w:bookmarkEnd w:id="441"/>
      <w:bookmarkStart w:id="442" w:name="_Toc86683189"/>
      <w:bookmarkStart w:id="443" w:name="_Toc90729530"/>
      <w:bookmarkStart w:id="444" w:name="_Toc114235838"/>
      <w:bookmarkStart w:id="445" w:name="_Toc119937308"/>
      <w:r>
        <w:rPr>
          <w:rFonts w:ascii="Arial" w:hAnsi="Arial" w:cs="Arial"/>
          <w:sz w:val="22"/>
          <w:szCs w:val="22"/>
        </w:rPr>
        <w:t>文物保护机构</w:t>
      </w:r>
      <w:bookmarkEnd w:id="442"/>
      <w:bookmarkEnd w:id="443"/>
      <w:bookmarkEnd w:id="444"/>
      <w:bookmarkEnd w:id="445"/>
    </w:p>
    <w:p w14:paraId="04BF4679">
      <w:pPr>
        <w:pStyle w:val="76"/>
        <w:widowControl w:val="0"/>
        <w:numPr>
          <w:ilvl w:val="0"/>
          <w:numId w:val="26"/>
        </w:numPr>
        <w:tabs>
          <w:tab w:val="left" w:pos="859"/>
        </w:tabs>
        <w:adjustRightInd w:val="0"/>
        <w:snapToGrid w:val="0"/>
        <w:spacing w:before="120" w:after="120"/>
        <w:ind w:right="326"/>
        <w:jc w:val="both"/>
        <w:rPr>
          <w:rFonts w:ascii="Arial" w:hAnsi="Arial" w:cs="Arial"/>
          <w:color w:val="464445"/>
          <w:sz w:val="22"/>
          <w:shd w:val="clear" w:color="auto" w:fill="FFFFFF"/>
        </w:rPr>
      </w:pPr>
      <w:r>
        <w:rPr>
          <w:rFonts w:ascii="Arial" w:hAnsi="Arial" w:cs="Arial"/>
          <w:b/>
          <w:bCs/>
          <w:color w:val="3D3D3D"/>
          <w:sz w:val="22"/>
        </w:rPr>
        <w:t>省</w:t>
      </w:r>
      <w:r>
        <w:rPr>
          <w:rFonts w:hint="eastAsia" w:ascii="Arial" w:hAnsi="Arial" w:cs="Arial"/>
          <w:b/>
          <w:bCs/>
          <w:color w:val="3D3D3D"/>
          <w:sz w:val="22"/>
          <w:lang w:eastAsia="zh-CN"/>
        </w:rPr>
        <w:t>文化和旅游</w:t>
      </w:r>
      <w:r>
        <w:rPr>
          <w:rFonts w:ascii="Arial" w:hAnsi="Arial" w:cs="Arial"/>
          <w:b/>
          <w:bCs/>
          <w:color w:val="3D3D3D"/>
          <w:sz w:val="22"/>
        </w:rPr>
        <w:t>厅</w:t>
      </w:r>
      <w:r>
        <w:rPr>
          <w:rFonts w:ascii="Arial" w:hAnsi="Arial" w:cs="Arial"/>
          <w:color w:val="3D3D3D"/>
          <w:sz w:val="22"/>
        </w:rPr>
        <w:t>内设文物保护处负责协调、指导文物保护和利用、考古、重大项目的实施工作，组织开展文物资源调查相关工作</w:t>
      </w:r>
      <w:r>
        <w:rPr>
          <w:rFonts w:ascii="Arial" w:hAnsi="Arial" w:cs="Arial"/>
          <w:color w:val="464445"/>
          <w:sz w:val="22"/>
          <w:shd w:val="clear" w:color="auto" w:fill="FFFFFF"/>
        </w:rPr>
        <w:t>。</w:t>
      </w:r>
    </w:p>
    <w:p w14:paraId="38FF424F">
      <w:pPr>
        <w:pStyle w:val="76"/>
        <w:widowControl w:val="0"/>
        <w:numPr>
          <w:ilvl w:val="0"/>
          <w:numId w:val="26"/>
        </w:numPr>
        <w:tabs>
          <w:tab w:val="left" w:pos="859"/>
        </w:tabs>
        <w:adjustRightInd w:val="0"/>
        <w:snapToGrid w:val="0"/>
        <w:spacing w:before="120" w:after="120"/>
        <w:ind w:right="326"/>
        <w:jc w:val="both"/>
        <w:rPr>
          <w:rFonts w:ascii="Arial" w:hAnsi="Arial" w:cs="Arial"/>
          <w:color w:val="464445"/>
          <w:sz w:val="22"/>
          <w:shd w:val="clear" w:color="auto" w:fill="FFFFFF"/>
        </w:rPr>
      </w:pPr>
      <w:r>
        <w:rPr>
          <w:rFonts w:ascii="Arial" w:hAnsi="Arial" w:cs="Arial"/>
          <w:b/>
          <w:bCs/>
          <w:color w:val="464445"/>
          <w:sz w:val="22"/>
          <w:shd w:val="clear" w:color="auto" w:fill="FFFFFF"/>
        </w:rPr>
        <w:t>各市、县（区）人民政府</w:t>
      </w:r>
      <w:r>
        <w:rPr>
          <w:rFonts w:ascii="Arial" w:hAnsi="Arial" w:cs="Arial"/>
          <w:color w:val="464445"/>
          <w:sz w:val="22"/>
          <w:shd w:val="clear" w:color="auto" w:fill="FFFFFF"/>
        </w:rPr>
        <w:t>是文物安全属地管理的责任主体。</w:t>
      </w:r>
    </w:p>
    <w:p w14:paraId="339FACF0">
      <w:pPr>
        <w:pStyle w:val="76"/>
        <w:widowControl w:val="0"/>
        <w:numPr>
          <w:ilvl w:val="0"/>
          <w:numId w:val="26"/>
        </w:numPr>
        <w:tabs>
          <w:tab w:val="left" w:pos="859"/>
        </w:tabs>
        <w:adjustRightInd w:val="0"/>
        <w:snapToGrid w:val="0"/>
        <w:spacing w:before="120" w:after="120"/>
        <w:ind w:right="326"/>
        <w:jc w:val="both"/>
        <w:rPr>
          <w:rFonts w:ascii="Arial" w:hAnsi="Arial" w:cs="Arial"/>
          <w:color w:val="464445"/>
          <w:sz w:val="22"/>
          <w:shd w:val="clear" w:color="auto" w:fill="FFFFFF"/>
        </w:rPr>
      </w:pPr>
      <w:r>
        <w:rPr>
          <w:rFonts w:ascii="Arial" w:hAnsi="Arial" w:cs="Arial"/>
          <w:b/>
          <w:bCs/>
          <w:color w:val="464445"/>
          <w:sz w:val="22"/>
          <w:shd w:val="clear" w:color="auto" w:fill="FFFFFF"/>
        </w:rPr>
        <w:t>各市县文物主管部门：</w:t>
      </w:r>
      <w:r>
        <w:rPr>
          <w:rFonts w:ascii="Arial" w:hAnsi="Arial" w:cs="Arial"/>
          <w:color w:val="464445"/>
          <w:sz w:val="22"/>
          <w:shd w:val="clear" w:color="auto" w:fill="FFFFFF"/>
        </w:rPr>
        <w:t>协调和指导文物保护工作，履行文物行政执法督察职责，配合有关部门做好基本建设涉及文物保护的工程项目的审核工作，配合上级文物考古部门实施工程范围的文物调查、勘探及考古发掘等工作。对于项目建设选址无法避开地下文物埋藏区的，由省文物局组织考古发掘单位进行考古调查、勘探，所需经费由项目方承担。</w:t>
      </w:r>
    </w:p>
    <w:p w14:paraId="0FBA3DAB">
      <w:pPr>
        <w:pStyle w:val="76"/>
        <w:widowControl w:val="0"/>
        <w:numPr>
          <w:ilvl w:val="0"/>
          <w:numId w:val="26"/>
        </w:numPr>
        <w:tabs>
          <w:tab w:val="left" w:pos="859"/>
        </w:tabs>
        <w:adjustRightInd w:val="0"/>
        <w:snapToGrid w:val="0"/>
        <w:spacing w:before="120" w:after="120"/>
        <w:ind w:right="326"/>
        <w:jc w:val="both"/>
        <w:rPr>
          <w:rFonts w:ascii="Arial" w:hAnsi="Arial" w:cs="Arial"/>
          <w:color w:val="464445"/>
          <w:sz w:val="22"/>
          <w:shd w:val="clear" w:color="auto" w:fill="FFFFFF"/>
        </w:rPr>
      </w:pPr>
      <w:r>
        <w:rPr>
          <w:rFonts w:ascii="Arial" w:hAnsi="Arial" w:cs="Arial"/>
          <w:b/>
          <w:bCs/>
          <w:color w:val="464445"/>
          <w:sz w:val="22"/>
          <w:shd w:val="clear" w:color="auto" w:fill="FFFFFF"/>
        </w:rPr>
        <w:t>各市县发改委：</w:t>
      </w:r>
      <w:r>
        <w:rPr>
          <w:rFonts w:ascii="Arial" w:hAnsi="Arial" w:cs="Arial"/>
          <w:color w:val="464445"/>
          <w:sz w:val="22"/>
          <w:shd w:val="clear" w:color="auto" w:fill="FFFFFF"/>
        </w:rPr>
        <w:t>组织建设项目可行性研究评审</w:t>
      </w:r>
      <w:r>
        <w:rPr>
          <w:rFonts w:hint="eastAsia" w:ascii="Arial" w:hAnsi="Arial" w:cs="Arial"/>
          <w:color w:val="464445"/>
          <w:sz w:val="22"/>
          <w:shd w:val="clear" w:color="auto" w:fill="FFFFFF"/>
          <w:lang w:eastAsia="zh-CN"/>
        </w:rPr>
        <w:t>，</w:t>
      </w:r>
      <w:r>
        <w:rPr>
          <w:rFonts w:ascii="Arial" w:hAnsi="Arial" w:cs="Arial"/>
          <w:color w:val="464445"/>
          <w:sz w:val="22"/>
          <w:shd w:val="clear" w:color="auto" w:fill="FFFFFF"/>
        </w:rPr>
        <w:t>涉及文物主管部门参与，确保建设项目设计不影响文物。</w:t>
      </w:r>
    </w:p>
    <w:p w14:paraId="76DC91B9">
      <w:pPr>
        <w:pStyle w:val="76"/>
        <w:widowControl w:val="0"/>
        <w:numPr>
          <w:ilvl w:val="0"/>
          <w:numId w:val="26"/>
        </w:numPr>
        <w:tabs>
          <w:tab w:val="left" w:pos="859"/>
        </w:tabs>
        <w:adjustRightInd w:val="0"/>
        <w:snapToGrid w:val="0"/>
        <w:spacing w:before="120" w:after="120"/>
        <w:ind w:right="326"/>
        <w:jc w:val="both"/>
        <w:rPr>
          <w:rFonts w:ascii="Arial" w:hAnsi="Arial" w:cs="Arial"/>
          <w:color w:val="464445"/>
          <w:sz w:val="22"/>
          <w:shd w:val="clear" w:color="auto" w:fill="FFFFFF"/>
        </w:rPr>
      </w:pPr>
      <w:r>
        <w:rPr>
          <w:rFonts w:ascii="Arial" w:hAnsi="Arial" w:cs="Arial"/>
          <w:b/>
          <w:bCs/>
          <w:color w:val="464445"/>
          <w:sz w:val="22"/>
          <w:shd w:val="clear" w:color="auto" w:fill="FFFFFF"/>
        </w:rPr>
        <w:t>自然资源部门规划处：</w:t>
      </w:r>
      <w:r>
        <w:rPr>
          <w:rFonts w:ascii="Arial" w:hAnsi="Arial" w:cs="Arial"/>
          <w:color w:val="464445"/>
          <w:sz w:val="22"/>
          <w:shd w:val="clear" w:color="auto" w:fill="FFFFFF"/>
        </w:rPr>
        <w:t xml:space="preserve">在制定地方规划和建设项目选址阶段，依法依规征求文物部门的意见，配合文物行政部门划定文物保护单位的保护范围和建设控制地带。 </w:t>
      </w:r>
    </w:p>
    <w:p w14:paraId="06CF66C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color w:val="3D3D3D"/>
          <w:sz w:val="22"/>
        </w:rPr>
      </w:pPr>
      <w:r>
        <w:rPr>
          <w:rFonts w:ascii="Arial" w:hAnsi="Arial" w:cs="Arial"/>
          <w:b/>
          <w:bCs/>
          <w:color w:val="444444"/>
          <w:sz w:val="22"/>
        </w:rPr>
        <w:t>评估：</w:t>
      </w:r>
      <w:r>
        <w:rPr>
          <w:rFonts w:ascii="Arial" w:hAnsi="Arial" w:cs="Arial"/>
          <w:color w:val="444444"/>
          <w:sz w:val="22"/>
        </w:rPr>
        <w:t>对</w:t>
      </w:r>
      <w:r>
        <w:rPr>
          <w:rFonts w:ascii="Arial" w:hAnsi="Arial" w:cs="Arial"/>
          <w:color w:val="464445"/>
          <w:sz w:val="22"/>
          <w:shd w:val="clear" w:color="auto" w:fill="FFFFFF"/>
        </w:rPr>
        <w:t>物质文化财产的潜在不利影响，国家和</w:t>
      </w:r>
      <w:r>
        <w:rPr>
          <w:rFonts w:hint="eastAsia" w:ascii="Arial" w:hAnsi="Arial" w:cs="Arial"/>
          <w:color w:val="464445"/>
          <w:sz w:val="22"/>
          <w:shd w:val="clear" w:color="auto" w:fill="FFFFFF"/>
          <w:lang w:eastAsia="zh-CN"/>
        </w:rPr>
        <w:t>地方性法规</w:t>
      </w:r>
      <w:r>
        <w:rPr>
          <w:rFonts w:ascii="Arial" w:hAnsi="Arial" w:cs="Arial"/>
          <w:color w:val="464445"/>
          <w:sz w:val="22"/>
          <w:shd w:val="clear" w:color="auto" w:fill="FFFFFF"/>
        </w:rPr>
        <w:t>有相关规定来避免、减少或减轻这种影响</w:t>
      </w:r>
      <w:r>
        <w:rPr>
          <w:rFonts w:ascii="Arial" w:hAnsi="Arial" w:cs="Arial"/>
          <w:color w:val="444444"/>
          <w:sz w:val="22"/>
        </w:rPr>
        <w:t>。</w:t>
      </w:r>
      <w:r>
        <w:rPr>
          <w:rFonts w:ascii="Arial" w:hAnsi="Arial" w:cs="Arial"/>
          <w:sz w:val="22"/>
        </w:rPr>
        <w:t>国家和地方现有的机构能够对项目涉及的文物风险进行有效管理</w:t>
      </w:r>
      <w:r>
        <w:rPr>
          <w:rFonts w:ascii="Arial" w:hAnsi="Arial" w:cs="Arial"/>
          <w:color w:val="444444"/>
          <w:sz w:val="22"/>
        </w:rPr>
        <w:t>，</w:t>
      </w:r>
      <w:r>
        <w:rPr>
          <w:rFonts w:ascii="Arial" w:hAnsi="Arial" w:cs="Arial"/>
          <w:sz w:val="22"/>
        </w:rPr>
        <w:t>与世行政策原则2一致。</w:t>
      </w:r>
    </w:p>
    <w:p w14:paraId="5DA6FB2B">
      <w:pPr>
        <w:pStyle w:val="4"/>
        <w:numPr>
          <w:ilvl w:val="2"/>
          <w:numId w:val="25"/>
        </w:numPr>
        <w:adjustRightInd w:val="0"/>
        <w:snapToGrid w:val="0"/>
        <w:spacing w:before="120" w:after="120" w:line="240" w:lineRule="auto"/>
        <w:ind w:left="851" w:hanging="851"/>
        <w:rPr>
          <w:rFonts w:ascii="Arial" w:hAnsi="Arial" w:cs="Arial"/>
          <w:sz w:val="22"/>
          <w:szCs w:val="22"/>
        </w:rPr>
      </w:pPr>
      <w:bookmarkStart w:id="446" w:name="_Toc119937309"/>
      <w:bookmarkStart w:id="447" w:name="_Toc114235839"/>
      <w:bookmarkStart w:id="448" w:name="_Toc90729531"/>
      <w:bookmarkStart w:id="449" w:name="_Toc86683190"/>
      <w:r>
        <w:rPr>
          <w:rFonts w:ascii="Arial" w:hAnsi="Arial" w:cs="Arial"/>
          <w:sz w:val="22"/>
          <w:szCs w:val="22"/>
        </w:rPr>
        <w:t>征地拆迁机构</w:t>
      </w:r>
      <w:bookmarkEnd w:id="446"/>
      <w:bookmarkEnd w:id="447"/>
      <w:bookmarkEnd w:id="448"/>
      <w:bookmarkEnd w:id="449"/>
    </w:p>
    <w:p w14:paraId="69FE8BC4">
      <w:pPr>
        <w:pStyle w:val="48"/>
        <w:widowControl w:val="0"/>
        <w:numPr>
          <w:ilvl w:val="1"/>
          <w:numId w:val="27"/>
        </w:numPr>
        <w:adjustRightInd w:val="0"/>
        <w:snapToGrid w:val="0"/>
        <w:spacing w:before="120" w:after="120"/>
        <w:ind w:firstLineChars="0"/>
        <w:jc w:val="both"/>
        <w:rPr>
          <w:rFonts w:ascii="Arial" w:hAnsi="Arial" w:cs="Arial"/>
          <w:sz w:val="22"/>
        </w:rPr>
      </w:pPr>
      <w:r>
        <w:rPr>
          <w:rFonts w:ascii="Arial" w:hAnsi="Arial" w:cs="Arial"/>
          <w:sz w:val="22"/>
        </w:rPr>
        <w:t>用地审批机构：</w:t>
      </w:r>
    </w:p>
    <w:p w14:paraId="6544D4AA">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自然资源部：</w:t>
      </w:r>
      <w:r>
        <w:rPr>
          <w:rFonts w:ascii="Arial" w:hAnsi="Arial" w:cs="Arial"/>
          <w:sz w:val="22"/>
        </w:rPr>
        <w:t>负责审查具体项目的基本农田与生态保护红线的征用；</w:t>
      </w:r>
    </w:p>
    <w:p w14:paraId="1C9F5E45">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hint="eastAsia" w:ascii="Arial" w:hAnsi="Arial" w:cs="Arial"/>
          <w:b/>
          <w:bCs/>
          <w:sz w:val="22"/>
          <w:lang w:eastAsia="zh-CN"/>
        </w:rPr>
        <w:t>省自然资源厅</w:t>
      </w:r>
      <w:r>
        <w:rPr>
          <w:rFonts w:ascii="Arial" w:hAnsi="Arial" w:cs="Arial"/>
          <w:b/>
          <w:bCs/>
          <w:sz w:val="22"/>
        </w:rPr>
        <w:t>：</w:t>
      </w:r>
      <w:r>
        <w:rPr>
          <w:rFonts w:ascii="Arial" w:hAnsi="Arial" w:cs="Arial"/>
          <w:sz w:val="22"/>
        </w:rPr>
        <w:t>负责审查具体项目的永久征收集体土地（基本农田和生态保护红线除外）；</w:t>
      </w:r>
    </w:p>
    <w:p w14:paraId="28F02EBF">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市县级自然资源局：</w:t>
      </w:r>
      <w:r>
        <w:rPr>
          <w:rFonts w:ascii="Arial" w:hAnsi="Arial" w:cs="Arial"/>
          <w:sz w:val="22"/>
        </w:rPr>
        <w:t>负责受理建设项目用地申请，指导项目单位准备必要的用地审批文件，并向有审批权限的人民政府提交用地审批材料。</w:t>
      </w:r>
    </w:p>
    <w:p w14:paraId="213E1946">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县级以上各级人民政府：</w:t>
      </w:r>
      <w:r>
        <w:rPr>
          <w:rFonts w:ascii="Arial" w:hAnsi="Arial" w:cs="Arial"/>
          <w:sz w:val="22"/>
        </w:rPr>
        <w:t>负责相应权限用地审批。</w:t>
      </w:r>
    </w:p>
    <w:p w14:paraId="665C5BA2">
      <w:pPr>
        <w:pStyle w:val="48"/>
        <w:widowControl w:val="0"/>
        <w:numPr>
          <w:ilvl w:val="1"/>
          <w:numId w:val="27"/>
        </w:numPr>
        <w:adjustRightInd w:val="0"/>
        <w:snapToGrid w:val="0"/>
        <w:spacing w:before="120" w:after="120"/>
        <w:ind w:firstLineChars="0"/>
        <w:jc w:val="both"/>
        <w:rPr>
          <w:rFonts w:ascii="Arial" w:hAnsi="Arial" w:cs="Arial"/>
          <w:sz w:val="22"/>
        </w:rPr>
      </w:pPr>
      <w:r>
        <w:rPr>
          <w:rFonts w:ascii="Arial" w:hAnsi="Arial" w:cs="Arial"/>
          <w:b/>
          <w:bCs/>
          <w:sz w:val="22"/>
        </w:rPr>
        <w:t>土地征收</w:t>
      </w:r>
    </w:p>
    <w:p w14:paraId="00344174">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县级以上人民政府自然资源主管部门或土地与房屋征收部门：</w:t>
      </w:r>
      <w:r>
        <w:rPr>
          <w:rFonts w:ascii="Arial" w:hAnsi="Arial" w:cs="Arial"/>
          <w:sz w:val="22"/>
        </w:rPr>
        <w:t>贯彻和执行有关法律法规，拟定本区域内土地利用规划，指导用地单位提交用地申请材料，并进行审查和向上级主管部门申报；成立有关项目土地和房屋征收补偿安置领导小组；委托土地与房屋征收部门牵头，地方乡镇人民政府、社区配合第三方作业开展社会稳定风险评估与勘测定界，特别是土地现状调查、入户走访、政策宣讲、安置措施讨论、申诉处理等，同时发布土地征收预公告；组织编制征地补偿安置方案；组织土地和房屋征收听证；与受影响人或单位签订征地补偿安置协议；经依法批准后发布征收土地公告，实施征收土地并进行补偿安置。</w:t>
      </w:r>
    </w:p>
    <w:p w14:paraId="6FBFAC52">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征地所在乡镇、村社</w:t>
      </w:r>
      <w:r>
        <w:rPr>
          <w:rFonts w:ascii="Arial" w:hAnsi="Arial" w:cs="Arial"/>
          <w:sz w:val="22"/>
        </w:rPr>
        <w:t xml:space="preserve">参与并协助实施征地拆迁，特别是实物量调查、入户走访、政策宣讲、安置措施讨论、申诉处理等。 </w:t>
      </w:r>
    </w:p>
    <w:p w14:paraId="2742B3F0">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lang w:bidi="en-US"/>
        </w:rPr>
        <w:t>县市或区人力资源和社会保障局：</w:t>
      </w:r>
      <w:bookmarkStart w:id="450" w:name="_Hlk78992107"/>
      <w:r>
        <w:rPr>
          <w:rFonts w:ascii="Arial" w:hAnsi="Arial" w:cs="Arial"/>
          <w:sz w:val="22"/>
          <w:lang w:bidi="en-US"/>
        </w:rPr>
        <w:t>将征地后人均耕地面积不足规定数额的人口纳入社会保障范围。通常由被征地农民提出申请，由村集体经济组织讨论，乡镇政府或街道办事处核定并公示七天，经自然资源部门会同公安部门审核，当地政府部门批复，当地财政局组织、拨付被征地农民政府补贴资金，最后由人力资源和社会保障局办理登记。参保人员自愿选择参加职工基本养老保险或城乡居民基本养老保险。</w:t>
      </w:r>
      <w:bookmarkEnd w:id="450"/>
    </w:p>
    <w:p w14:paraId="44FDC080">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lang w:bidi="en-US"/>
        </w:rPr>
        <w:t>第三方评估机构：</w:t>
      </w:r>
      <w:r>
        <w:rPr>
          <w:rFonts w:ascii="Arial" w:hAnsi="Arial" w:cs="Arial"/>
          <w:sz w:val="22"/>
          <w:lang w:bidi="en-US"/>
        </w:rPr>
        <w:t>在自然资源部门指导下，由受影响村或社区委托有资质的房地产评估公司，对房屋补偿标准进行评估。</w:t>
      </w:r>
    </w:p>
    <w:p w14:paraId="55CEBED2">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lang w:bidi="en-US"/>
        </w:rPr>
        <w:t>财政局：</w:t>
      </w:r>
      <w:r>
        <w:rPr>
          <w:rFonts w:ascii="Arial" w:hAnsi="Arial" w:cs="Arial"/>
          <w:sz w:val="22"/>
          <w:lang w:bidi="en-US"/>
        </w:rPr>
        <w:t>根据自然资源部门和用地单位提交的征地拆迁安置费用申请，准备和提供必要的预算资金。</w:t>
      </w:r>
    </w:p>
    <w:p w14:paraId="777B73B3">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审计局：</w:t>
      </w:r>
      <w:r>
        <w:rPr>
          <w:rFonts w:ascii="Arial" w:hAnsi="Arial" w:cs="Arial"/>
          <w:sz w:val="22"/>
        </w:rPr>
        <w:t>依据</w:t>
      </w:r>
      <w:r>
        <w:rPr>
          <w:rFonts w:hint="eastAsia" w:ascii="Arial" w:hAnsi="Arial" w:cs="Arial"/>
          <w:sz w:val="22"/>
          <w:lang w:eastAsia="zh-CN"/>
        </w:rPr>
        <w:t>法律规定</w:t>
      </w:r>
      <w:r>
        <w:rPr>
          <w:rFonts w:ascii="Arial" w:hAnsi="Arial" w:cs="Arial"/>
          <w:sz w:val="22"/>
        </w:rPr>
        <w:t>和流程，定期开展征地拆迁安置费用的使用情况审查，并提出审计意见。</w:t>
      </w:r>
    </w:p>
    <w:p w14:paraId="56128C1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以湖南省衡南县为例</w:t>
      </w:r>
      <w:r>
        <w:rPr>
          <w:rFonts w:ascii="Arial" w:hAnsi="Arial" w:cs="Arial"/>
          <w:sz w:val="22"/>
        </w:rPr>
        <w:t>，该</w:t>
      </w:r>
      <w:r>
        <w:rPr>
          <w:rFonts w:hint="eastAsia" w:ascii="Arial" w:hAnsi="Arial" w:cs="Arial"/>
          <w:sz w:val="22"/>
          <w:lang w:eastAsia="zh-CN"/>
        </w:rPr>
        <w:t>县自</w:t>
      </w:r>
      <w:r>
        <w:rPr>
          <w:rFonts w:ascii="Arial" w:hAnsi="Arial" w:cs="Arial"/>
          <w:sz w:val="22"/>
        </w:rPr>
        <w:t>然资源局“征地拆迁事务中心”负责集体土地征收工作，为副科级二级事业单位，机构定编30人。对具体项目的土地和附属设施的征收，“征地拆迁事务中心”与负责实施该项目的主管部门、所在乡镇政府和村委会共同组成项目征地管理小组，例如住建局负责某农村垃圾转运站项目时，住建局为主管部门，垃圾转运站所在的具体乡镇政府和村委会安排人员参与。工作小组的人数根据项目征地和拆迁的规模各不相同，通常在5</w:t>
      </w:r>
      <w:r>
        <w:rPr>
          <w:rFonts w:hint="eastAsia" w:ascii="Arial" w:hAnsi="Arial" w:cs="Arial"/>
          <w:sz w:val="22"/>
          <w:lang w:eastAsia="zh-CN"/>
        </w:rPr>
        <w:t>—</w:t>
      </w:r>
      <w:r>
        <w:rPr>
          <w:rFonts w:ascii="Arial" w:hAnsi="Arial" w:cs="Arial"/>
          <w:sz w:val="22"/>
        </w:rPr>
        <w:t>10人，大项目参与的人员更多。涉及房屋拆迁的，由征地拆迁事务中心根据法定流程聘请第三方评估公司，开展房屋评估，出具评估报告，其中包括房屋资产在评估时的市场价格。总体流程是先</w:t>
      </w:r>
      <w:r>
        <w:rPr>
          <w:rFonts w:hint="eastAsia" w:ascii="Arial" w:hAnsi="Arial" w:cs="Arial"/>
          <w:sz w:val="22"/>
          <w:lang w:eastAsia="zh-CN"/>
        </w:rPr>
        <w:t>由</w:t>
      </w:r>
      <w:r>
        <w:rPr>
          <w:rFonts w:ascii="Arial" w:hAnsi="Arial" w:cs="Arial"/>
          <w:sz w:val="22"/>
        </w:rPr>
        <w:t>项目实施单位向自然资源局委托土地征收服务，由自然资源部门进行土地征收公告，然后启动土地实物调查登记和评估，同时启动社会稳定风险评估，随后对实物调查结果进行公示和依申诉复核，再进行最终公示，另外此时还要对土地补偿安置方案进行公告，然后则可以启动预征地协议的谈判和签署，完成后将资料报送省级自然资源部门审批，批复后，由实施机构依据补偿协议将资金支付给县财政局（土地补偿部分）和</w:t>
      </w:r>
      <w:r>
        <w:rPr>
          <w:rFonts w:hint="eastAsia" w:ascii="Arial" w:hAnsi="Arial" w:cs="Arial"/>
          <w:sz w:val="22"/>
          <w:lang w:eastAsia="zh-CN"/>
        </w:rPr>
        <w:t>人力资源和社会保障局</w:t>
      </w:r>
      <w:r>
        <w:rPr>
          <w:rFonts w:ascii="Arial" w:hAnsi="Arial" w:cs="Arial"/>
          <w:sz w:val="22"/>
          <w:lang w:bidi="en-US"/>
        </w:rPr>
        <w:t>（养老保险部分），</w:t>
      </w:r>
      <w:r>
        <w:rPr>
          <w:rFonts w:ascii="Arial" w:hAnsi="Arial" w:cs="Arial"/>
          <w:sz w:val="22"/>
        </w:rPr>
        <w:t>由财政支付给农户，且社保局负责按政策和与农户达成的协议办理养老保险。</w:t>
      </w:r>
    </w:p>
    <w:p w14:paraId="209453B3">
      <w:pPr>
        <w:pStyle w:val="48"/>
        <w:widowControl w:val="0"/>
        <w:numPr>
          <w:ilvl w:val="1"/>
          <w:numId w:val="27"/>
        </w:numPr>
        <w:adjustRightInd w:val="0"/>
        <w:snapToGrid w:val="0"/>
        <w:spacing w:before="120" w:after="120"/>
        <w:ind w:firstLineChars="0"/>
        <w:jc w:val="both"/>
        <w:rPr>
          <w:rFonts w:ascii="Arial" w:hAnsi="Arial" w:cs="Arial"/>
          <w:b/>
          <w:bCs/>
          <w:sz w:val="22"/>
        </w:rPr>
      </w:pPr>
      <w:r>
        <w:rPr>
          <w:rFonts w:ascii="Arial" w:hAnsi="Arial" w:cs="Arial"/>
          <w:b/>
          <w:bCs/>
          <w:sz w:val="22"/>
        </w:rPr>
        <w:t>设施农用地</w:t>
      </w:r>
    </w:p>
    <w:p w14:paraId="755BC69A">
      <w:pPr>
        <w:pStyle w:val="76"/>
        <w:widowControl w:val="0"/>
        <w:numPr>
          <w:ilvl w:val="0"/>
          <w:numId w:val="26"/>
        </w:numPr>
        <w:tabs>
          <w:tab w:val="left" w:pos="859"/>
        </w:tabs>
        <w:adjustRightInd w:val="0"/>
        <w:snapToGrid w:val="0"/>
        <w:spacing w:before="120" w:after="120"/>
        <w:ind w:right="326"/>
        <w:jc w:val="both"/>
        <w:rPr>
          <w:rFonts w:ascii="Arial" w:hAnsi="Arial" w:cs="Arial"/>
          <w:sz w:val="22"/>
          <w:lang w:bidi="en-US"/>
        </w:rPr>
      </w:pPr>
      <w:r>
        <w:rPr>
          <w:rFonts w:ascii="Arial" w:hAnsi="Arial" w:cs="Arial"/>
          <w:b/>
          <w:bCs/>
          <w:sz w:val="22"/>
          <w:lang w:bidi="en-US"/>
        </w:rPr>
        <w:t>国家、省级自然资源主管部门和农业农村主管部门：</w:t>
      </w:r>
      <w:r>
        <w:rPr>
          <w:rFonts w:ascii="Arial" w:hAnsi="Arial" w:cs="Arial"/>
          <w:sz w:val="22"/>
          <w:lang w:bidi="en-US"/>
        </w:rPr>
        <w:t>负责通过各种技术手段进行设施农业用地监管；</w:t>
      </w:r>
    </w:p>
    <w:p w14:paraId="5CDEF436">
      <w:pPr>
        <w:pStyle w:val="76"/>
        <w:widowControl w:val="0"/>
        <w:numPr>
          <w:ilvl w:val="0"/>
          <w:numId w:val="26"/>
        </w:numPr>
        <w:tabs>
          <w:tab w:val="left" w:pos="859"/>
        </w:tabs>
        <w:adjustRightInd w:val="0"/>
        <w:snapToGrid w:val="0"/>
        <w:spacing w:before="120" w:after="120"/>
        <w:ind w:right="326"/>
        <w:jc w:val="both"/>
        <w:rPr>
          <w:rFonts w:ascii="Arial" w:hAnsi="Arial" w:cs="Arial"/>
          <w:sz w:val="22"/>
          <w:lang w:bidi="en-US"/>
        </w:rPr>
      </w:pPr>
      <w:r>
        <w:rPr>
          <w:rFonts w:ascii="Arial" w:hAnsi="Arial" w:cs="Arial"/>
          <w:b/>
          <w:bCs/>
          <w:sz w:val="22"/>
          <w:lang w:bidi="en-US"/>
        </w:rPr>
        <w:t>市级自然资源主管部门和农业农村主管部门：</w:t>
      </w:r>
      <w:r>
        <w:rPr>
          <w:rFonts w:ascii="Arial" w:hAnsi="Arial" w:cs="Arial"/>
          <w:sz w:val="22"/>
          <w:lang w:bidi="en-US"/>
        </w:rPr>
        <w:t xml:space="preserve">承担设施农用地管理的监督指导责任，建立健全巡查制度，全面落实设施农用地监管，按年度向省级主管部门上报设施农用地备案信息。 </w:t>
      </w:r>
    </w:p>
    <w:p w14:paraId="704B959A">
      <w:pPr>
        <w:pStyle w:val="76"/>
        <w:widowControl w:val="0"/>
        <w:numPr>
          <w:ilvl w:val="0"/>
          <w:numId w:val="26"/>
        </w:numPr>
        <w:tabs>
          <w:tab w:val="left" w:pos="859"/>
        </w:tabs>
        <w:adjustRightInd w:val="0"/>
        <w:snapToGrid w:val="0"/>
        <w:spacing w:before="120" w:after="120"/>
        <w:ind w:right="326"/>
        <w:jc w:val="both"/>
        <w:rPr>
          <w:rFonts w:ascii="Arial" w:hAnsi="Arial" w:cs="Arial"/>
          <w:b/>
          <w:bCs/>
          <w:sz w:val="22"/>
          <w:lang w:bidi="en-US"/>
        </w:rPr>
      </w:pPr>
      <w:r>
        <w:rPr>
          <w:rFonts w:ascii="Arial" w:hAnsi="Arial" w:cs="Arial"/>
          <w:b/>
          <w:bCs/>
          <w:sz w:val="22"/>
          <w:lang w:bidi="en-US"/>
        </w:rPr>
        <w:t>县级自然资源主管部门和农业农村主管部门：</w:t>
      </w:r>
      <w:r>
        <w:rPr>
          <w:rFonts w:ascii="Arial" w:hAnsi="Arial" w:cs="Arial"/>
          <w:sz w:val="22"/>
          <w:lang w:bidi="en-US"/>
        </w:rPr>
        <w:t>负责设施农用地日常监管，按照节约集约利用土地要求科学引导设施建设选址，对是否破坏耕作层进行认定，对土地复垦进行验收，按季度将备案信息上报州（市）主管部门。其中自然资源主管部门收到乡镇提供的设施农用地批复文件及相关备案信息后，及时审核并在设施农用地监管平台开展上图入库。按规定做好设施农用地土地年度变更调查；县级农业农村主管部门要加</w:t>
      </w:r>
      <w:r>
        <w:rPr>
          <w:rFonts w:hint="eastAsia" w:ascii="Arial" w:hAnsi="Arial" w:cs="Arial"/>
          <w:sz w:val="22"/>
          <w:lang w:eastAsia="zh-CN" w:bidi="en-US"/>
        </w:rPr>
        <w:t>强对</w:t>
      </w:r>
      <w:r>
        <w:rPr>
          <w:rFonts w:ascii="Arial" w:hAnsi="Arial" w:cs="Arial"/>
          <w:sz w:val="22"/>
          <w:lang w:bidi="en-US"/>
        </w:rPr>
        <w:t>设施农用地标准的指导。</w:t>
      </w:r>
      <w:r>
        <w:rPr>
          <w:rFonts w:ascii="Arial" w:hAnsi="Arial" w:cs="Arial"/>
          <w:sz w:val="22"/>
        </w:rPr>
        <w:t>设施农业用地确需占用一般耕地的，需纳入县级年度耕地“进出平衡”总体方案按规定批准后实施。</w:t>
      </w:r>
    </w:p>
    <w:p w14:paraId="1EB73AEB">
      <w:pPr>
        <w:pStyle w:val="76"/>
        <w:widowControl w:val="0"/>
        <w:numPr>
          <w:ilvl w:val="0"/>
          <w:numId w:val="26"/>
        </w:numPr>
        <w:tabs>
          <w:tab w:val="left" w:pos="859"/>
        </w:tabs>
        <w:adjustRightInd w:val="0"/>
        <w:snapToGrid w:val="0"/>
        <w:spacing w:before="120" w:after="120"/>
        <w:ind w:right="326"/>
        <w:jc w:val="both"/>
        <w:rPr>
          <w:rFonts w:ascii="Arial" w:hAnsi="Arial" w:cs="Arial"/>
          <w:b/>
          <w:bCs/>
          <w:sz w:val="22"/>
          <w:lang w:bidi="en-US"/>
        </w:rPr>
      </w:pPr>
      <w:r>
        <w:rPr>
          <w:rFonts w:ascii="Arial" w:hAnsi="Arial" w:cs="Arial"/>
          <w:b/>
          <w:bCs/>
          <w:sz w:val="22"/>
          <w:lang w:bidi="en-US"/>
        </w:rPr>
        <w:t>乡镇人民政府：</w:t>
      </w:r>
      <w:r>
        <w:rPr>
          <w:rFonts w:ascii="Arial" w:hAnsi="Arial" w:cs="Arial"/>
          <w:sz w:val="22"/>
          <w:lang w:bidi="en-US"/>
        </w:rPr>
        <w:t>组织对村集体经济组织和经营者，在县级自然资源主管部门和农业农村主管部门的指导下，依据国土空间规划或土地利用总体规划、农业发展规划、村庄规划，在保护耕地和合理利用土地的前提下，用好自然资源、农业、林业等各类政策，按照设施建设方案，综合施策，合理确定设施建设用地位置、范围。组织农村集体经济组织和经营者做好设施农用地选址并指导完成土地承包经营权流转、用地协议签订，对设施农用地建设过程进行全程跟踪，监督实施土地复垦和交还工作，公开设施农业用地信息。按月将备案信息汇交县级自然资源主管部门和农业农村主管部门。涉及承包耕地转为林地等其他地类的，乡镇人民政府提出落实耕地“进出平衡”的意见；经批准后，指导发包方依法与承包农户重新签订或变更土地承包</w:t>
      </w:r>
      <w:r>
        <w:rPr>
          <w:rFonts w:hint="eastAsia" w:ascii="Arial" w:hAnsi="Arial" w:cs="Arial"/>
          <w:sz w:val="22"/>
          <w:lang w:eastAsia="zh-CN" w:bidi="en-US"/>
        </w:rPr>
        <w:t>合同</w:t>
      </w:r>
      <w:r>
        <w:rPr>
          <w:rFonts w:ascii="Arial" w:hAnsi="Arial" w:cs="Arial"/>
          <w:sz w:val="22"/>
          <w:lang w:bidi="en-US"/>
        </w:rPr>
        <w:t>变更权属证书；</w:t>
      </w:r>
    </w:p>
    <w:p w14:paraId="765C1A84">
      <w:pPr>
        <w:pStyle w:val="76"/>
        <w:widowControl w:val="0"/>
        <w:numPr>
          <w:ilvl w:val="0"/>
          <w:numId w:val="26"/>
        </w:numPr>
        <w:tabs>
          <w:tab w:val="left" w:pos="859"/>
        </w:tabs>
        <w:adjustRightInd w:val="0"/>
        <w:snapToGrid w:val="0"/>
        <w:spacing w:before="120" w:after="120"/>
        <w:ind w:right="326"/>
        <w:jc w:val="both"/>
        <w:rPr>
          <w:rFonts w:ascii="Arial" w:hAnsi="Arial" w:cs="Arial"/>
          <w:b/>
          <w:bCs/>
          <w:sz w:val="22"/>
          <w:lang w:bidi="en-US"/>
        </w:rPr>
      </w:pPr>
      <w:r>
        <w:rPr>
          <w:rFonts w:ascii="Arial" w:hAnsi="Arial" w:cs="Arial"/>
          <w:b/>
          <w:bCs/>
          <w:sz w:val="22"/>
          <w:lang w:bidi="en-US"/>
        </w:rPr>
        <w:t>农村集体经济组织：</w:t>
      </w:r>
      <w:r>
        <w:rPr>
          <w:rFonts w:ascii="Arial" w:hAnsi="Arial" w:cs="Arial"/>
          <w:sz w:val="22"/>
          <w:lang w:bidi="en-US"/>
        </w:rPr>
        <w:t>对经营者是否按照协议约定设施农用地建设和落实土地复垦责任进行具体监督，在村级政务公开栏公开设施农用地信息。</w:t>
      </w:r>
    </w:p>
    <w:p w14:paraId="46722F4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以湖南省慈利县为例</w:t>
      </w:r>
      <w:r>
        <w:rPr>
          <w:rFonts w:ascii="Arial" w:hAnsi="Arial" w:cs="Arial"/>
          <w:sz w:val="22"/>
        </w:rPr>
        <w:t>，设施农业用地由该县自然资源局规划二科（2人）与国土空间规划股（3名工作人员）负责日常管理工作。用地申请人向所在的乡镇人民政府、街道办事处提出设施农业用地选址申请，乡镇人民政府、街道办依据国土空间规划、农村发展规划、村庄规划</w:t>
      </w:r>
      <w:r>
        <w:rPr>
          <w:rFonts w:hint="eastAsia" w:ascii="Arial" w:hAnsi="Arial" w:cs="Arial"/>
          <w:sz w:val="22"/>
          <w:lang w:eastAsia="zh-CN"/>
        </w:rPr>
        <w:t>等</w:t>
      </w:r>
      <w:r>
        <w:rPr>
          <w:rFonts w:ascii="Arial" w:hAnsi="Arial" w:cs="Arial"/>
          <w:sz w:val="22"/>
        </w:rPr>
        <w:t>，在保护耕地、集约节约用地、符合设施农业用地政策的前提下在5个工作日内完成现场踏勘、面积测绘，确定设施农业用地位置和范围；乡镇人民政府、街道办初步审核通过后，由县级自然资源局牵头组织相关部门现场踏勘联合复核；联合复核通过后</w:t>
      </w:r>
      <w:r>
        <w:rPr>
          <w:rFonts w:hint="eastAsia" w:ascii="Arial" w:hAnsi="Arial" w:cs="Arial"/>
          <w:sz w:val="22"/>
          <w:lang w:eastAsia="zh-CN"/>
        </w:rPr>
        <w:t>，由</w:t>
      </w:r>
      <w:r>
        <w:rPr>
          <w:rFonts w:ascii="Arial" w:hAnsi="Arial" w:cs="Arial"/>
          <w:sz w:val="22"/>
        </w:rPr>
        <w:t>乡镇人民政府指导生产经营者进行协议签订，填写设施农业用地申请表，并在乡镇、村务公告栏进行公示，公示日期不少于10天；公示期满后，由乡镇人民政府出具备案通知书；备案完成后，由乡镇人民政府自然资源所在5个工作日内进行上图入库，并在每月23日内将备案信息分别汇交至县级自然资源主管部门和农业农村主管部门。乡镇人民政府、街道办履行批后监管第一责任。</w:t>
      </w:r>
    </w:p>
    <w:p w14:paraId="258D151B">
      <w:pPr>
        <w:pStyle w:val="48"/>
        <w:widowControl w:val="0"/>
        <w:numPr>
          <w:ilvl w:val="1"/>
          <w:numId w:val="27"/>
        </w:numPr>
        <w:adjustRightInd w:val="0"/>
        <w:snapToGrid w:val="0"/>
        <w:spacing w:before="120" w:after="120"/>
        <w:ind w:firstLineChars="0"/>
        <w:jc w:val="both"/>
        <w:rPr>
          <w:rFonts w:ascii="Arial" w:hAnsi="Arial" w:cs="Arial"/>
          <w:b/>
          <w:bCs/>
          <w:sz w:val="22"/>
        </w:rPr>
      </w:pPr>
      <w:r>
        <w:rPr>
          <w:rFonts w:ascii="Arial" w:hAnsi="Arial" w:cs="Arial"/>
          <w:b/>
          <w:bCs/>
          <w:sz w:val="22"/>
        </w:rPr>
        <w:t>土地经营权流转</w:t>
      </w:r>
    </w:p>
    <w:p w14:paraId="306F83E0">
      <w:pPr>
        <w:pStyle w:val="76"/>
        <w:widowControl w:val="0"/>
        <w:numPr>
          <w:ilvl w:val="0"/>
          <w:numId w:val="26"/>
        </w:numPr>
        <w:tabs>
          <w:tab w:val="left" w:pos="859"/>
        </w:tabs>
        <w:adjustRightInd w:val="0"/>
        <w:snapToGrid w:val="0"/>
        <w:spacing w:before="120" w:after="120"/>
        <w:ind w:right="326"/>
        <w:jc w:val="both"/>
        <w:rPr>
          <w:rFonts w:ascii="Arial" w:hAnsi="Arial" w:cs="Arial"/>
          <w:sz w:val="22"/>
          <w:lang w:bidi="en-US"/>
        </w:rPr>
      </w:pPr>
      <w:r>
        <w:rPr>
          <w:rFonts w:ascii="Arial" w:hAnsi="Arial" w:cs="Arial"/>
          <w:b/>
          <w:bCs/>
          <w:sz w:val="22"/>
          <w:lang w:bidi="en-US"/>
        </w:rPr>
        <w:t>农业农村部：</w:t>
      </w:r>
      <w:r>
        <w:rPr>
          <w:rFonts w:ascii="Arial" w:hAnsi="Arial" w:cs="Arial"/>
          <w:sz w:val="22"/>
          <w:lang w:bidi="en-US"/>
        </w:rPr>
        <w:t>负责全国土地经营权流转及流转合同管理的指导。</w:t>
      </w:r>
    </w:p>
    <w:p w14:paraId="412304C3">
      <w:pPr>
        <w:pStyle w:val="76"/>
        <w:widowControl w:val="0"/>
        <w:numPr>
          <w:ilvl w:val="0"/>
          <w:numId w:val="26"/>
        </w:numPr>
        <w:tabs>
          <w:tab w:val="left" w:pos="859"/>
        </w:tabs>
        <w:adjustRightInd w:val="0"/>
        <w:snapToGrid w:val="0"/>
        <w:spacing w:before="120" w:after="120"/>
        <w:ind w:right="326"/>
        <w:jc w:val="both"/>
        <w:rPr>
          <w:rFonts w:ascii="Arial" w:hAnsi="Arial" w:cs="Arial"/>
          <w:sz w:val="22"/>
          <w:lang w:bidi="en-US"/>
        </w:rPr>
      </w:pPr>
      <w:r>
        <w:rPr>
          <w:rFonts w:ascii="Arial" w:hAnsi="Arial" w:cs="Arial"/>
          <w:b/>
          <w:bCs/>
          <w:sz w:val="22"/>
          <w:lang w:bidi="en-US"/>
        </w:rPr>
        <w:t>县级以上地方人民政府农业农村主管（农村经营管理）部门：</w:t>
      </w:r>
      <w:r>
        <w:rPr>
          <w:rFonts w:ascii="Arial" w:hAnsi="Arial" w:cs="Arial"/>
          <w:sz w:val="22"/>
          <w:lang w:bidi="en-US"/>
        </w:rPr>
        <w:t>建立健全运行规则，规范开展土地经营权流转政策咨询、信息发布、合同签订、交易鉴证、权益评估、融资担保、档案管理等服务；按照统一标准和技术规范建立国家、省、市、县等互联互通的农村土地承包信息应用平台，健全土地经营权流转合同网签制度，提升土地经营权流转规范化、信息化管理水平；对乡（镇）人民政府农村土地承包管理部门工作的指导；鼓励受让方发展粮食生产；鼓励和引导工商企业等社会资本发展适合企业化经营的现代种养业；根据自然经济条件、农村劳动力转移情况、农业机械化水平等因素，引导受让方发展适度规模经营，防止垒大户；对工商企业等社会资本流转土地经营权，依法建立分级资格审查和项目审核制度；建立工商企业等社会资本通过流转取得土地经营权的风险防范制度，加强事中事后监管，及时查处纠正违法违规行为；</w:t>
      </w:r>
    </w:p>
    <w:p w14:paraId="777A8541">
      <w:pPr>
        <w:pStyle w:val="76"/>
        <w:widowControl w:val="0"/>
        <w:numPr>
          <w:ilvl w:val="0"/>
          <w:numId w:val="26"/>
        </w:numPr>
        <w:tabs>
          <w:tab w:val="left" w:pos="859"/>
        </w:tabs>
        <w:adjustRightInd w:val="0"/>
        <w:snapToGrid w:val="0"/>
        <w:spacing w:before="120" w:after="120"/>
        <w:ind w:right="326"/>
        <w:jc w:val="both"/>
        <w:rPr>
          <w:rFonts w:ascii="Arial" w:hAnsi="Arial" w:cs="Arial"/>
          <w:sz w:val="22"/>
          <w:lang w:bidi="en-US"/>
        </w:rPr>
      </w:pPr>
      <w:r>
        <w:rPr>
          <w:rFonts w:ascii="Arial" w:hAnsi="Arial" w:cs="Arial"/>
          <w:b/>
          <w:bCs/>
          <w:sz w:val="22"/>
          <w:lang w:bidi="en-US"/>
        </w:rPr>
        <w:t>乡（镇）人民政府：</w:t>
      </w:r>
      <w:r>
        <w:rPr>
          <w:rFonts w:ascii="Arial" w:hAnsi="Arial" w:cs="Arial"/>
          <w:sz w:val="22"/>
          <w:lang w:bidi="en-US"/>
        </w:rPr>
        <w:t>负责本行政区域内土地经营权流转及流转合同管理。包括向达成流转意向的双方提供统一文本格式的流转合同，并指导签订；流转合同中有违反法律法规的，应当及时予以纠正；建立土地经营权流转台账，及时准确记载流转情况；对土地经营权流转有关文件、资料及流转合同等进行归档并妥善保管。</w:t>
      </w:r>
    </w:p>
    <w:p w14:paraId="3256F55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：国内已建立起一套成熟的土地征收、设施农业用地、土地经营权流转管理机构，</w:t>
      </w:r>
      <w:r>
        <w:rPr>
          <w:rFonts w:hint="eastAsia" w:ascii="Arial" w:hAnsi="Arial" w:cs="Arial"/>
          <w:sz w:val="22"/>
          <w:lang w:eastAsia="zh-CN"/>
        </w:rPr>
        <w:t>各项</w:t>
      </w:r>
      <w:r>
        <w:rPr>
          <w:rFonts w:ascii="Arial" w:hAnsi="Arial" w:cs="Arial"/>
          <w:sz w:val="22"/>
        </w:rPr>
        <w:t>管理措施均有对应的机构安排，由县自然资源局领导，各乡镇和村社共同参与管理，责任明确，且《</w:t>
      </w:r>
      <w:r>
        <w:rPr>
          <w:rFonts w:hint="eastAsia" w:ascii="Arial" w:hAnsi="Arial" w:cs="Arial"/>
          <w:sz w:val="22"/>
          <w:lang w:eastAsia="zh-CN"/>
        </w:rPr>
        <w:t>中华人民共和国土地管理法</w:t>
      </w:r>
      <w:r>
        <w:rPr>
          <w:rFonts w:ascii="Arial" w:hAnsi="Arial" w:cs="Arial"/>
          <w:sz w:val="22"/>
        </w:rPr>
        <w:t>》要求项目征地和移民应先补偿后用地，并由财政和审计确保相关预算并进行定期审核。此外，在调查过程中，相关部门每年都要实施或参与实施不同类型项目的征地或占地、设施农业用地、土地经营权流转、补偿与安置工作，相关经验丰富，能够有效实施和管理土地征收补偿工作，与世行政策原则4的要求一致。</w:t>
      </w:r>
    </w:p>
    <w:p w14:paraId="4D0EE5A5">
      <w:pPr>
        <w:pStyle w:val="48"/>
        <w:widowControl w:val="0"/>
        <w:numPr>
          <w:ilvl w:val="1"/>
          <w:numId w:val="27"/>
        </w:numPr>
        <w:adjustRightInd w:val="0"/>
        <w:snapToGrid w:val="0"/>
        <w:spacing w:before="120" w:after="120"/>
        <w:ind w:firstLineChars="0"/>
        <w:jc w:val="both"/>
        <w:rPr>
          <w:rFonts w:ascii="Arial" w:hAnsi="Arial" w:cs="Arial"/>
          <w:bCs/>
          <w:sz w:val="22"/>
        </w:rPr>
      </w:pPr>
      <w:r>
        <w:rPr>
          <w:rFonts w:ascii="Arial" w:hAnsi="Arial" w:cs="Arial"/>
          <w:b/>
          <w:bCs/>
          <w:sz w:val="22"/>
        </w:rPr>
        <w:t>生计恢复</w:t>
      </w:r>
    </w:p>
    <w:p w14:paraId="4F8CB904">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sz w:val="22"/>
        </w:rPr>
        <w:t>生计恢复措施实施的机构较灵活，包括农业安置、重新择业安置、入股分红安置、异地安置、社会保障安置等安置方式，各种方式对应的组织管理机构不尽相同。其中，</w:t>
      </w:r>
      <w:r>
        <w:rPr>
          <w:rFonts w:ascii="Arial" w:hAnsi="Arial" w:cs="Arial"/>
          <w:b/>
          <w:bCs/>
          <w:sz w:val="22"/>
        </w:rPr>
        <w:t>农业生产安置：</w:t>
      </w:r>
      <w:r>
        <w:rPr>
          <w:rFonts w:ascii="Arial" w:hAnsi="Arial" w:cs="Arial"/>
          <w:sz w:val="22"/>
        </w:rPr>
        <w:t>通常由本集体经济组织，根据本组织的土地情况和村民集体意愿来确定，如本集体有未分配的土地，集体经济组织可自行决定是否可以分配给被征地影响农户，如本集体没有未分配土地，可以通过村民大会讨论决定，是否要进行土地调整。</w:t>
      </w:r>
      <w:r>
        <w:rPr>
          <w:rFonts w:ascii="Arial" w:hAnsi="Arial" w:cs="Arial"/>
          <w:b/>
          <w:bCs/>
          <w:sz w:val="22"/>
        </w:rPr>
        <w:t>重新择业安置：</w:t>
      </w:r>
      <w:r>
        <w:rPr>
          <w:rFonts w:ascii="Arial" w:hAnsi="Arial" w:cs="Arial"/>
          <w:sz w:val="22"/>
        </w:rPr>
        <w:t>由受影响农户根据自己的需求决定，由县级劳动就业部门提供各种免费培训，并提供就业招聘支持。</w:t>
      </w:r>
      <w:r>
        <w:rPr>
          <w:rFonts w:ascii="Arial" w:hAnsi="Arial" w:cs="Arial"/>
          <w:b/>
          <w:bCs/>
          <w:sz w:val="22"/>
        </w:rPr>
        <w:t>入股分红安置：</w:t>
      </w:r>
      <w:r>
        <w:rPr>
          <w:rFonts w:ascii="Arial" w:hAnsi="Arial" w:cs="Arial"/>
          <w:sz w:val="22"/>
        </w:rPr>
        <w:t>由项目单位判断是否可行，并与受征地影响农户协商确定。</w:t>
      </w:r>
      <w:r>
        <w:rPr>
          <w:rFonts w:ascii="Arial" w:hAnsi="Arial" w:cs="Arial"/>
          <w:b/>
          <w:bCs/>
          <w:sz w:val="22"/>
        </w:rPr>
        <w:t>异地安置：</w:t>
      </w:r>
      <w:r>
        <w:rPr>
          <w:rFonts w:ascii="Arial" w:hAnsi="Arial" w:cs="Arial"/>
          <w:sz w:val="22"/>
        </w:rPr>
        <w:t>由农户提出要求，地方政府判断是否可行，并与受征地影响农户及接收该</w:t>
      </w:r>
      <w:r>
        <w:rPr>
          <w:rFonts w:hint="eastAsia" w:ascii="Arial" w:hAnsi="Arial" w:cs="Arial"/>
          <w:sz w:val="22"/>
          <w:lang w:eastAsia="zh-CN"/>
        </w:rPr>
        <w:t>农村集体经济组织</w:t>
      </w:r>
      <w:r>
        <w:rPr>
          <w:rFonts w:ascii="Arial" w:hAnsi="Arial" w:cs="Arial"/>
          <w:sz w:val="22"/>
        </w:rPr>
        <w:t>协商后实施。</w:t>
      </w:r>
      <w:r>
        <w:rPr>
          <w:rFonts w:ascii="Arial" w:hAnsi="Arial" w:cs="Arial"/>
          <w:b/>
          <w:bCs/>
          <w:sz w:val="22"/>
        </w:rPr>
        <w:t>失地农民社会保障安置：</w:t>
      </w:r>
      <w:r>
        <w:rPr>
          <w:rFonts w:ascii="Arial" w:hAnsi="Arial" w:cs="Arial"/>
          <w:sz w:val="22"/>
        </w:rPr>
        <w:t xml:space="preserve">由县级人力资源和社会保障部门组织实施，征地所在乡镇和村社配合。在第4.4.4节结合现场考察和咨询的结果，对生计恢复进行了详细的讨论，包括案例分享。 </w:t>
      </w:r>
    </w:p>
    <w:p w14:paraId="64A2B2A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生计恢复是征地拆迁与安置工作的一部分。不同的生计恢复措施涉及的实施部门各不相同，如村集体、政府社保部门、就业部门、企业等，基本上各部门之间的职责分工明确。政府财政资金对生计恢复措施的落实提供保障，同时不同的生计恢复措施，资金来源存在差异，例如入股分红由用地单位与村委会或农户达成协议，按约定分红，但生计恢复的措施、部门安排和资金保障都在法规上有规定，并在实践中各部门具有丰富的实施经验，各地均能按地方特色落实生计恢复措施，与世行政策原则4中要素9的要求一致。</w:t>
      </w:r>
    </w:p>
    <w:p w14:paraId="50ABC512">
      <w:pPr>
        <w:pStyle w:val="4"/>
        <w:numPr>
          <w:ilvl w:val="2"/>
          <w:numId w:val="25"/>
        </w:numPr>
        <w:adjustRightInd w:val="0"/>
        <w:snapToGrid w:val="0"/>
        <w:spacing w:before="120" w:after="120" w:line="240" w:lineRule="auto"/>
        <w:ind w:left="851" w:hanging="851"/>
        <w:rPr>
          <w:rFonts w:ascii="Arial" w:hAnsi="Arial" w:cs="Arial"/>
          <w:sz w:val="22"/>
          <w:szCs w:val="22"/>
        </w:rPr>
      </w:pPr>
      <w:bookmarkStart w:id="451" w:name="_Toc90729532"/>
      <w:bookmarkStart w:id="452" w:name="_Toc86683191"/>
      <w:bookmarkStart w:id="453" w:name="_Toc119937310"/>
      <w:bookmarkStart w:id="454" w:name="_Toc114235840"/>
      <w:r>
        <w:rPr>
          <w:rFonts w:ascii="Arial" w:hAnsi="Arial" w:cs="Arial"/>
          <w:sz w:val="22"/>
          <w:szCs w:val="22"/>
        </w:rPr>
        <w:t>公众安全、劳动者健康安全和应急管理机构</w:t>
      </w:r>
      <w:bookmarkEnd w:id="451"/>
      <w:bookmarkEnd w:id="452"/>
      <w:bookmarkEnd w:id="453"/>
      <w:bookmarkEnd w:id="454"/>
    </w:p>
    <w:p w14:paraId="68B423AB">
      <w:pPr>
        <w:pStyle w:val="48"/>
        <w:adjustRightInd w:val="0"/>
        <w:snapToGrid w:val="0"/>
        <w:spacing w:before="120" w:after="120"/>
        <w:ind w:left="504" w:firstLine="0" w:firstLineChars="0"/>
        <w:rPr>
          <w:rFonts w:ascii="Arial" w:hAnsi="Arial" w:cs="Arial"/>
          <w:sz w:val="22"/>
        </w:rPr>
      </w:pPr>
      <w:r>
        <w:rPr>
          <w:rFonts w:ascii="Arial" w:hAnsi="Arial" w:cs="Arial"/>
          <w:b/>
          <w:bCs/>
          <w:sz w:val="22"/>
        </w:rPr>
        <w:t>1）劳动者健康安全</w:t>
      </w:r>
    </w:p>
    <w:p w14:paraId="61C9590C">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国家卫生健康委：</w:t>
      </w:r>
      <w:r>
        <w:rPr>
          <w:rFonts w:ascii="Arial" w:hAnsi="Arial" w:cs="Arial"/>
          <w:sz w:val="22"/>
        </w:rPr>
        <w:t>制定、调整并公布职业病的分类和目录，负责全国职业病防治的监督管理工作。</w:t>
      </w:r>
    </w:p>
    <w:p w14:paraId="0469F9DB">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省级卫生健康委员会</w:t>
      </w:r>
      <w:r>
        <w:rPr>
          <w:rFonts w:ascii="Arial" w:hAnsi="Arial" w:cs="Arial"/>
          <w:sz w:val="22"/>
        </w:rPr>
        <w:t>：拟订职业卫生、放射卫生相关政策、标准并组织实施。开展重点职业病监测、专项调查、职业健康风险评估和职业人群健康管理工作。协调开展职业病防治工作。</w:t>
      </w:r>
    </w:p>
    <w:p w14:paraId="70A2E786">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省职业病防治医院：</w:t>
      </w:r>
      <w:r>
        <w:rPr>
          <w:rFonts w:ascii="Arial" w:hAnsi="Arial" w:cs="Arial"/>
          <w:sz w:val="22"/>
        </w:rPr>
        <w:t>负责拟订并实施全省职业病预防控制工作计划和实施方案，对全省职业病预防控制和职业卫生服务的技术指导、培训和质量控制。</w:t>
      </w:r>
    </w:p>
    <w:p w14:paraId="3498FCE3">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市、县卫生健康主管部门：</w:t>
      </w:r>
      <w:r>
        <w:rPr>
          <w:rFonts w:ascii="Arial" w:hAnsi="Arial" w:cs="Arial"/>
          <w:sz w:val="22"/>
        </w:rPr>
        <w:t>按照《</w:t>
      </w:r>
      <w:r>
        <w:rPr>
          <w:rFonts w:hint="eastAsia" w:ascii="Arial" w:hAnsi="Arial" w:cs="Arial"/>
          <w:sz w:val="22"/>
          <w:lang w:eastAsia="zh-CN"/>
        </w:rPr>
        <w:t>中华人民共和国职业病防治法</w:t>
      </w:r>
      <w:r>
        <w:rPr>
          <w:rFonts w:ascii="Arial" w:hAnsi="Arial" w:cs="Arial"/>
          <w:sz w:val="22"/>
        </w:rPr>
        <w:t>》规定的职责范围，负责本辖区职业病防治工作的监督管理，协调开展职业病防治工作，确保劳动者依法享受职业健康安全权益。</w:t>
      </w:r>
    </w:p>
    <w:p w14:paraId="6C2A5805">
      <w:pPr>
        <w:pStyle w:val="48"/>
        <w:widowControl w:val="0"/>
        <w:numPr>
          <w:ilvl w:val="0"/>
          <w:numId w:val="26"/>
        </w:numPr>
        <w:adjustRightInd w:val="0"/>
        <w:snapToGrid w:val="0"/>
        <w:spacing w:before="120" w:after="120"/>
        <w:ind w:firstLineChars="0"/>
        <w:jc w:val="both"/>
        <w:rPr>
          <w:rFonts w:ascii="Arial" w:hAnsi="Arial" w:cs="Arial"/>
          <w:sz w:val="22"/>
        </w:rPr>
      </w:pPr>
      <w:r>
        <w:rPr>
          <w:rFonts w:ascii="Arial" w:hAnsi="Arial" w:cs="Arial"/>
          <w:b/>
          <w:bCs/>
          <w:sz w:val="22"/>
        </w:rPr>
        <w:t>市、县人社部门</w:t>
      </w:r>
      <w:r>
        <w:rPr>
          <w:rFonts w:ascii="Arial" w:hAnsi="Arial" w:cs="Arial"/>
          <w:sz w:val="22"/>
        </w:rPr>
        <w:t>：负责工伤保险管理，与工会和企业方面代表协调劳动关系三方机制，共同研究解决有关劳动关系的重大问题。</w:t>
      </w:r>
    </w:p>
    <w:p w14:paraId="2F7FA391">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color w:val="333333"/>
          <w:sz w:val="22"/>
          <w:shd w:val="clear" w:color="auto" w:fill="FFFFFF"/>
          <w:lang w:bidi="ar"/>
        </w:rPr>
        <w:t>职业健康检查机构：</w:t>
      </w:r>
      <w:r>
        <w:rPr>
          <w:rFonts w:ascii="Arial" w:hAnsi="Arial" w:cs="Arial"/>
          <w:sz w:val="22"/>
        </w:rPr>
        <w:t>开展职业健康检查的机构为</w:t>
      </w:r>
      <w:r>
        <w:rPr>
          <w:rFonts w:ascii="Arial" w:hAnsi="Arial" w:cs="Arial"/>
          <w:color w:val="333333"/>
          <w:sz w:val="22"/>
          <w:shd w:val="clear" w:color="auto" w:fill="FFFFFF"/>
          <w:lang w:bidi="ar"/>
        </w:rPr>
        <w:t>取得《医疗机构执业许可证》并在</w:t>
      </w:r>
      <w:r>
        <w:rPr>
          <w:rFonts w:hint="eastAsia" w:ascii="Arial" w:hAnsi="Arial" w:cs="Arial"/>
          <w:color w:val="333333"/>
          <w:sz w:val="22"/>
          <w:shd w:val="clear" w:color="auto" w:fill="FFFFFF"/>
          <w:lang w:eastAsia="zh-CN" w:bidi="ar"/>
        </w:rPr>
        <w:t>省卫健委</w:t>
      </w:r>
      <w:r>
        <w:rPr>
          <w:rFonts w:ascii="Arial" w:hAnsi="Arial" w:cs="Arial"/>
          <w:color w:val="333333"/>
          <w:sz w:val="22"/>
          <w:shd w:val="clear" w:color="auto" w:fill="FFFFFF"/>
          <w:lang w:bidi="ar"/>
        </w:rPr>
        <w:t>备案的医疗卫生机构，应具有与备案开展的职业健康检查类别和项目相适应的执业医师、护士等医疗卫生技术人员；至少具有1名取得职业病诊断资格的执业医师等条件</w:t>
      </w:r>
      <w:r>
        <w:rPr>
          <w:rFonts w:ascii="Arial" w:hAnsi="Arial" w:cs="Arial"/>
          <w:color w:val="333333"/>
          <w:sz w:val="22"/>
        </w:rPr>
        <w:t>。</w:t>
      </w:r>
    </w:p>
    <w:p w14:paraId="4EB2ACF2">
      <w:pPr>
        <w:pStyle w:val="48"/>
        <w:widowControl w:val="0"/>
        <w:numPr>
          <w:ilvl w:val="0"/>
          <w:numId w:val="26"/>
        </w:numPr>
        <w:adjustRightInd w:val="0"/>
        <w:snapToGrid w:val="0"/>
        <w:spacing w:before="120" w:after="120"/>
        <w:ind w:firstLineChars="0"/>
        <w:jc w:val="both"/>
        <w:rPr>
          <w:rFonts w:ascii="Arial" w:hAnsi="Arial" w:cs="Arial"/>
          <w:sz w:val="22"/>
        </w:rPr>
      </w:pPr>
      <w:r>
        <w:rPr>
          <w:rStyle w:val="42"/>
          <w:rFonts w:ascii="Arial" w:hAnsi="Arial" w:cs="Arial"/>
          <w:sz w:val="22"/>
        </w:rPr>
        <w:t>工会：</w:t>
      </w:r>
      <w:r>
        <w:rPr>
          <w:rFonts w:ascii="Arial" w:hAnsi="Arial" w:cs="Arial"/>
          <w:sz w:val="22"/>
        </w:rPr>
        <w:t>工会帮助、指导劳动者与用人单位依法订立和履行劳动合同，并与用人单位建立集体协商机制，维护劳动者的合法权益；</w:t>
      </w:r>
    </w:p>
    <w:p w14:paraId="37A18D64">
      <w:pPr>
        <w:pStyle w:val="48"/>
        <w:widowControl w:val="0"/>
        <w:numPr>
          <w:ilvl w:val="0"/>
          <w:numId w:val="26"/>
        </w:numPr>
        <w:adjustRightInd w:val="0"/>
        <w:snapToGrid w:val="0"/>
        <w:spacing w:before="120" w:after="120"/>
        <w:ind w:firstLineChars="0"/>
        <w:jc w:val="both"/>
        <w:rPr>
          <w:rFonts w:ascii="Arial" w:hAnsi="Arial" w:cs="Arial"/>
          <w:sz w:val="22"/>
        </w:rPr>
      </w:pPr>
      <w:r>
        <w:rPr>
          <w:rFonts w:ascii="Arial" w:hAnsi="Arial" w:cs="Arial"/>
          <w:b/>
          <w:bCs/>
          <w:sz w:val="22"/>
        </w:rPr>
        <w:t>妇联：</w:t>
      </w:r>
      <w:r>
        <w:rPr>
          <w:rFonts w:ascii="Arial" w:hAnsi="Arial" w:cs="Arial"/>
          <w:sz w:val="22"/>
        </w:rPr>
        <w:t>县级以上妇联为负责妇女儿童工作的机构，负责协调有关部门做好妇女权益的保障工作。</w:t>
      </w:r>
    </w:p>
    <w:p w14:paraId="4BBA082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县市的卫健委的科室设置比较类似。以湖北省随县为例，该县卫生工作主要通过卫健局的三个机构来管理：1）卫健局职业健康股，2）卫生健康综合监督执法局，3）疾病预防控制中心。同时，在涉及职业病危害重点监管企业较为聚集的吴山镇和万和镇设置职业健康体检机构，由吴山和万和镇卫生院承担。此外，乡镇设置有兼职的执法人员：卫生院卫生监督协管员和1名职业健康管理员。</w:t>
      </w:r>
    </w:p>
    <w:p w14:paraId="3AD68273">
      <w:pPr>
        <w:pStyle w:val="48"/>
        <w:widowControl w:val="0"/>
        <w:numPr>
          <w:ilvl w:val="0"/>
          <w:numId w:val="28"/>
        </w:numPr>
        <w:adjustRightInd w:val="0"/>
        <w:snapToGrid w:val="0"/>
        <w:spacing w:before="120" w:after="120"/>
        <w:ind w:firstLineChars="0"/>
        <w:jc w:val="both"/>
        <w:rPr>
          <w:rFonts w:ascii="Arial" w:hAnsi="Arial" w:cs="Arial"/>
          <w:sz w:val="22"/>
        </w:rPr>
      </w:pPr>
      <w:r>
        <w:rPr>
          <w:rFonts w:ascii="Arial" w:hAnsi="Arial" w:cs="Arial"/>
          <w:sz w:val="22"/>
        </w:rPr>
        <w:t>职业健康股2人，拟订本县职业卫生、放射卫生相关政策、标准并组织实施，开展重点职业病监测、专项调查、职业健康风险评估和职业人群健康管理工作。协调开展职业病防治工作。</w:t>
      </w:r>
    </w:p>
    <w:p w14:paraId="525752EA">
      <w:pPr>
        <w:pStyle w:val="48"/>
        <w:widowControl w:val="0"/>
        <w:numPr>
          <w:ilvl w:val="0"/>
          <w:numId w:val="28"/>
        </w:numPr>
        <w:adjustRightInd w:val="0"/>
        <w:snapToGrid w:val="0"/>
        <w:spacing w:before="120" w:after="120"/>
        <w:ind w:firstLineChars="0"/>
        <w:jc w:val="both"/>
        <w:rPr>
          <w:rFonts w:ascii="Arial" w:hAnsi="Arial" w:cs="Arial"/>
          <w:sz w:val="22"/>
        </w:rPr>
      </w:pPr>
      <w:r>
        <w:rPr>
          <w:rFonts w:ascii="Arial" w:hAnsi="Arial" w:cs="Arial"/>
          <w:sz w:val="22"/>
        </w:rPr>
        <w:t>卫生健康综合监督执法局2人，查看企业落实主体责任情况，主要看是否进行工作场所职业病危害因素检测（评价）；是否对劳动者进行岗前、在岗期间、离岗时职业健康体检；是否进行职业病危害项目申报；是否为劳动者发放并督促其使用符合标准的防护用品；对存在的职业病危害因素是否采取措施降低等。</w:t>
      </w:r>
    </w:p>
    <w:p w14:paraId="7B14AC60">
      <w:pPr>
        <w:pStyle w:val="48"/>
        <w:widowControl w:val="0"/>
        <w:numPr>
          <w:ilvl w:val="0"/>
          <w:numId w:val="28"/>
        </w:numPr>
        <w:adjustRightInd w:val="0"/>
        <w:snapToGrid w:val="0"/>
        <w:spacing w:before="120" w:after="120"/>
        <w:ind w:firstLineChars="0"/>
        <w:jc w:val="both"/>
        <w:rPr>
          <w:rFonts w:ascii="Arial" w:hAnsi="Arial" w:cs="Arial"/>
          <w:sz w:val="22"/>
        </w:rPr>
      </w:pPr>
      <w:r>
        <w:rPr>
          <w:rFonts w:ascii="Arial" w:hAnsi="Arial" w:cs="Arial"/>
          <w:sz w:val="22"/>
        </w:rPr>
        <w:t xml:space="preserve">疾病预防控制中心2人，对企业的危害因素按照毒物种类分类（分五类，尘肺类、化学性、生物性、物理因素、放射性）。根据分类，每年对具有职业健康风险的企业进行检查。 </w:t>
      </w:r>
    </w:p>
    <w:p w14:paraId="6325E91E">
      <w:pPr>
        <w:pStyle w:val="48"/>
        <w:widowControl w:val="0"/>
        <w:numPr>
          <w:ilvl w:val="0"/>
          <w:numId w:val="28"/>
        </w:numPr>
        <w:adjustRightInd w:val="0"/>
        <w:snapToGrid w:val="0"/>
        <w:spacing w:before="120" w:after="120"/>
        <w:ind w:firstLineChars="0"/>
        <w:jc w:val="both"/>
        <w:rPr>
          <w:rFonts w:ascii="Arial" w:hAnsi="Arial" w:cs="Arial"/>
          <w:sz w:val="22"/>
        </w:rPr>
      </w:pPr>
      <w:r>
        <w:rPr>
          <w:rFonts w:ascii="Arial" w:hAnsi="Arial" w:cs="Arial"/>
          <w:sz w:val="22"/>
        </w:rPr>
        <w:t>吴山和万和镇卫生院，对涉及有毒有害因素企业和相关岗位的员工，提供岗前、在岗、离岗时职业健康体检。有问题的，书面告知企业和本人，企业不上岗，或者在岗患病的，企业要调岗，治疗。</w:t>
      </w:r>
    </w:p>
    <w:p w14:paraId="406D02AF">
      <w:pPr>
        <w:adjustRightInd w:val="0"/>
        <w:snapToGrid w:val="0"/>
        <w:spacing w:before="120" w:after="120"/>
        <w:ind w:left="499"/>
        <w:rPr>
          <w:rFonts w:ascii="Arial" w:hAnsi="Arial" w:cs="Arial"/>
          <w:b/>
          <w:bCs/>
          <w:sz w:val="22"/>
        </w:rPr>
      </w:pPr>
      <w:r>
        <w:rPr>
          <w:rFonts w:ascii="Arial" w:hAnsi="Arial" w:cs="Arial"/>
          <w:b/>
          <w:bCs/>
          <w:sz w:val="22"/>
        </w:rPr>
        <w:t>2）安全管理</w:t>
      </w:r>
    </w:p>
    <w:p w14:paraId="310CC4CC">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生产经营单位</w:t>
      </w:r>
      <w:r>
        <w:rPr>
          <w:rFonts w:ascii="Arial" w:hAnsi="Arial" w:cs="Arial"/>
          <w:sz w:val="22"/>
        </w:rPr>
        <w:t>：主要负责人对本单位的安全生产工作全面负责，工会依法对安全生产工作进行监督。</w:t>
      </w:r>
    </w:p>
    <w:p w14:paraId="51E69C0D">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危险化学品的生产、经营、储存单位</w:t>
      </w:r>
      <w:r>
        <w:rPr>
          <w:rFonts w:ascii="Arial" w:hAnsi="Arial" w:cs="Arial"/>
          <w:sz w:val="22"/>
        </w:rPr>
        <w:t>：设置安全生产管理机构或者配备专职安全生产管理人员。</w:t>
      </w:r>
    </w:p>
    <w:p w14:paraId="16FD85AD">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应急管理部门：</w:t>
      </w:r>
      <w:r>
        <w:rPr>
          <w:rFonts w:ascii="Arial" w:hAnsi="Arial" w:cs="Arial"/>
          <w:sz w:val="22"/>
        </w:rPr>
        <w:t>指导本地区各部门应对安全生产类、自然灾害类等突发事件和综合防灾减灾救灾工作。负责安全生产综合监督管理工作。</w:t>
      </w:r>
    </w:p>
    <w:p w14:paraId="16FE075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湖北省和湖南省安全生产都实行“生产经营单位负责、职工参与、政府监管、行业自律和社会监督”的机制，将安全知识普及纳入国民教育，并将安全生产监督管理纳入各级领导干部培训</w:t>
      </w:r>
    </w:p>
    <w:p w14:paraId="2A6CE8CE">
      <w:pPr>
        <w:adjustRightInd w:val="0"/>
        <w:snapToGrid w:val="0"/>
        <w:spacing w:before="120" w:after="120"/>
        <w:ind w:left="499"/>
        <w:rPr>
          <w:rFonts w:ascii="Arial" w:hAnsi="Arial" w:cs="Arial"/>
          <w:b/>
          <w:bCs/>
          <w:sz w:val="22"/>
        </w:rPr>
      </w:pPr>
      <w:r>
        <w:rPr>
          <w:rFonts w:ascii="Arial" w:hAnsi="Arial" w:cs="Arial"/>
          <w:b/>
          <w:bCs/>
          <w:sz w:val="22"/>
        </w:rPr>
        <w:t>3）自然灾害应急管理</w:t>
      </w:r>
    </w:p>
    <w:p w14:paraId="2F2BE9E6">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省减灾委员会：</w:t>
      </w:r>
      <w:r>
        <w:rPr>
          <w:rFonts w:ascii="Arial" w:hAnsi="Arial" w:cs="Arial"/>
          <w:sz w:val="22"/>
        </w:rPr>
        <w:t>为省人民政府的自然灾害救助应急综合协调机构，办公室设在省应急厅，成员单位包括</w:t>
      </w:r>
      <w:r>
        <w:rPr>
          <w:rFonts w:ascii="Arial" w:hAnsi="Arial" w:cs="Arial"/>
          <w:color w:val="333333"/>
          <w:sz w:val="22"/>
          <w:shd w:val="clear" w:color="auto" w:fill="FFFFFF"/>
        </w:rPr>
        <w:t>省应急厅、财政厅，以及相关职能部门，如农业农村厅、水利厅、自然资源厅、</w:t>
      </w:r>
      <w:r>
        <w:rPr>
          <w:rFonts w:hint="eastAsia" w:ascii="Arial" w:hAnsi="Arial" w:cs="Arial"/>
          <w:color w:val="333333"/>
          <w:sz w:val="22"/>
          <w:shd w:val="clear" w:color="auto" w:fill="FFFFFF"/>
          <w:lang w:eastAsia="zh-CN"/>
        </w:rPr>
        <w:t>住房和城乡建设厅</w:t>
      </w:r>
      <w:r>
        <w:rPr>
          <w:rFonts w:ascii="Arial" w:hAnsi="Arial" w:cs="Arial"/>
          <w:color w:val="333333"/>
          <w:sz w:val="22"/>
          <w:shd w:val="clear" w:color="auto" w:fill="FFFFFF"/>
        </w:rPr>
        <w:t>、生态环境厅统计局、气象局、地震局、卫生健康委、广电局、红十字会通信管理局、消防救援总队</w:t>
      </w:r>
      <w:r>
        <w:rPr>
          <w:rFonts w:ascii="Arial" w:hAnsi="Arial" w:cs="Arial"/>
          <w:sz w:val="22"/>
        </w:rPr>
        <w:t>。根据评估情况决定启动省级救灾预警响应，启动后，省减灾办立即启动工作机制，组织协调预警响应工作，如灾后救助与恢复重建包括过渡期生活救助、冬春救助和倒损住房恢复重建等。</w:t>
      </w:r>
    </w:p>
    <w:p w14:paraId="42B8E5D6">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color w:val="333333"/>
          <w:sz w:val="22"/>
          <w:shd w:val="clear" w:color="auto" w:fill="FFFFFF"/>
        </w:rPr>
        <w:t>市、县（区）人民政府：</w:t>
      </w:r>
      <w:r>
        <w:rPr>
          <w:rFonts w:ascii="Arial" w:hAnsi="Arial" w:cs="Arial"/>
          <w:color w:val="333333"/>
          <w:sz w:val="22"/>
          <w:shd w:val="clear" w:color="auto" w:fill="FFFFFF"/>
        </w:rPr>
        <w:t>在发生自然灾害后，视情启动本级自然灾害救助应急预案，</w:t>
      </w:r>
      <w:r>
        <w:rPr>
          <w:rFonts w:ascii="Arial" w:hAnsi="Arial" w:cs="Arial"/>
          <w:sz w:val="22"/>
        </w:rPr>
        <w:t>根据自然灾害预警预报启动本行政区域内的预警响应；对可能出现影响多地的自然灾害，省减灾办将根据相关部门提供的灾害监测预报信息，结合有关地区的自然条件、人口和社会经济情况，进行分析评估，决定启动省级救灾预警响应。</w:t>
      </w:r>
    </w:p>
    <w:p w14:paraId="4A560EF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：对于自然灾害的管理，湖北和湖南两省均明确</w:t>
      </w:r>
      <w:r>
        <w:rPr>
          <w:rFonts w:hint="eastAsia" w:ascii="Arial" w:hAnsi="Arial" w:cs="Arial"/>
          <w:sz w:val="22"/>
          <w:lang w:eastAsia="zh-CN"/>
        </w:rPr>
        <w:t>了</w:t>
      </w:r>
      <w:r>
        <w:rPr>
          <w:rFonts w:ascii="Arial" w:hAnsi="Arial" w:cs="Arial"/>
          <w:sz w:val="22"/>
        </w:rPr>
        <w:t>部门职责，能够对突发自然灾害实施有效管理，符合世行政策原则3中要素</w:t>
      </w:r>
      <w:r>
        <w:rPr>
          <w:rFonts w:hint="eastAsia" w:ascii="Arial" w:hAnsi="Arial" w:cs="Arial"/>
          <w:sz w:val="22"/>
          <w:lang w:eastAsia="zh-CN"/>
        </w:rPr>
        <w:t>（</w:t>
      </w:r>
      <w:r>
        <w:rPr>
          <w:rFonts w:ascii="Arial" w:hAnsi="Arial" w:cs="Arial"/>
          <w:sz w:val="22"/>
        </w:rPr>
        <w:t>8</w:t>
      </w:r>
      <w:r>
        <w:rPr>
          <w:rFonts w:hint="eastAsia" w:ascii="Arial" w:hAnsi="Arial" w:cs="Arial"/>
          <w:sz w:val="22"/>
          <w:lang w:eastAsia="zh-CN"/>
        </w:rPr>
        <w:t>）</w:t>
      </w:r>
      <w:r>
        <w:rPr>
          <w:rFonts w:ascii="Arial" w:hAnsi="Arial" w:cs="Arial"/>
          <w:sz w:val="22"/>
        </w:rPr>
        <w:t>的要求。</w:t>
      </w:r>
    </w:p>
    <w:p w14:paraId="62882956">
      <w:pPr>
        <w:pStyle w:val="4"/>
        <w:numPr>
          <w:ilvl w:val="2"/>
          <w:numId w:val="25"/>
        </w:numPr>
        <w:adjustRightInd w:val="0"/>
        <w:snapToGrid w:val="0"/>
        <w:spacing w:before="120" w:after="120" w:line="240" w:lineRule="auto"/>
        <w:ind w:left="851" w:hanging="851"/>
        <w:rPr>
          <w:rFonts w:ascii="Arial" w:hAnsi="Arial" w:cs="Arial"/>
          <w:sz w:val="22"/>
          <w:szCs w:val="22"/>
        </w:rPr>
      </w:pPr>
      <w:bookmarkStart w:id="455" w:name="_Toc119937311"/>
      <w:bookmarkStart w:id="456" w:name="_Toc86683192"/>
      <w:bookmarkStart w:id="457" w:name="_Toc114235841"/>
      <w:bookmarkStart w:id="458" w:name="_Toc90729533"/>
      <w:r>
        <w:rPr>
          <w:rFonts w:ascii="Arial" w:hAnsi="Arial" w:cs="Arial"/>
          <w:sz w:val="22"/>
          <w:szCs w:val="22"/>
        </w:rPr>
        <w:t>少数民族事务管理机构</w:t>
      </w:r>
      <w:bookmarkEnd w:id="455"/>
      <w:bookmarkEnd w:id="456"/>
      <w:bookmarkEnd w:id="457"/>
      <w:bookmarkEnd w:id="458"/>
    </w:p>
    <w:p w14:paraId="1CA6B6C4">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省级民族工作部门：</w:t>
      </w:r>
      <w:r>
        <w:rPr>
          <w:rFonts w:ascii="Arial" w:hAnsi="Arial" w:cs="Arial"/>
          <w:sz w:val="22"/>
        </w:rPr>
        <w:t>负责协调推动有关部门履行民族工作相关职责，促进民族政策在经济发展和社会事业相关领域的实施、衔接；拟定少数民族事业专项规划并监督检查实施，参与拟定少数民族和民族地区经济社会相关领域的发展规划，促进建立和完善少数民族事业发展综合评价监测体系，推进民族事务服务体系和民族事务管理信息化建设；研究少数民族和民族地区经济发展、社会事业方面的问题，并提出特殊政策建议；参与协调民族地区科技发展和经济技术合作等有关工作；参与拟定少数民族人才队伍建设规划，协助有关部门做好少数民族干部培养教育和使用工作。</w:t>
      </w:r>
    </w:p>
    <w:p w14:paraId="42BE2D9B">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市（州）级民族工作部门：</w:t>
      </w:r>
      <w:r>
        <w:rPr>
          <w:rFonts w:ascii="Arial" w:hAnsi="Arial" w:cs="Arial"/>
          <w:sz w:val="22"/>
        </w:rPr>
        <w:t>贯彻落实民族宗教工作的方针、政策、</w:t>
      </w:r>
      <w:r>
        <w:rPr>
          <w:rFonts w:hint="eastAsia" w:ascii="Arial" w:hAnsi="Arial" w:cs="Arial"/>
          <w:sz w:val="22"/>
          <w:lang w:eastAsia="zh-CN"/>
        </w:rPr>
        <w:t>法律法规</w:t>
      </w:r>
      <w:r>
        <w:rPr>
          <w:rFonts w:ascii="Arial" w:hAnsi="Arial" w:cs="Arial"/>
          <w:sz w:val="22"/>
        </w:rPr>
        <w:t>以及省委、省政府和市州委和政府的决策部署；负责起草有关民族宗教事务的地方性法规、规章草案，组织拟订民族宗教相关工作政策、规划，并督促检查落实；指导实施和完善民族区域自治制度建设，保障少数民族的合法权益。参与拟订少数民族干部人才队伍、宗教工作队伍建设规划，研究、管理和指导少数民族干部队伍建设的政策建议。</w:t>
      </w:r>
    </w:p>
    <w:p w14:paraId="14E87A30">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县级民族工作部门：</w:t>
      </w:r>
      <w:r>
        <w:rPr>
          <w:rFonts w:ascii="Arial" w:hAnsi="Arial" w:cs="Arial"/>
          <w:sz w:val="22"/>
        </w:rPr>
        <w:t>市县少数民族人口身份统计，落实少数民族发展项目申报。负责管理民族干部的培养，拟定每年全县少数民族干部发展指标。</w:t>
      </w:r>
    </w:p>
    <w:p w14:paraId="35A445F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从省、市（州）到县，对</w:t>
      </w:r>
      <w:r>
        <w:rPr>
          <w:rFonts w:hint="eastAsia" w:ascii="Arial" w:hAnsi="Arial" w:cs="Arial"/>
          <w:sz w:val="22"/>
          <w:lang w:eastAsia="zh-CN"/>
        </w:rPr>
        <w:t>民族地区</w:t>
      </w:r>
      <w:r>
        <w:rPr>
          <w:rFonts w:ascii="Arial" w:hAnsi="Arial" w:cs="Arial"/>
          <w:sz w:val="22"/>
        </w:rPr>
        <w:t>经济社会发展和民族干部培养均明确了部门职责，满足世行政策原则5中的要求。</w:t>
      </w:r>
    </w:p>
    <w:p w14:paraId="7A1D46AF">
      <w:pPr>
        <w:pStyle w:val="4"/>
        <w:numPr>
          <w:ilvl w:val="2"/>
          <w:numId w:val="25"/>
        </w:numPr>
        <w:adjustRightInd w:val="0"/>
        <w:snapToGrid w:val="0"/>
        <w:spacing w:before="120" w:after="120" w:line="240" w:lineRule="auto"/>
        <w:ind w:left="851" w:hanging="851"/>
        <w:rPr>
          <w:rFonts w:ascii="Arial" w:hAnsi="Arial" w:cs="Arial"/>
          <w:sz w:val="22"/>
          <w:szCs w:val="22"/>
        </w:rPr>
      </w:pPr>
      <w:bookmarkStart w:id="459" w:name="_Toc119937312"/>
      <w:bookmarkStart w:id="460" w:name="_Toc114235842"/>
      <w:bookmarkStart w:id="461" w:name="_Toc86683193"/>
      <w:bookmarkStart w:id="462" w:name="_Toc90729534"/>
      <w:r>
        <w:rPr>
          <w:rFonts w:ascii="Arial" w:hAnsi="Arial" w:cs="Arial"/>
          <w:sz w:val="22"/>
          <w:szCs w:val="22"/>
        </w:rPr>
        <w:t>弱势群体权益保护机构</w:t>
      </w:r>
      <w:bookmarkEnd w:id="459"/>
      <w:bookmarkEnd w:id="460"/>
      <w:bookmarkEnd w:id="461"/>
      <w:bookmarkEnd w:id="462"/>
    </w:p>
    <w:p w14:paraId="502D909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国家、省、县市均设置了乡村振兴局、妇联、民政等部门，负责制定巩固拓展脱贫攻坚</w:t>
      </w:r>
      <w:r>
        <w:rPr>
          <w:rFonts w:hint="eastAsia" w:ascii="Arial" w:hAnsi="Arial" w:cs="Arial"/>
          <w:sz w:val="22"/>
          <w:lang w:eastAsia="zh-CN"/>
        </w:rPr>
        <w:t>成果</w:t>
      </w:r>
      <w:r>
        <w:rPr>
          <w:rFonts w:ascii="Arial" w:hAnsi="Arial" w:cs="Arial"/>
          <w:sz w:val="22"/>
        </w:rPr>
        <w:t>和弱势群体帮扶政策和计划，统筹安排低收入人口帮扶任务、妇女儿童发展规划、残疾人、留守老人和未成年人管理等，各部门均进行了人员安排和预算，并对工作效果进行考核。</w:t>
      </w:r>
    </w:p>
    <w:p w14:paraId="7F121713">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民政局：</w:t>
      </w:r>
      <w:r>
        <w:rPr>
          <w:rFonts w:ascii="Arial" w:hAnsi="Arial" w:cs="Arial"/>
          <w:sz w:val="22"/>
        </w:rPr>
        <w:t>负责管理行政管辖范围内需要帮助的老年人，留守、困境未成年人事务，包括调查统计、建立档案及台账，建立留守（或困境）未成年人地方管理机制，养老服务机制，以及资金保障。</w:t>
      </w:r>
    </w:p>
    <w:p w14:paraId="740C22A5">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妇联：</w:t>
      </w:r>
      <w:r>
        <w:rPr>
          <w:rFonts w:ascii="Arial" w:hAnsi="Arial" w:cs="Arial"/>
          <w:sz w:val="22"/>
        </w:rPr>
        <w:t>负责组织引导妇女在生产生活中发挥独特作用、维护妇女儿童合法权益，为受侵害的妇女儿童提供帮助等。</w:t>
      </w:r>
    </w:p>
    <w:p w14:paraId="1099FFC4">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bookmarkStart w:id="463" w:name="_Hlk78987948"/>
      <w:r>
        <w:rPr>
          <w:rFonts w:ascii="Arial" w:hAnsi="Arial" w:cs="Arial"/>
          <w:b/>
          <w:bCs/>
          <w:sz w:val="22"/>
        </w:rPr>
        <w:t>残联：</w:t>
      </w:r>
      <w:r>
        <w:rPr>
          <w:rFonts w:ascii="Arial" w:hAnsi="Arial" w:cs="Arial"/>
          <w:sz w:val="22"/>
        </w:rPr>
        <w:t>负责维护残疾人的公民权利，听取残疾人意见和需求，为残疾人服务。宣传残疾人事业，动员社会理解、尊重、关心、帮助残疾人，消除歧视、偏见和障碍。协助政府制定实施残疾人事业发展纲要，促进残疾人康复、教育、劳动就业、扶贫、维权、文化体育、社会保障、科技信息化应用和残疾预防等工作，改善残疾人参与社会生活的环境和条件。</w:t>
      </w:r>
    </w:p>
    <w:p w14:paraId="7EF5C45C">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乡村振兴局：</w:t>
      </w:r>
      <w:r>
        <w:rPr>
          <w:rFonts w:ascii="Arial" w:hAnsi="Arial" w:cs="Arial"/>
          <w:sz w:val="22"/>
        </w:rPr>
        <w:t>巩固</w:t>
      </w:r>
      <w:r>
        <w:rPr>
          <w:rFonts w:hint="eastAsia" w:ascii="Arial" w:hAnsi="Arial" w:cs="Arial"/>
          <w:sz w:val="22"/>
          <w:lang w:eastAsia="zh-CN"/>
        </w:rPr>
        <w:t>拓展</w:t>
      </w:r>
      <w:r>
        <w:rPr>
          <w:rFonts w:ascii="Arial" w:hAnsi="Arial" w:cs="Arial"/>
          <w:sz w:val="22"/>
        </w:rPr>
        <w:t>脱贫攻坚成果，防止脱贫不稳定户、边缘易致贫户以及突发严重困难户返贫致贫。</w:t>
      </w:r>
    </w:p>
    <w:bookmarkEnd w:id="463"/>
    <w:p w14:paraId="357B0C89">
      <w:pPr>
        <w:pStyle w:val="76"/>
        <w:widowControl w:val="0"/>
        <w:numPr>
          <w:ilvl w:val="0"/>
          <w:numId w:val="26"/>
        </w:numPr>
        <w:tabs>
          <w:tab w:val="left" w:pos="859"/>
        </w:tabs>
        <w:adjustRightInd w:val="0"/>
        <w:snapToGrid w:val="0"/>
        <w:spacing w:before="120" w:after="120"/>
        <w:ind w:right="326"/>
        <w:jc w:val="both"/>
        <w:rPr>
          <w:rFonts w:ascii="Arial" w:hAnsi="Arial" w:cs="Arial"/>
          <w:sz w:val="22"/>
        </w:rPr>
      </w:pPr>
      <w:r>
        <w:rPr>
          <w:rFonts w:ascii="Arial" w:hAnsi="Arial" w:cs="Arial"/>
          <w:b/>
          <w:bCs/>
          <w:sz w:val="22"/>
        </w:rPr>
        <w:t>乡镇政府、社区/村：</w:t>
      </w:r>
      <w:r>
        <w:rPr>
          <w:rFonts w:ascii="Arial" w:hAnsi="Arial" w:cs="Arial"/>
          <w:sz w:val="22"/>
        </w:rPr>
        <w:t>乡镇配备了留守（或困境）未成年人督导员，村居配备了儿童主任。乡镇成立区域性养老服务中心；村居成立养老服务站点。</w:t>
      </w:r>
      <w:r>
        <w:rPr>
          <w:rFonts w:hint="eastAsia" w:ascii="Arial" w:hAnsi="Arial" w:cs="Arial"/>
          <w:sz w:val="22"/>
          <w:lang w:eastAsia="zh-CN"/>
        </w:rPr>
        <w:t>乡政府</w:t>
      </w:r>
      <w:r>
        <w:rPr>
          <w:rFonts w:ascii="Arial" w:hAnsi="Arial" w:cs="Arial"/>
          <w:sz w:val="22"/>
        </w:rPr>
        <w:t>建立妇联办公室，社区/村建立妇联主席机制。</w:t>
      </w:r>
    </w:p>
    <w:p w14:paraId="4C9CBB3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关于留守老人和未成年人工作由各市县对老年人和儿童工作由“养老服务科</w:t>
      </w:r>
      <w:r>
        <w:rPr>
          <w:rFonts w:hint="eastAsia" w:ascii="Arial" w:hAnsi="Arial" w:cs="Arial"/>
          <w:sz w:val="22"/>
          <w:lang w:eastAsia="zh-CN"/>
        </w:rPr>
        <w:t>”“</w:t>
      </w:r>
      <w:r>
        <w:rPr>
          <w:rFonts w:ascii="Arial" w:hAnsi="Arial" w:cs="Arial"/>
          <w:sz w:val="22"/>
        </w:rPr>
        <w:t>儿童福利科”或“养老服务与儿童福利股”负责，该股配置员工2</w:t>
      </w:r>
      <w:r>
        <w:rPr>
          <w:rFonts w:hint="eastAsia" w:ascii="Arial" w:hAnsi="Arial" w:cs="Arial"/>
          <w:sz w:val="22"/>
          <w:lang w:eastAsia="zh-CN"/>
        </w:rPr>
        <w:t>—</w:t>
      </w:r>
      <w:r>
        <w:rPr>
          <w:rFonts w:ascii="Arial" w:hAnsi="Arial" w:cs="Arial"/>
          <w:sz w:val="22"/>
        </w:rPr>
        <w:t>6人。以湖北省仙桃市民政局为例，该县民政局设立了“养老服务科”，职责包括：承担老年人福利工作，</w:t>
      </w:r>
      <w:r>
        <w:rPr>
          <w:rFonts w:hint="eastAsia" w:ascii="Arial" w:hAnsi="Arial" w:cs="Arial"/>
          <w:sz w:val="22"/>
          <w:lang w:eastAsia="zh-CN"/>
        </w:rPr>
        <w:t>拟定</w:t>
      </w:r>
      <w:r>
        <w:rPr>
          <w:rFonts w:ascii="Arial" w:hAnsi="Arial" w:cs="Arial"/>
          <w:sz w:val="22"/>
        </w:rPr>
        <w:t>全市老年人福利补贴制度和养老服务体系建设规划、政策、标准，协调推进农村留守老年人关爱服务工作，指导全市养老服务、老年人福利、特困人员救助供养机构管理工作；和“儿童福利科”，承担孤儿和事实无人抚养儿童生活补贴发放、收养登记、开展各类关心关爱困境留守儿童活动，以及牵头全市的未成年人保护工作。</w:t>
      </w:r>
      <w:r>
        <w:rPr>
          <w:rFonts w:hint="eastAsia" w:ascii="Arial" w:hAnsi="Arial" w:cs="Arial"/>
          <w:sz w:val="22"/>
          <w:lang w:eastAsia="zh-CN"/>
        </w:rPr>
        <w:t>截至</w:t>
      </w:r>
      <w:r>
        <w:rPr>
          <w:rFonts w:ascii="Arial" w:hAnsi="Arial" w:cs="Arial"/>
          <w:sz w:val="22"/>
        </w:rPr>
        <w:t>2021年末，全市</w:t>
      </w:r>
      <w:r>
        <w:rPr>
          <w:rFonts w:hint="eastAsia" w:ascii="Arial" w:hAnsi="Arial" w:cs="Arial"/>
          <w:sz w:val="22"/>
          <w:lang w:eastAsia="zh-CN"/>
        </w:rPr>
        <w:t>共有</w:t>
      </w:r>
      <w:r>
        <w:rPr>
          <w:rFonts w:ascii="Arial" w:hAnsi="Arial" w:cs="Arial"/>
          <w:sz w:val="22"/>
        </w:rPr>
        <w:t>60周岁以上老年人33.3万人，80周岁以上高龄老人3.65万人，经济困难的高龄（失能）老人1092人，农村留守老人1148人；未成年人21.34万人，留守儿童2523人，孤儿55人，其中散居孤儿45人，福利院集中供养孤儿10人，事实无人抚养儿童289人。此外，仙桃市民政局还联合9部门成立了仙桃市农村留守老年人关爱服务工作领导小组，负责</w:t>
      </w:r>
      <w:r>
        <w:rPr>
          <w:rFonts w:hint="eastAsia" w:ascii="Arial" w:hAnsi="Arial" w:cs="Arial"/>
          <w:sz w:val="22"/>
          <w:lang w:eastAsia="zh-CN"/>
        </w:rPr>
        <w:t>拟订</w:t>
      </w:r>
      <w:r>
        <w:rPr>
          <w:rFonts w:ascii="Arial" w:hAnsi="Arial" w:cs="Arial"/>
          <w:sz w:val="22"/>
        </w:rPr>
        <w:t>农村留守</w:t>
      </w:r>
      <w:r>
        <w:rPr>
          <w:rFonts w:hint="eastAsia" w:ascii="Arial" w:hAnsi="Arial" w:cs="Arial"/>
          <w:sz w:val="22"/>
          <w:lang w:eastAsia="zh-CN"/>
        </w:rPr>
        <w:t>老年</w:t>
      </w:r>
      <w:r>
        <w:rPr>
          <w:rFonts w:ascii="Arial" w:hAnsi="Arial" w:cs="Arial"/>
          <w:sz w:val="22"/>
        </w:rPr>
        <w:t>人关爱服务工作实施方案和救助保护机制等相关政策以及农村留守</w:t>
      </w:r>
      <w:r>
        <w:rPr>
          <w:rFonts w:hint="eastAsia" w:ascii="Arial" w:hAnsi="Arial" w:cs="Arial"/>
          <w:sz w:val="22"/>
          <w:lang w:eastAsia="zh-CN"/>
        </w:rPr>
        <w:t>老年</w:t>
      </w:r>
      <w:r>
        <w:rPr>
          <w:rFonts w:ascii="Arial" w:hAnsi="Arial" w:cs="Arial"/>
          <w:sz w:val="22"/>
        </w:rPr>
        <w:t>人关爱服务工作的推进和综合协调等工作；提请市政府联合33个成员单位成立了未成年人保护工作领导小组，实施困境、留守儿童关爱保护社会工作服务、课外特长公益培训等工作。民政局与各乡镇政府和社区/村配合实施，在全市22乡镇（街道）和700个村/社区都要配置至少一名负责留守老人和未成年人事务的人员，如儿童福利督导员和儿童福利主任。</w:t>
      </w:r>
    </w:p>
    <w:p w14:paraId="33C6DF7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各县市巩固拓展脱贫攻坚成果同乡村振兴有效衔接工作通常由乡村振兴局负责，配置人员20人左右，但各县市都在县市政府成立了类似</w:t>
      </w:r>
      <w:r>
        <w:rPr>
          <w:rFonts w:hint="eastAsia" w:ascii="Arial" w:hAnsi="Arial" w:cs="Arial"/>
          <w:sz w:val="22"/>
          <w:lang w:eastAsia="zh-CN"/>
        </w:rPr>
        <w:t>脱贫攻坚</w:t>
      </w:r>
      <w:r>
        <w:rPr>
          <w:rFonts w:ascii="Arial" w:hAnsi="Arial" w:cs="Arial"/>
          <w:sz w:val="22"/>
        </w:rPr>
        <w:t>领导小组</w:t>
      </w:r>
      <w:r>
        <w:rPr>
          <w:rFonts w:hint="eastAsia" w:ascii="Arial" w:hAnsi="Arial" w:cs="Arial"/>
          <w:sz w:val="22"/>
          <w:lang w:eastAsia="zh-CN"/>
        </w:rPr>
        <w:t>“</w:t>
      </w:r>
      <w:r>
        <w:rPr>
          <w:rFonts w:ascii="Arial" w:hAnsi="Arial" w:cs="Arial"/>
          <w:sz w:val="22"/>
        </w:rPr>
        <w:t>乡村振兴战略指挥部”等协调机构，由县市政府和各政府部门主要领导组成，根据工作需要和推进情况，不定期组织召开行业部门会商会议。例如湖南省慈利县成立了以县政府一把手牵头，各行业主管部门、协会、企业为成员的乡村振兴战略指挥部，下设“巩固</w:t>
      </w:r>
      <w:r>
        <w:rPr>
          <w:rFonts w:hint="eastAsia" w:ascii="Arial" w:hAnsi="Arial" w:cs="Arial"/>
          <w:sz w:val="22"/>
          <w:lang w:eastAsia="zh-CN"/>
        </w:rPr>
        <w:t>拓展</w:t>
      </w:r>
      <w:r>
        <w:rPr>
          <w:rFonts w:ascii="Arial" w:hAnsi="Arial" w:cs="Arial"/>
          <w:sz w:val="22"/>
        </w:rPr>
        <w:t>脱贫攻坚成果分指挥部”，负责落实全国信息系统数据质量情况和省平台使用管理，做好防止返贫致贫动态监测和帮扶工作，建立健全易返贫致贫人口快速发现和响应机制，实施网格化管理，分层分类及时按程序纳入帮扶政策范围，针对性落实教育保障、健康保障、住房保障、兜底保障、安全饮水、就业帮扶、金融帮扶、易地扶贫搬迁后续帮扶等各项帮扶政策，做到早发现、早干预、早帮扶，持续巩固</w:t>
      </w:r>
      <w:r>
        <w:rPr>
          <w:rFonts w:hint="eastAsia" w:ascii="Arial" w:hAnsi="Arial" w:cs="Arial"/>
          <w:sz w:val="22"/>
          <w:lang w:eastAsia="zh-CN"/>
        </w:rPr>
        <w:t>拓展</w:t>
      </w:r>
      <w:r>
        <w:rPr>
          <w:rFonts w:ascii="Arial" w:hAnsi="Arial" w:cs="Arial"/>
          <w:sz w:val="22"/>
        </w:rPr>
        <w:t>脱贫攻坚成果，防止返贫现象发生。</w:t>
      </w:r>
    </w:p>
    <w:p w14:paraId="6F785BD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对不同类型弱势群体的管理，国内都有专门的管理部门，如低收入人群扶持问题由乡村振兴局主管，残疾人由残联，留守老人和未成年人由民政局主管，妇女权益由妇联管理。各部门人员配置较灵活，除政府在编人员外，各地可根据实际需要聘用额外工作人员，且预算资金能够保障。因此，国家和地方在对弱势群体权益的保护和扶持上，机构分工明确，且各单位的管理能力满足世行政策原则5中的要求。</w:t>
      </w:r>
    </w:p>
    <w:p w14:paraId="7768C928">
      <w:pPr>
        <w:pStyle w:val="3"/>
        <w:numPr>
          <w:ilvl w:val="1"/>
          <w:numId w:val="21"/>
        </w:numPr>
        <w:rPr>
          <w:color w:val="1F4E79" w:themeColor="accent5" w:themeShade="80"/>
          <w:sz w:val="24"/>
        </w:rPr>
      </w:pPr>
      <w:bookmarkStart w:id="464" w:name="_Toc119937313"/>
      <w:bookmarkStart w:id="465" w:name="_Toc79939264"/>
      <w:bookmarkStart w:id="466" w:name="_Toc114235843"/>
      <w:bookmarkStart w:id="467" w:name="_Toc90729535"/>
      <w:r>
        <w:rPr>
          <w:color w:val="1F4E79" w:themeColor="accent5" w:themeShade="80"/>
          <w:sz w:val="24"/>
        </w:rPr>
        <w:t>社会实践效果评估</w:t>
      </w:r>
      <w:bookmarkEnd w:id="464"/>
      <w:bookmarkEnd w:id="465"/>
      <w:bookmarkEnd w:id="466"/>
      <w:bookmarkEnd w:id="467"/>
    </w:p>
    <w:p w14:paraId="09F9F34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社会实践效果评估主要依据示范和样本县获得的资料，样本县的抽取考虑了湖北和湖南两省的地理区域分布和经济发展水平差异，代表性的少数民族自治县，例如湖南省</w:t>
      </w:r>
      <w:r>
        <w:rPr>
          <w:rFonts w:hint="eastAsia" w:ascii="Arial" w:hAnsi="Arial" w:cs="Arial"/>
          <w:sz w:val="22"/>
          <w:lang w:eastAsia="zh-CN"/>
        </w:rPr>
        <w:t>慈利县</w:t>
      </w:r>
      <w:r>
        <w:rPr>
          <w:rFonts w:ascii="Arial" w:hAnsi="Arial" w:cs="Arial"/>
          <w:sz w:val="22"/>
        </w:rPr>
        <w:t>少数民族人口占全县</w:t>
      </w:r>
      <w:r>
        <w:rPr>
          <w:rFonts w:hint="eastAsia" w:ascii="Arial" w:hAnsi="Arial" w:cs="Arial"/>
          <w:sz w:val="22"/>
          <w:lang w:eastAsia="zh-CN"/>
        </w:rPr>
        <w:t>常住人口</w:t>
      </w:r>
      <w:r>
        <w:rPr>
          <w:rFonts w:ascii="Arial" w:hAnsi="Arial" w:cs="Arial"/>
          <w:sz w:val="22"/>
        </w:rPr>
        <w:t>的比例是61%，从而代表了不同区域的主要社会特征。采用了关于过往类似活动实施过程中的评价和社会风险管理效果等资料，还考察了这些过去已实施活动的社会风险管理过程和效果。在各样本县实地考察期间，均对主要的利益相关方进行访谈，交叉了解他们对相关活动的态度和实施满意情况。社会风险评估以典型样本案例为切入点，重点分析与世行原则一致的政策落实情况，评估是否能满足核心原则和要素规定的目标。因此，本部分将对照6个核心原则和社会相关性要素，进行分析评估。</w:t>
      </w:r>
    </w:p>
    <w:p w14:paraId="54F5B17F">
      <w:pPr>
        <w:pStyle w:val="4"/>
        <w:numPr>
          <w:ilvl w:val="2"/>
          <w:numId w:val="29"/>
        </w:numPr>
        <w:adjustRightInd w:val="0"/>
        <w:snapToGrid w:val="0"/>
        <w:spacing w:before="120" w:after="120" w:line="240" w:lineRule="auto"/>
        <w:ind w:left="709" w:hanging="709"/>
        <w:rPr>
          <w:rFonts w:ascii="Arial" w:hAnsi="Arial" w:cs="Arial"/>
          <w:sz w:val="22"/>
          <w:szCs w:val="22"/>
        </w:rPr>
      </w:pPr>
      <w:bookmarkStart w:id="468" w:name="_Toc90729536"/>
      <w:r>
        <w:rPr>
          <w:rFonts w:ascii="Arial" w:hAnsi="Arial" w:cs="Arial"/>
          <w:sz w:val="22"/>
          <w:szCs w:val="22"/>
        </w:rPr>
        <w:tab/>
      </w:r>
      <w:bookmarkStart w:id="469" w:name="_Toc119937314"/>
      <w:bookmarkStart w:id="470" w:name="_Toc114235844"/>
      <w:r>
        <w:rPr>
          <w:rFonts w:ascii="Arial" w:hAnsi="Arial" w:cs="Arial"/>
          <w:sz w:val="22"/>
          <w:szCs w:val="22"/>
        </w:rPr>
        <w:t>核心原则1：可持续的社会风险管理体系</w:t>
      </w:r>
      <w:bookmarkEnd w:id="468"/>
      <w:bookmarkEnd w:id="469"/>
      <w:bookmarkEnd w:id="470"/>
    </w:p>
    <w:p w14:paraId="70A72768">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要素1：</w:t>
      </w:r>
      <w:r>
        <w:rPr>
          <w:rFonts w:ascii="Arial" w:hAnsi="Arial" w:eastAsia="宋体" w:cs="Arial"/>
          <w:lang w:eastAsia="zh-CN"/>
        </w:rPr>
        <w:t>在项目层面，法律框架和管理机构能够充分地指导社会评估。</w:t>
      </w:r>
    </w:p>
    <w:p w14:paraId="579FAB8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本项目支持的活动中，一部分活动不涉及土建工程和土地使用问题，例如1</w:t>
      </w:r>
      <w:r>
        <w:rPr>
          <w:rFonts w:hint="eastAsia" w:ascii="Arial" w:hAnsi="Arial" w:cs="Arial"/>
          <w:sz w:val="22"/>
          <w:lang w:eastAsia="zh-CN"/>
        </w:rPr>
        <w:t>）</w:t>
      </w:r>
      <w:r>
        <w:rPr>
          <w:rFonts w:ascii="Arial" w:hAnsi="Arial" w:cs="Arial"/>
          <w:sz w:val="22"/>
        </w:rPr>
        <w:t>农药、化肥减量，发展绿色、有机农业种植业，2</w:t>
      </w:r>
      <w:r>
        <w:rPr>
          <w:rFonts w:hint="eastAsia" w:ascii="Arial" w:hAnsi="Arial" w:cs="Arial"/>
          <w:sz w:val="22"/>
          <w:lang w:eastAsia="zh-CN"/>
        </w:rPr>
        <w:t>）</w:t>
      </w:r>
      <w:r>
        <w:rPr>
          <w:rFonts w:ascii="Arial" w:hAnsi="Arial" w:cs="Arial"/>
          <w:sz w:val="22"/>
        </w:rPr>
        <w:t>秸秆收集与综合利用，3</w:t>
      </w:r>
      <w:r>
        <w:rPr>
          <w:rFonts w:hint="eastAsia" w:ascii="Arial" w:hAnsi="Arial" w:cs="Arial"/>
          <w:sz w:val="22"/>
          <w:lang w:eastAsia="zh-CN"/>
        </w:rPr>
        <w:t>）</w:t>
      </w:r>
      <w:r>
        <w:rPr>
          <w:rFonts w:ascii="Arial" w:hAnsi="Arial" w:cs="Arial"/>
          <w:sz w:val="22"/>
        </w:rPr>
        <w:t>垃圾分类收集，和4</w:t>
      </w:r>
      <w:r>
        <w:rPr>
          <w:rFonts w:hint="eastAsia" w:ascii="Arial" w:hAnsi="Arial" w:cs="Arial"/>
          <w:sz w:val="22"/>
          <w:lang w:eastAsia="zh-CN"/>
        </w:rPr>
        <w:t>）</w:t>
      </w:r>
      <w:r>
        <w:rPr>
          <w:rFonts w:ascii="Arial" w:hAnsi="Arial" w:cs="Arial"/>
          <w:sz w:val="22"/>
        </w:rPr>
        <w:t>废旧农用塑料（农膜、农药和化肥包装废弃物等）收集，这些活动的实施对农户不会造成直接的损失，而是提升农户的环保意识，逐渐改变其耕作方式、生活习惯，这种改变需要农户掌握一定的生产生活方法，提升自身能力。针对这种影响，从农业农村部到各项目省市，通过建立农民培训体系，再</w:t>
      </w:r>
      <w:r>
        <w:rPr>
          <w:rFonts w:hint="eastAsia" w:ascii="Arial" w:hAnsi="Arial" w:cs="Arial"/>
          <w:sz w:val="22"/>
          <w:lang w:eastAsia="zh-CN"/>
        </w:rPr>
        <w:t>加上</w:t>
      </w:r>
      <w:r>
        <w:rPr>
          <w:rFonts w:ascii="Arial" w:hAnsi="Arial" w:cs="Arial"/>
          <w:sz w:val="22"/>
        </w:rPr>
        <w:t>一系列技术支持、政策引导等方式，帮助农户加快提升和转变。如：</w:t>
      </w:r>
    </w:p>
    <w:p w14:paraId="23853A48">
      <w:pPr>
        <w:pStyle w:val="66"/>
        <w:adjustRightInd w:val="0"/>
        <w:snapToGrid w:val="0"/>
        <w:spacing w:before="120" w:after="120"/>
        <w:rPr>
          <w:rFonts w:ascii="Arial" w:hAnsi="Arial" w:eastAsia="宋体" w:cs="Arial"/>
          <w:i/>
          <w:iCs/>
          <w:lang w:eastAsia="zh-CN"/>
        </w:rPr>
      </w:pPr>
      <w:r>
        <w:rPr>
          <w:rFonts w:ascii="Arial" w:hAnsi="Arial" w:eastAsia="宋体" w:cs="Arial"/>
          <w:b/>
          <w:bCs/>
          <w:i/>
          <w:iCs/>
          <w:lang w:eastAsia="zh-CN"/>
        </w:rPr>
        <w:t>教育培训：</w:t>
      </w:r>
    </w:p>
    <w:p w14:paraId="4919B1E0">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农民培训机制：i</w:t>
      </w:r>
      <w:r>
        <w:rPr>
          <w:rFonts w:hint="eastAsia" w:ascii="Arial" w:hAnsi="Arial" w:eastAsia="宋体" w:cs="Arial"/>
          <w:b/>
          <w:bCs/>
          <w:lang w:eastAsia="zh-CN"/>
        </w:rPr>
        <w:t>）</w:t>
      </w:r>
      <w:r>
        <w:rPr>
          <w:rFonts w:ascii="Arial" w:hAnsi="Arial" w:eastAsia="宋体" w:cs="Arial"/>
          <w:b/>
          <w:bCs/>
          <w:lang w:eastAsia="zh-CN"/>
        </w:rPr>
        <w:t xml:space="preserve"> 整体部署，</w:t>
      </w:r>
      <w:r>
        <w:rPr>
          <w:rFonts w:ascii="Arial" w:hAnsi="Arial" w:eastAsia="宋体" w:cs="Arial"/>
          <w:lang w:eastAsia="zh-CN"/>
        </w:rPr>
        <w:t>针对农民增收、生产技术提升、农业环保及健康安全等相关的培训，是中国国家和地方长期坚持实施的重要农业工作之一。该项工作通过农业农村部到各省、市、县，统一部署和安排，每年都在各县市履行，纳入农业农村部门日常工作的考核。例如2022年4月农业农村部颁布《农业农村部办公厅关于做好2022年高素质农民培育工作的通知》，提出2022年度全国高素质农民培训的工作思路、主要任务、专项行动和工作要求；各省、市根据国家的总体部署，结合本省和本地区的实际情况制定本地区的年度工作方案，如湖北省农业农村厅于2022年3月颁布了《2022年湖北省农业农村工作要点的通知》。湖南省农业农村厅办公室2022年6月印发《湖南省2022年乡村产业振兴带头人培育“头雁”项目实施方案》的通知。</w:t>
      </w:r>
      <w:r>
        <w:rPr>
          <w:rFonts w:hint="eastAsia" w:ascii="Arial" w:hAnsi="Arial" w:eastAsia="宋体" w:cs="Arial"/>
          <w:lang w:eastAsia="zh-CN"/>
        </w:rPr>
        <w:t>ⅱ</w:t>
      </w:r>
      <w:r>
        <w:rPr>
          <w:rFonts w:ascii="Arial" w:hAnsi="Arial" w:eastAsia="宋体" w:cs="Arial"/>
          <w:b/>
          <w:bCs/>
          <w:lang w:eastAsia="zh-CN"/>
        </w:rPr>
        <w:t>）机构设置</w:t>
      </w:r>
      <w:r>
        <w:rPr>
          <w:rFonts w:ascii="Arial" w:hAnsi="Arial" w:eastAsia="宋体" w:cs="Arial"/>
          <w:lang w:eastAsia="zh-CN"/>
        </w:rPr>
        <w:t>，农民培训由各区县农业农村局负责实施，各县农业农村部门通常安排专门的部门负责，有些县还成立了“高素质农民培育工作领导小组”，例如湖南省衡南县成立了新型职业农民培育工程领导小组办公室等。</w:t>
      </w:r>
      <w:r>
        <w:rPr>
          <w:rFonts w:hint="eastAsia" w:ascii="Arial" w:hAnsi="Arial" w:eastAsia="宋体" w:cs="Arial"/>
          <w:lang w:eastAsia="zh-CN"/>
        </w:rPr>
        <w:t>ⅲ</w:t>
      </w:r>
      <w:r>
        <w:rPr>
          <w:rFonts w:ascii="Arial" w:hAnsi="Arial" w:eastAsia="宋体" w:cs="Arial"/>
          <w:b/>
          <w:bCs/>
          <w:lang w:eastAsia="zh-CN"/>
        </w:rPr>
        <w:t>）预算准备，</w:t>
      </w:r>
      <w:r>
        <w:rPr>
          <w:rFonts w:ascii="Arial" w:hAnsi="Arial" w:eastAsia="宋体" w:cs="Arial"/>
          <w:lang w:eastAsia="zh-CN"/>
        </w:rPr>
        <w:t>农民培训都是免费培训，包括参加培训人员的餐饮、住宿补贴等培训期间的费用，培训预算每年主要由中央及省级财政资金保障，例如湖北省仙桃市2020和2021年高素质农民培训的预算分别为93万元和105万元。培育资金通常大部分用于农民课堂培训及实训、参观学习，如湖南省衡南县规定该部分不低于80%，其余用于跟踪服务、招生。</w:t>
      </w:r>
      <w:r>
        <w:rPr>
          <w:rFonts w:hint="eastAsia" w:ascii="Arial" w:hAnsi="Arial" w:eastAsia="宋体" w:cs="Arial"/>
          <w:lang w:eastAsia="zh-CN"/>
        </w:rPr>
        <w:t>ⅳ</w:t>
      </w:r>
      <w:r>
        <w:rPr>
          <w:rFonts w:ascii="Arial" w:hAnsi="Arial" w:eastAsia="宋体" w:cs="Arial"/>
          <w:b/>
          <w:bCs/>
          <w:lang w:eastAsia="zh-CN"/>
        </w:rPr>
        <w:t>）自愿申请，</w:t>
      </w:r>
      <w:r>
        <w:rPr>
          <w:rFonts w:ascii="Arial" w:hAnsi="Arial" w:eastAsia="宋体" w:cs="Arial"/>
          <w:lang w:eastAsia="zh-CN"/>
        </w:rPr>
        <w:t>有意愿参加培训的农民，可通过向当地村社申请，也可直接在本地农业农村部门的官方网站或APP系统申请。有意参加农民教育的人员，可在中国农村远程教育网或湖北湖南各地相关农科教云平台APP报名参加培训。</w:t>
      </w:r>
      <w:r>
        <w:rPr>
          <w:rFonts w:ascii="Arial" w:hAnsi="Arial" w:eastAsia="宋体" w:cs="Arial"/>
          <w:b/>
          <w:bCs/>
          <w:lang w:eastAsia="zh-CN"/>
        </w:rPr>
        <w:t>v</w:t>
      </w:r>
      <w:r>
        <w:rPr>
          <w:rFonts w:hint="eastAsia" w:ascii="Arial" w:hAnsi="Arial" w:eastAsia="宋体" w:cs="Arial"/>
          <w:b/>
          <w:bCs/>
          <w:lang w:eastAsia="zh-CN"/>
        </w:rPr>
        <w:t>）</w:t>
      </w:r>
      <w:r>
        <w:rPr>
          <w:rFonts w:ascii="Arial" w:hAnsi="Arial" w:eastAsia="宋体" w:cs="Arial"/>
          <w:b/>
          <w:bCs/>
          <w:lang w:eastAsia="zh-CN"/>
        </w:rPr>
        <w:t>培训师资，</w:t>
      </w:r>
      <w:r>
        <w:rPr>
          <w:rFonts w:ascii="Arial" w:hAnsi="Arial" w:eastAsia="宋体" w:cs="Arial"/>
          <w:lang w:eastAsia="zh-CN"/>
        </w:rPr>
        <w:t>所有授课教师必须从农业农村部公布的师资库中遴选产生，优先选用各级有关部门推荐的各类优秀教师，不能无证上岗（即教师资质证、公职人员经单位认可的有效资质、职级或职称证明），每个班省级以上师资（含高等职业或高等院校符合标准师资）数量原则上不低于二分之一。</w:t>
      </w:r>
    </w:p>
    <w:p w14:paraId="79C9B06B">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培训的内容</w:t>
      </w:r>
      <w:r>
        <w:rPr>
          <w:rFonts w:hint="eastAsia" w:ascii="Arial" w:hAnsi="Arial" w:eastAsia="宋体" w:cs="Arial"/>
          <w:b/>
          <w:bCs/>
          <w:lang w:eastAsia="zh-CN"/>
        </w:rPr>
        <w:t>：</w:t>
      </w:r>
      <w:r>
        <w:rPr>
          <w:rFonts w:ascii="Arial" w:hAnsi="Arial" w:eastAsia="宋体" w:cs="Arial"/>
          <w:lang w:eastAsia="zh-CN"/>
        </w:rPr>
        <w:t>随着农业农村经济水平的提升、时代的进步、农村地区社会、经济、生态环境等方面的发展而不断演进。例如2003年“农村致富带头人技能培训”致富奔小康，着重于农民增收致富；近年来，随着农民生产生活水平提高和人们对环境保护意识的提高，在追求经济发展量增长的同时，也要求提高环境和社会质量的提升，因此，新时期农民培训的主体也演变为追求“高质量”“高素质”上来。《2022年湖北省农业农村工作要点的通知》计划2022年在全省新培训3万名农民，培训的课程包括农作物种植、畜禽养殖等，各种课程中同时包含了有机肥使用、面源污染防控、农膜管理等内容。《湖南省2022年乡村产业振兴带头人培育“头雁”项目实施方案》则通过新型农业发展带头人的引领作用，以小带大、以点带面，推进农民在农业发展中履行环境和社会责任。</w:t>
      </w:r>
    </w:p>
    <w:p w14:paraId="4981F51A">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从教育培训的执行绩效看，</w:t>
      </w:r>
      <w:r>
        <w:rPr>
          <w:rFonts w:ascii="Arial" w:hAnsi="Arial" w:eastAsia="宋体" w:cs="Arial"/>
          <w:lang w:eastAsia="zh-CN"/>
        </w:rPr>
        <w:t>湖北省仙桃市2021年培训8次，培训人数932人；</w:t>
      </w:r>
      <w:r>
        <w:rPr>
          <w:rFonts w:hint="eastAsia" w:ascii="Arial" w:hAnsi="Arial" w:eastAsia="宋体" w:cs="Arial"/>
          <w:lang w:eastAsia="zh-CN"/>
        </w:rPr>
        <w:t>湖南省衡南县</w:t>
      </w:r>
      <w:r>
        <w:rPr>
          <w:rFonts w:ascii="Arial" w:hAnsi="Arial" w:eastAsia="宋体" w:cs="Arial"/>
          <w:lang w:eastAsia="zh-CN"/>
        </w:rPr>
        <w:t>2021年培养农民人数400人，湖南省澧县2021年集中举办了6期新型农业经营主体带头人和技能服务型（新农商带头人）培训6期，培训人数达400人，其中</w:t>
      </w:r>
      <w:r>
        <w:rPr>
          <w:rFonts w:hint="eastAsia" w:ascii="Arial" w:hAnsi="Arial" w:eastAsia="宋体" w:cs="Arial"/>
          <w:lang w:eastAsia="zh-CN"/>
        </w:rPr>
        <w:t>共有</w:t>
      </w:r>
      <w:r>
        <w:rPr>
          <w:rFonts w:ascii="Arial" w:hAnsi="Arial" w:eastAsia="宋体" w:cs="Arial"/>
          <w:lang w:eastAsia="zh-CN"/>
        </w:rPr>
        <w:t>112名女学员。</w:t>
      </w:r>
    </w:p>
    <w:p w14:paraId="19A4C695">
      <w:pPr>
        <w:pStyle w:val="66"/>
        <w:adjustRightInd w:val="0"/>
        <w:snapToGrid w:val="0"/>
        <w:spacing w:before="120" w:after="120"/>
        <w:rPr>
          <w:rFonts w:ascii="Arial" w:hAnsi="Arial" w:eastAsia="宋体" w:cs="Arial"/>
          <w:b/>
          <w:bCs/>
          <w:i/>
          <w:iCs/>
          <w:lang w:eastAsia="zh-CN"/>
        </w:rPr>
      </w:pPr>
      <w:r>
        <w:rPr>
          <w:rFonts w:ascii="Arial" w:hAnsi="Arial" w:eastAsia="宋体" w:cs="Arial"/>
          <w:b/>
          <w:bCs/>
          <w:i/>
          <w:iCs/>
          <w:lang w:eastAsia="zh-CN"/>
        </w:rPr>
        <w:t>技术支持</w:t>
      </w:r>
    </w:p>
    <w:p w14:paraId="6162F754">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政府的技术支持：</w:t>
      </w:r>
      <w:r>
        <w:rPr>
          <w:rFonts w:ascii="Arial" w:hAnsi="Arial" w:eastAsia="宋体" w:cs="Arial"/>
          <w:lang w:eastAsia="zh-CN"/>
        </w:rPr>
        <w:t>在湖北和湖南6个样本县调研期间，各县农业农村部门均有专门的科室，负责农业科技的田间培训和指导。这些科室包括各县市农业农村局的土肥站、植保站，再加上各乡镇都配置有农业事务服务中心的人员，通常每次1</w:t>
      </w:r>
      <w:r>
        <w:rPr>
          <w:rFonts w:hint="eastAsia" w:ascii="Arial" w:hAnsi="Arial" w:eastAsia="宋体" w:cs="Arial"/>
          <w:lang w:eastAsia="zh-CN"/>
        </w:rPr>
        <w:t>—</w:t>
      </w:r>
      <w:r>
        <w:rPr>
          <w:rFonts w:ascii="Arial" w:hAnsi="Arial" w:eastAsia="宋体" w:cs="Arial"/>
          <w:lang w:eastAsia="zh-CN"/>
        </w:rPr>
        <w:t>2名技术人员，在每年冬季中后期到第二年春季的播种期（每年11月至次年2月），和大田管理阶段（每年2月至8月），</w:t>
      </w:r>
      <w:r>
        <w:rPr>
          <w:rFonts w:hint="eastAsia" w:ascii="Arial" w:hAnsi="Arial" w:eastAsia="宋体" w:cs="Arial"/>
          <w:lang w:eastAsia="zh-CN"/>
        </w:rPr>
        <w:t>巡访</w:t>
      </w:r>
      <w:r>
        <w:rPr>
          <w:rFonts w:ascii="Arial" w:hAnsi="Arial" w:eastAsia="宋体" w:cs="Arial"/>
          <w:lang w:eastAsia="zh-CN"/>
        </w:rPr>
        <w:t>本辖区的农村和农田，提供技术指导和支持。指导内容包括农业技术，也包括推行环保型的种植模式，尽量减少农药化肥的使用，农业废弃物的回收。指导对象包括所有农业生产经营户。</w:t>
      </w:r>
    </w:p>
    <w:p w14:paraId="2CB72A02">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农业合作社的引导作用：</w:t>
      </w:r>
      <w:r>
        <w:rPr>
          <w:rFonts w:ascii="Arial" w:hAnsi="Arial" w:eastAsia="宋体" w:cs="Arial"/>
          <w:lang w:eastAsia="zh-CN"/>
        </w:rPr>
        <w:t>在调研期间发现，无论是湖北还是湖南，越来越多的农业经营推行合作社加农户的模式，即某个农业合作社通过土地流转的方式，经营面积几百到几千亩的农业种植或养殖，同时，每个合作社还带动其他十几户或几十户小农户，根据合作社的计划、标准进行种养，由该合作社收购农业产品，统一对外销售。为了提高农产品的质量、品牌效力和价格，各合作社带领小农户，使用绿色环保的方式开展</w:t>
      </w:r>
      <w:r>
        <w:rPr>
          <w:rFonts w:hint="eastAsia" w:ascii="Arial" w:hAnsi="Arial" w:eastAsia="宋体" w:cs="Arial"/>
          <w:lang w:eastAsia="zh-CN"/>
        </w:rPr>
        <w:t>种植养殖</w:t>
      </w:r>
      <w:r>
        <w:rPr>
          <w:rFonts w:ascii="Arial" w:hAnsi="Arial" w:eastAsia="宋体" w:cs="Arial"/>
          <w:lang w:eastAsia="zh-CN"/>
        </w:rPr>
        <w:t>。如湖南省衡南县某柑橘种植合作社，在租赁村集体170亩耕地种植柑橘的同时，还带领周边20多户小农户，根据本合作社的种植标准，带动更大范围的环保农业种植；湖北省洪湖市老渔民养蟹的合作社，租赁农户500亩水域从事蟹养殖，同时指导周边30多户农户根据本合作社的标准养殖。不论是种植和养殖，这些合作社又纷纷加入本县农业农村部门正在创建的地理标志的申请。根据《农产品地理标志管理办法》，申请人应当根据申请登记的农产品产地环境特性和产品品质典型特征，制定相应的质量控制技术规范，包括产地环境条件、生产技术规范和质量安全技术规范。附件7</w:t>
      </w:r>
      <w:r>
        <w:rPr>
          <w:rFonts w:ascii="Arial" w:hAnsi="Arial" w:eastAsia="宋体" w:cs="Arial"/>
          <w:lang w:eastAsia="zh-CN"/>
        </w:rPr>
        <w:fldChar w:fldCharType="begin"/>
      </w:r>
      <w:r>
        <w:rPr>
          <w:rFonts w:ascii="Arial" w:hAnsi="Arial" w:eastAsia="宋体" w:cs="Arial"/>
          <w:lang w:eastAsia="zh-CN"/>
        </w:rPr>
        <w:instrText xml:space="preserve"> REF _Ref114588666 \h  \* MERGEFORMAT </w:instrText>
      </w:r>
      <w:r>
        <w:rPr>
          <w:rFonts w:ascii="Arial" w:hAnsi="Arial" w:eastAsia="宋体" w:cs="Arial"/>
          <w:lang w:eastAsia="zh-CN"/>
        </w:rPr>
        <w:fldChar w:fldCharType="separate"/>
      </w:r>
      <w:r>
        <w:rPr>
          <w:rFonts w:ascii="Arial" w:hAnsi="Arial" w:eastAsia="宋体" w:cs="Arial"/>
          <w:lang w:eastAsia="zh-CN"/>
        </w:rPr>
        <w:t>图 16</w:t>
      </w:r>
      <w:r>
        <w:rPr>
          <w:rFonts w:ascii="Arial" w:hAnsi="Arial" w:eastAsia="宋体" w:cs="Arial"/>
          <w:lang w:eastAsia="zh-CN"/>
        </w:rPr>
        <w:fldChar w:fldCharType="end"/>
      </w:r>
      <w:r>
        <w:rPr>
          <w:rFonts w:ascii="Arial" w:hAnsi="Arial" w:eastAsia="宋体" w:cs="Arial"/>
          <w:lang w:eastAsia="zh-CN"/>
        </w:rPr>
        <w:t>显示的是湖北省仙桃市阿尔迪绿色农业种植中采用生物手段控制病虫害的实例。据该合作社的负责人介绍，合作社1700亩地，没有</w:t>
      </w:r>
      <w:r>
        <w:rPr>
          <w:rFonts w:hint="eastAsia" w:ascii="Arial" w:hAnsi="Arial" w:eastAsia="宋体" w:cs="Arial"/>
          <w:lang w:eastAsia="zh-CN"/>
        </w:rPr>
        <w:t>采取</w:t>
      </w:r>
      <w:r>
        <w:rPr>
          <w:rFonts w:ascii="Arial" w:hAnsi="Arial" w:eastAsia="宋体" w:cs="Arial"/>
          <w:lang w:eastAsia="zh-CN"/>
        </w:rPr>
        <w:t>任何农药等化学防控措施。</w:t>
      </w:r>
    </w:p>
    <w:p w14:paraId="09D35610">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农业科技支持：</w:t>
      </w:r>
      <w:r>
        <w:rPr>
          <w:rFonts w:ascii="Arial" w:hAnsi="Arial" w:eastAsia="宋体" w:cs="Arial"/>
          <w:lang w:eastAsia="zh-CN"/>
        </w:rPr>
        <w:t>科技支持为农民转变和提升经营方式创造了有利条件。例如湖南省建立了“湖南手机测土配方施肥系统”，从2022年开始，农户可通过该系统的测土配方施肥APP，输入自己计划的种植业类型、预期产量等参数，APP会自动定位该区域并与该地区测土配方的最新成果比对，从而为农户提供最佳施肥方案。</w:t>
      </w:r>
    </w:p>
    <w:p w14:paraId="0B99544B">
      <w:pPr>
        <w:pStyle w:val="66"/>
        <w:adjustRightInd w:val="0"/>
        <w:snapToGrid w:val="0"/>
        <w:spacing w:before="120" w:after="120"/>
        <w:rPr>
          <w:rFonts w:ascii="Arial" w:hAnsi="Arial" w:eastAsia="宋体" w:cs="Arial"/>
          <w:b/>
          <w:bCs/>
          <w:i/>
          <w:iCs/>
          <w:lang w:eastAsia="zh-CN"/>
        </w:rPr>
      </w:pPr>
      <w:r>
        <w:rPr>
          <w:rFonts w:ascii="Arial" w:hAnsi="Arial" w:eastAsia="宋体" w:cs="Arial"/>
          <w:b/>
          <w:bCs/>
          <w:i/>
          <w:iCs/>
          <w:lang w:eastAsia="zh-CN"/>
        </w:rPr>
        <w:t>政策引导与示范：</w:t>
      </w:r>
    </w:p>
    <w:p w14:paraId="144388BB">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秸秆：</w:t>
      </w:r>
      <w:r>
        <w:rPr>
          <w:rFonts w:ascii="Arial" w:hAnsi="Arial" w:eastAsia="宋体" w:cs="Arial"/>
          <w:lang w:eastAsia="zh-CN"/>
        </w:rPr>
        <w:t>农业农村部2021年和2022年连续颁布了关于做好农作物秸秆综合利用工作的通知，实施秸秆综合利用行动，坚持肥料化、饲料化、能源化的战略，在全国建设300个秸秆综合利用重点县、600个秸秆综合利用展示基地，确保全国秸秆综合利用率稳定在86%以上。湖南省2021年在全省10个县市开展了秸秆综合利用试点，包括本项目所在的澧县。湖北省计划从2021年起，力争三年内全省秸秆收储运体系初步完善，秸秆综合利用率力争稳定在95%以上，打造40个重点县。秸秆收、储、运采用 “政府引导+企业主导+农民参与”的模式，由政府引导广大农村和农户秸秆离田、秸秆利用，并补贴大型合作社或农业企业收集、运输和处理利用秸秆，包括合作社自己产生的秸秆，也包括</w:t>
      </w:r>
      <w:r>
        <w:rPr>
          <w:rFonts w:hint="eastAsia" w:ascii="Arial" w:hAnsi="Arial" w:eastAsia="宋体" w:cs="Arial"/>
          <w:lang w:eastAsia="zh-CN"/>
        </w:rPr>
        <w:t>其他种植</w:t>
      </w:r>
      <w:r>
        <w:rPr>
          <w:rFonts w:ascii="Arial" w:hAnsi="Arial" w:eastAsia="宋体" w:cs="Arial"/>
          <w:lang w:eastAsia="zh-CN"/>
        </w:rPr>
        <w:t>农户产生的秸秆，使秸秆饲料化、燃料化或肥料化等。例如湖北省随县天夏农业科技专业合作社从事各类农作物秸秆的加工，其中70%的秸秆加工成养殖饲料，其余秸秆制成有机肥还田，为此，该合作社与周边村委会签订了农作物秸秆回收服务协议，按200</w:t>
      </w:r>
      <w:r>
        <w:rPr>
          <w:rFonts w:hint="eastAsia" w:ascii="Arial" w:hAnsi="Arial" w:eastAsia="宋体" w:cs="Arial"/>
          <w:lang w:eastAsia="zh-CN"/>
        </w:rPr>
        <w:t>—</w:t>
      </w:r>
      <w:r>
        <w:rPr>
          <w:rFonts w:ascii="Arial" w:hAnsi="Arial" w:eastAsia="宋体" w:cs="Arial"/>
          <w:lang w:eastAsia="zh-CN"/>
        </w:rPr>
        <w:t>240元/亩的服务费，请村委会负责收集本村农田秸秆并送给该合作社，制作为饲料或有机肥原料，按450</w:t>
      </w:r>
      <w:r>
        <w:rPr>
          <w:rFonts w:hint="eastAsia" w:ascii="Arial" w:hAnsi="Arial" w:eastAsia="宋体" w:cs="Arial"/>
          <w:lang w:eastAsia="zh-CN"/>
        </w:rPr>
        <w:t>—</w:t>
      </w:r>
      <w:r>
        <w:rPr>
          <w:rFonts w:ascii="Arial" w:hAnsi="Arial" w:eastAsia="宋体" w:cs="Arial"/>
          <w:lang w:eastAsia="zh-CN"/>
        </w:rPr>
        <w:t>650元/吨销售给养殖户或肥料企业。如附件7</w:t>
      </w:r>
      <w:r>
        <w:rPr>
          <w:rFonts w:ascii="Arial" w:hAnsi="Arial" w:eastAsia="宋体" w:cs="Arial"/>
          <w:lang w:eastAsia="zh-CN"/>
        </w:rPr>
        <w:fldChar w:fldCharType="begin"/>
      </w:r>
      <w:r>
        <w:rPr>
          <w:rFonts w:ascii="Arial" w:hAnsi="Arial" w:eastAsia="宋体" w:cs="Arial"/>
          <w:lang w:eastAsia="zh-CN"/>
        </w:rPr>
        <w:instrText xml:space="preserve"> REF _Ref114588649 \h  \* MERGEFORMAT </w:instrText>
      </w:r>
      <w:r>
        <w:rPr>
          <w:rFonts w:ascii="Arial" w:hAnsi="Arial" w:eastAsia="宋体" w:cs="Arial"/>
          <w:lang w:eastAsia="zh-CN"/>
        </w:rPr>
        <w:fldChar w:fldCharType="separate"/>
      </w:r>
      <w:r>
        <w:rPr>
          <w:rFonts w:ascii="Arial" w:hAnsi="Arial" w:eastAsia="宋体" w:cs="Arial"/>
          <w:lang w:eastAsia="zh-CN"/>
        </w:rPr>
        <w:t>图 27</w:t>
      </w:r>
      <w:r>
        <w:rPr>
          <w:rFonts w:ascii="Arial" w:hAnsi="Arial" w:eastAsia="宋体" w:cs="Arial"/>
          <w:lang w:eastAsia="zh-CN"/>
        </w:rPr>
        <w:fldChar w:fldCharType="end"/>
      </w:r>
      <w:r>
        <w:rPr>
          <w:rFonts w:ascii="Arial" w:hAnsi="Arial" w:eastAsia="宋体" w:cs="Arial"/>
          <w:lang w:eastAsia="zh-CN"/>
        </w:rPr>
        <w:t>，合作社与某村委会签订的服务协议。湖南省澧县是通过政府按10元/捆的价格补贴合作社，由合作社负责通过机械收捆农田中的秸秆，也是用于制作动物饲料或有机肥还田。</w:t>
      </w:r>
    </w:p>
    <w:p w14:paraId="7DE12C58">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农膜：i）生产销售环节对农膜产品制定强制要求，</w:t>
      </w:r>
      <w:r>
        <w:rPr>
          <w:rFonts w:ascii="Arial" w:hAnsi="Arial" w:eastAsia="宋体" w:cs="Arial"/>
          <w:lang w:eastAsia="zh-CN"/>
        </w:rPr>
        <w:t>2018年5月1日新修订的《聚乙烯吹塑农用地面覆盖薄膜》（GB 13735</w:t>
      </w:r>
      <w:r>
        <w:rPr>
          <w:rFonts w:hint="eastAsia" w:ascii="Arial" w:hAnsi="Arial" w:eastAsia="宋体" w:cs="Arial"/>
          <w:lang w:eastAsia="zh-CN"/>
        </w:rPr>
        <w:t>—</w:t>
      </w:r>
      <w:r>
        <w:rPr>
          <w:rFonts w:ascii="Arial" w:hAnsi="Arial" w:eastAsia="宋体" w:cs="Arial"/>
          <w:lang w:eastAsia="zh-CN"/>
        </w:rPr>
        <w:t>2017）要求，地膜标称厚度最小不小于0.01毫米；</w:t>
      </w:r>
      <w:r>
        <w:rPr>
          <w:rFonts w:hint="eastAsia" w:ascii="Arial" w:hAnsi="Arial" w:eastAsia="宋体" w:cs="Arial"/>
          <w:lang w:eastAsia="zh-CN"/>
        </w:rPr>
        <w:t>ⅱ</w:t>
      </w:r>
      <w:r>
        <w:rPr>
          <w:rFonts w:ascii="Arial" w:hAnsi="Arial" w:eastAsia="宋体" w:cs="Arial"/>
          <w:b/>
          <w:bCs/>
          <w:lang w:eastAsia="zh-CN"/>
        </w:rPr>
        <w:t>）对农膜使用和处置的规定，</w:t>
      </w:r>
      <w:r>
        <w:rPr>
          <w:rFonts w:ascii="Arial" w:hAnsi="Arial" w:eastAsia="宋体" w:cs="Arial"/>
          <w:lang w:eastAsia="zh-CN"/>
        </w:rPr>
        <w:t>2020年农业农村部与生态环境等部门联合颁布了《农用薄膜管理办法》，农用薄膜使用者应当在使用期限到期前捡拾田间的非全生物降解农用薄膜废弃物，交至回收网点或回收工作者，不得随意弃置、掩埋或者焚烧。现场考察期间了解到各地遵循以上法规要求，制定了本地的实施办法。例如湖南省澧县推广使用0.015mm以上的加厚地膜，从源头保障地膜的可回收性。利用农资经营主体，农业生产大户、专业化组织，积极开展回收方式试点。建立以旧换新、经营主体上交、专业化组织回收、加工企业回收等多种方式的回收利用机制。湖北省随县把农膜收集点尽量修建方便农民收集运转的地方，全县85个自发的农膜收集点大多分布在各镇、场集镇周边，少数分布在公路沿线的村湾。</w:t>
      </w:r>
    </w:p>
    <w:p w14:paraId="426F37EF">
      <w:pPr>
        <w:pStyle w:val="66"/>
        <w:numPr>
          <w:ilvl w:val="0"/>
          <w:numId w:val="30"/>
        </w:numPr>
        <w:adjustRightInd w:val="0"/>
        <w:snapToGrid w:val="0"/>
        <w:spacing w:before="120" w:after="120"/>
        <w:jc w:val="both"/>
        <w:rPr>
          <w:rFonts w:ascii="Arial" w:hAnsi="Arial" w:eastAsia="宋体" w:cs="Arial"/>
          <w:lang w:eastAsia="zh-CN"/>
        </w:rPr>
      </w:pPr>
      <w:r>
        <w:rPr>
          <w:rFonts w:ascii="Arial" w:hAnsi="Arial" w:eastAsia="宋体" w:cs="Arial"/>
          <w:b/>
          <w:bCs/>
          <w:lang w:eastAsia="zh-CN"/>
        </w:rPr>
        <w:t>垃圾分类：i）政策框架，</w:t>
      </w:r>
      <w:r>
        <w:rPr>
          <w:rFonts w:ascii="Arial" w:hAnsi="Arial" w:eastAsia="宋体" w:cs="Arial"/>
          <w:lang w:eastAsia="zh-CN"/>
        </w:rPr>
        <w:t>2017年以来，国家和地方相继出台了大量生活垃圾分类管理的政策、标准、指南等，如2017年国家发展改革委、住房城乡建设部发布了《生活垃圾分类制度实施方案》，</w:t>
      </w:r>
      <w:r>
        <w:rPr>
          <w:rFonts w:hint="eastAsia" w:ascii="Arial" w:hAnsi="Arial" w:eastAsia="宋体" w:cs="Arial"/>
          <w:lang w:eastAsia="zh-CN"/>
        </w:rPr>
        <w:t>住房和城乡建设部</w:t>
      </w:r>
      <w:r>
        <w:rPr>
          <w:rFonts w:ascii="Arial" w:hAnsi="Arial" w:eastAsia="宋体" w:cs="Arial"/>
          <w:lang w:eastAsia="zh-CN"/>
        </w:rPr>
        <w:t>于2019年还发布了《生活垃圾分类标志》</w:t>
      </w:r>
      <w:r>
        <w:rPr>
          <w:rFonts w:hint="eastAsia" w:ascii="Arial" w:hAnsi="Arial" w:eastAsia="宋体" w:cs="Arial"/>
          <w:lang w:eastAsia="zh-CN"/>
        </w:rPr>
        <w:t>（</w:t>
      </w:r>
      <w:r>
        <w:rPr>
          <w:rFonts w:ascii="Arial" w:hAnsi="Arial" w:eastAsia="宋体" w:cs="Arial"/>
          <w:lang w:eastAsia="zh-CN"/>
        </w:rPr>
        <w:t>GB/T 19095—2019</w:t>
      </w:r>
      <w:r>
        <w:rPr>
          <w:rFonts w:hint="eastAsia" w:ascii="Arial" w:hAnsi="Arial" w:eastAsia="宋体" w:cs="Arial"/>
          <w:lang w:eastAsia="zh-CN"/>
        </w:rPr>
        <w:t>）</w:t>
      </w:r>
      <w:r>
        <w:rPr>
          <w:rFonts w:ascii="Arial" w:hAnsi="Arial" w:eastAsia="宋体" w:cs="Arial"/>
          <w:lang w:eastAsia="zh-CN"/>
        </w:rPr>
        <w:t>；与此对应，各省、市、县相继出台了本地区生活垃圾分类实施方案，如《湖北省推进城乡生活垃圾分类工作实施方案》（鄂政办函</w:t>
      </w:r>
      <w:r>
        <w:rPr>
          <w:rFonts w:hint="eastAsia" w:ascii="Arial" w:hAnsi="Arial" w:eastAsia="宋体" w:cs="Arial"/>
          <w:lang w:eastAsia="zh-CN"/>
        </w:rPr>
        <w:t>〔2019〕47号</w:t>
      </w:r>
      <w:r>
        <w:rPr>
          <w:rFonts w:ascii="Arial" w:hAnsi="Arial" w:eastAsia="宋体" w:cs="Arial"/>
          <w:lang w:eastAsia="zh-CN"/>
        </w:rPr>
        <w:t>）并制定了</w:t>
      </w:r>
      <w:r>
        <w:rPr>
          <w:rFonts w:hint="eastAsia" w:ascii="Arial" w:hAnsi="Arial" w:eastAsia="宋体" w:cs="Arial"/>
          <w:lang w:eastAsia="zh-CN"/>
        </w:rPr>
        <w:t>“十四五”</w:t>
      </w:r>
      <w:r>
        <w:rPr>
          <w:rFonts w:ascii="Arial" w:hAnsi="Arial" w:eastAsia="宋体" w:cs="Arial"/>
          <w:lang w:eastAsia="zh-CN"/>
        </w:rPr>
        <w:t>期间的目标，制定《湖南省地级城市生活垃圾分类工作实施方案》（2020）；</w:t>
      </w:r>
      <w:r>
        <w:rPr>
          <w:rFonts w:hint="eastAsia" w:ascii="Arial" w:hAnsi="Arial" w:eastAsia="宋体" w:cs="Arial"/>
          <w:lang w:eastAsia="zh-CN"/>
        </w:rPr>
        <w:t>ⅱ</w:t>
      </w:r>
      <w:r>
        <w:rPr>
          <w:rFonts w:ascii="Arial" w:hAnsi="Arial" w:eastAsia="宋体" w:cs="Arial"/>
          <w:b/>
          <w:bCs/>
          <w:lang w:eastAsia="zh-CN"/>
        </w:rPr>
        <w:t>）政府宣传引导，</w:t>
      </w:r>
      <w:r>
        <w:rPr>
          <w:rFonts w:ascii="Arial" w:hAnsi="Arial" w:eastAsia="宋体" w:cs="Arial"/>
          <w:lang w:eastAsia="zh-CN"/>
        </w:rPr>
        <w:t>基于国家和湖北湖南两省的政策要求，各地政府在全域范围内宣传、引导，发动各村社开展垃圾分类和回收利用。在两省6个县市的调研期间，所有地区的村社都在大力宣传垃圾分类和回收利用，在社区的很多地方都能发现宣传墙上发布的标识标语和有关宣传垃圾分类的材料；</w:t>
      </w:r>
      <w:r>
        <w:rPr>
          <w:rFonts w:hint="eastAsia" w:ascii="Arial" w:hAnsi="Arial" w:eastAsia="宋体" w:cs="Arial"/>
          <w:lang w:eastAsia="zh-CN"/>
        </w:rPr>
        <w:t>ⅲ</w:t>
      </w:r>
      <w:r>
        <w:rPr>
          <w:rFonts w:ascii="Arial" w:hAnsi="Arial" w:eastAsia="宋体" w:cs="Arial"/>
          <w:b/>
          <w:bCs/>
          <w:lang w:eastAsia="zh-CN"/>
        </w:rPr>
        <w:t>）资金支持和项目试点，</w:t>
      </w:r>
      <w:r>
        <w:rPr>
          <w:rFonts w:ascii="Arial" w:hAnsi="Arial" w:eastAsia="宋体" w:cs="Arial"/>
          <w:lang w:eastAsia="zh-CN"/>
        </w:rPr>
        <w:t>一些地方推行垃圾分类和回收利用已跨越宣传发动阶段，开始实施一些示范试点项目，鼓励和引导普通居民</w:t>
      </w:r>
      <w:r>
        <w:rPr>
          <w:rFonts w:hint="eastAsia" w:ascii="Arial" w:hAnsi="Arial" w:eastAsia="宋体" w:cs="Arial"/>
          <w:lang w:eastAsia="zh-CN"/>
        </w:rPr>
        <w:t>参与</w:t>
      </w:r>
      <w:r>
        <w:rPr>
          <w:rFonts w:ascii="Arial" w:hAnsi="Arial" w:eastAsia="宋体" w:cs="Arial"/>
          <w:lang w:eastAsia="zh-CN"/>
        </w:rPr>
        <w:t>垃圾分类和回收运动，从源头上减少垃圾。例如湖北省随县在与第三方公司签订生活垃圾收集、运转和处理协议时，包含了在试点社区开展公众参与活动，引导社区居民进行生活垃圾分类和回收利用，包括居民垃圾分类投放、可回收垃圾和有害垃圾分类积分兑换、厨余垃圾收集处理和回收利用等。第三方公司专门设置了社区垃圾分类管理团队，在试点社区的垃圾集中收集点安排专人指导普通居民进行垃圾分类。湖南省的情况与湖北省类似，形式有所不同。例如湖南省澧县，通过培训和支持现有废品收购站运营人员和村民保洁员，对废品收购站现有场地进行升级改造用于存放各类可回收垃圾，并对村民每次送来的垃圾进行积分记录，对应的积分可兑换一定的生活用品，同时发挥村民保洁员的作用，对社区所有区域的居民进行网格化管理，指导本社区的居民做好垃圾分类工作。附件7</w:t>
      </w:r>
      <w:r>
        <w:rPr>
          <w:rFonts w:ascii="Arial" w:hAnsi="Arial" w:eastAsia="宋体" w:cs="Arial"/>
          <w:lang w:eastAsia="zh-CN"/>
        </w:rPr>
        <w:fldChar w:fldCharType="begin"/>
      </w:r>
      <w:r>
        <w:rPr>
          <w:rFonts w:ascii="Arial" w:hAnsi="Arial" w:eastAsia="宋体" w:cs="Arial"/>
          <w:lang w:eastAsia="zh-CN"/>
        </w:rPr>
        <w:instrText xml:space="preserve"> REF _Ref114588682 \h  \* MERGEFORMAT </w:instrText>
      </w:r>
      <w:r>
        <w:rPr>
          <w:rFonts w:ascii="Arial" w:hAnsi="Arial" w:eastAsia="宋体" w:cs="Arial"/>
          <w:lang w:eastAsia="zh-CN"/>
        </w:rPr>
        <w:fldChar w:fldCharType="separate"/>
      </w:r>
      <w:r>
        <w:rPr>
          <w:rFonts w:ascii="Arial" w:hAnsi="Arial" w:eastAsia="宋体" w:cs="Arial"/>
          <w:lang w:eastAsia="zh-CN"/>
        </w:rPr>
        <w:t>图 28</w:t>
      </w:r>
      <w:r>
        <w:rPr>
          <w:rFonts w:ascii="Arial" w:hAnsi="Arial" w:eastAsia="宋体" w:cs="Arial"/>
          <w:lang w:eastAsia="zh-CN"/>
        </w:rPr>
        <w:fldChar w:fldCharType="end"/>
      </w:r>
      <w:r>
        <w:rPr>
          <w:rFonts w:ascii="Arial" w:hAnsi="Arial" w:eastAsia="宋体" w:cs="Arial"/>
          <w:lang w:eastAsia="zh-CN"/>
        </w:rPr>
        <w:t>和</w:t>
      </w:r>
      <w:r>
        <w:rPr>
          <w:rFonts w:ascii="Arial" w:hAnsi="Arial" w:eastAsia="宋体" w:cs="Arial"/>
          <w:lang w:eastAsia="zh-CN"/>
        </w:rPr>
        <w:fldChar w:fldCharType="begin"/>
      </w:r>
      <w:r>
        <w:rPr>
          <w:rFonts w:ascii="Arial" w:hAnsi="Arial" w:eastAsia="宋体" w:cs="Arial"/>
          <w:lang w:eastAsia="zh-CN"/>
        </w:rPr>
        <w:instrText xml:space="preserve"> REF _Ref114588689 \h  \* MERGEFORMAT </w:instrText>
      </w:r>
      <w:r>
        <w:rPr>
          <w:rFonts w:ascii="Arial" w:hAnsi="Arial" w:eastAsia="宋体" w:cs="Arial"/>
          <w:lang w:eastAsia="zh-CN"/>
        </w:rPr>
        <w:fldChar w:fldCharType="separate"/>
      </w:r>
      <w:r>
        <w:rPr>
          <w:rFonts w:ascii="Arial" w:hAnsi="Arial" w:eastAsia="宋体" w:cs="Arial"/>
          <w:lang w:eastAsia="zh-CN"/>
        </w:rPr>
        <w:t>图 29</w:t>
      </w:r>
      <w:r>
        <w:rPr>
          <w:rFonts w:ascii="Arial" w:hAnsi="Arial" w:eastAsia="宋体" w:cs="Arial"/>
          <w:lang w:eastAsia="zh-CN"/>
        </w:rPr>
        <w:fldChar w:fldCharType="end"/>
      </w:r>
      <w:r>
        <w:rPr>
          <w:rFonts w:ascii="Arial" w:hAnsi="Arial" w:eastAsia="宋体" w:cs="Arial"/>
          <w:lang w:eastAsia="zh-CN"/>
        </w:rPr>
        <w:t>分别是湖北省随县安居镇和湖南省澧县沈南村垃圾分类和回收利用设施和社区居民积分记录、可兑换的物品。</w:t>
      </w:r>
    </w:p>
    <w:p w14:paraId="3FC1B15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本项目支持的活动中，另一部分活动涉及土建工程和征地/用地，包括</w:t>
      </w:r>
      <w:bookmarkStart w:id="471" w:name="_Hlk89977749"/>
      <w:r>
        <w:rPr>
          <w:rFonts w:ascii="Arial" w:hAnsi="Arial" w:cs="Arial"/>
          <w:sz w:val="22"/>
        </w:rPr>
        <w:t>1</w:t>
      </w:r>
      <w:r>
        <w:rPr>
          <w:rFonts w:hint="eastAsia" w:ascii="Arial" w:hAnsi="Arial" w:cs="Arial"/>
          <w:sz w:val="22"/>
          <w:lang w:eastAsia="zh-CN"/>
        </w:rPr>
        <w:t>）</w:t>
      </w:r>
      <w:r>
        <w:rPr>
          <w:rFonts w:ascii="Arial" w:hAnsi="Arial" w:cs="Arial"/>
          <w:sz w:val="22"/>
        </w:rPr>
        <w:t>农村污水收集与处理；2</w:t>
      </w:r>
      <w:r>
        <w:rPr>
          <w:rFonts w:hint="eastAsia" w:ascii="Arial" w:hAnsi="Arial" w:cs="Arial"/>
          <w:sz w:val="22"/>
          <w:lang w:eastAsia="zh-CN"/>
        </w:rPr>
        <w:t>）</w:t>
      </w:r>
      <w:r>
        <w:rPr>
          <w:rFonts w:ascii="Arial" w:hAnsi="Arial" w:cs="Arial"/>
          <w:sz w:val="22"/>
        </w:rPr>
        <w:t>农村生活垃圾收集、转运、转储；3）畜禽粪污处理设施；4）秸秆存储加工设施等。</w:t>
      </w:r>
      <w:bookmarkEnd w:id="471"/>
      <w:r>
        <w:rPr>
          <w:rFonts w:ascii="Arial" w:hAnsi="Arial" w:cs="Arial"/>
          <w:sz w:val="22"/>
        </w:rPr>
        <w:t>对于这些需要进行农村集体土地征用的项目，相关县市主要通过项目前期评估阶段的可行性研究或社会稳定风险评估来识别、评价和管理社会风险。特别是2020年1月1日后实施的项目，新修订的《</w:t>
      </w:r>
      <w:r>
        <w:rPr>
          <w:rFonts w:hint="eastAsia" w:ascii="Arial" w:hAnsi="Arial" w:cs="Arial"/>
          <w:sz w:val="22"/>
          <w:lang w:eastAsia="zh-CN"/>
        </w:rPr>
        <w:t>中华人民共和国土地管理法</w:t>
      </w:r>
      <w:r>
        <w:rPr>
          <w:rFonts w:ascii="Arial" w:hAnsi="Arial" w:cs="Arial"/>
          <w:sz w:val="22"/>
        </w:rPr>
        <w:t>》明确要求涉及征地的建设项目在前期必须准备社会稳定风险评估。通过现场调查和咨询，各县的相关设施在前期准备阶段进行可行性研究或施工设计，例如湖北省黄石市阳新县枫林镇污水工程</w:t>
      </w:r>
      <w:r>
        <w:rPr>
          <w:rFonts w:hint="eastAsia" w:ascii="Arial" w:hAnsi="Arial" w:cs="Arial"/>
          <w:sz w:val="22"/>
          <w:lang w:eastAsia="zh-CN"/>
        </w:rPr>
        <w:t>—</w:t>
      </w:r>
      <w:r>
        <w:rPr>
          <w:rFonts w:ascii="Arial" w:hAnsi="Arial" w:cs="Arial"/>
          <w:sz w:val="22"/>
        </w:rPr>
        <w:t>水源村污水工程、湖南省澧县乡镇污水系统建设工程等，大部分设施在可研、设计等文件中基本都包括了社会影响的分析。另一方面，部分项目根据社会稳定风险评估和《</w:t>
      </w:r>
      <w:r>
        <w:rPr>
          <w:rFonts w:hint="eastAsia" w:ascii="Arial" w:hAnsi="Arial" w:cs="Arial"/>
          <w:sz w:val="22"/>
          <w:lang w:eastAsia="zh-CN"/>
        </w:rPr>
        <w:t>中华人民共和国土地管理法</w:t>
      </w:r>
      <w:r>
        <w:rPr>
          <w:rFonts w:ascii="Arial" w:hAnsi="Arial" w:cs="Arial"/>
          <w:sz w:val="22"/>
        </w:rPr>
        <w:t>》的要求，进行了单独的社会影响和风险的识别分析，如湖北省咸宁市崇阳</w:t>
      </w:r>
      <w:r>
        <w:rPr>
          <w:rFonts w:hint="eastAsia" w:ascii="Arial" w:hAnsi="Arial" w:cs="Arial"/>
          <w:sz w:val="22"/>
          <w:lang w:eastAsia="zh-CN"/>
        </w:rPr>
        <w:t>县委政法委</w:t>
      </w:r>
      <w:r>
        <w:rPr>
          <w:rFonts w:ascii="Arial" w:hAnsi="Arial" w:cs="Arial"/>
          <w:sz w:val="22"/>
        </w:rPr>
        <w:t>介绍，2020年和2021年针对以上设施该县共开展了3项相关项目的社会稳定风险评估，稳评报告对项目在建设和运行阶段潜在的社会影响及风险，以及社区居民意见进行调查和分析，如永久征地、临时占地及地上青苗附属物等影响，对各影响和风险的级别进行研究判定，并基于实际调查研究和村社居民的意见制定了风险化解和管控措施确保项目可能造成的社会风险得到识别和管控。</w:t>
      </w:r>
    </w:p>
    <w:p w14:paraId="04BDA84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还有</w:t>
      </w:r>
      <w:bookmarkStart w:id="472" w:name="_Hlk90557310"/>
      <w:r>
        <w:rPr>
          <w:rFonts w:ascii="Arial" w:hAnsi="Arial" w:cs="Arial"/>
          <w:sz w:val="22"/>
        </w:rPr>
        <w:t>一些可能不需要永久征收农村集体土地的活动，例如粪污处理设施、小型污水处理设施、小型农村垃圾收集转运设施、农村厕所改造和灌溉及排水设施等</w:t>
      </w:r>
      <w:bookmarkEnd w:id="472"/>
      <w:r>
        <w:rPr>
          <w:rFonts w:ascii="Arial" w:hAnsi="Arial" w:cs="Arial"/>
          <w:sz w:val="22"/>
        </w:rPr>
        <w:t>，主要的影响是土地使用带来的影响。关于这方面的内容将在下面章节中进行详细讨论。而对于其他如社区健康安全、施工影响、运行维护、社区申诉方面的影响，在各地调查中发现，大部分项目在前期都开展了可行性研究或设计。</w:t>
      </w:r>
    </w:p>
    <w:p w14:paraId="7AECA84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对湖北和湖南两省样本县的实地调查和咨询表明，针对本PforR有关活动整体社会影响不大。对各种可能的社会影响，各地根据国家和地方相关部门出台的法律法规，制定了实施方案或细则，包括机制化的培训体系安排、社会稳定风险评估和土地使用管理制度，确保对应的风险可以得到有效管控。项目实施单位在前期评估阶段，在可研、社会稳定风险评价或</w:t>
      </w:r>
      <w:r>
        <w:rPr>
          <w:rFonts w:hint="eastAsia" w:ascii="Arial" w:hAnsi="Arial" w:cs="Arial"/>
          <w:sz w:val="22"/>
          <w:lang w:eastAsia="zh-CN"/>
        </w:rPr>
        <w:t>其他</w:t>
      </w:r>
      <w:r>
        <w:rPr>
          <w:rFonts w:ascii="Arial" w:hAnsi="Arial" w:cs="Arial"/>
          <w:sz w:val="22"/>
        </w:rPr>
        <w:t>评估文件中，对项目建设和运行阶段潜在的社会影响和风险进行了识别、筛选和评估，并制定了相应的社会影响和风险管理和监测计划。</w:t>
      </w:r>
    </w:p>
    <w:p w14:paraId="6401278D">
      <w:pPr>
        <w:pStyle w:val="66"/>
        <w:shd w:val="clear" w:color="auto" w:fill="D8D8D8" w:themeFill="background1" w:themeFillShade="D9"/>
        <w:tabs>
          <w:tab w:val="left" w:pos="851"/>
          <w:tab w:val="left" w:pos="993"/>
          <w:tab w:val="clear" w:pos="540"/>
        </w:tabs>
        <w:adjustRightInd w:val="0"/>
        <w:snapToGrid w:val="0"/>
        <w:spacing w:before="120" w:after="120"/>
        <w:rPr>
          <w:rFonts w:ascii="Arial" w:hAnsi="Arial" w:eastAsia="宋体" w:cs="Arial"/>
          <w:b/>
          <w:bCs/>
          <w:lang w:eastAsia="zh-CN"/>
        </w:rPr>
      </w:pPr>
      <w:r>
        <w:rPr>
          <w:rFonts w:ascii="Arial" w:hAnsi="Arial" w:eastAsia="宋体" w:cs="Arial"/>
          <w:b/>
          <w:bCs/>
          <w:lang w:eastAsia="zh-CN"/>
        </w:rPr>
        <w:t>要素2：</w:t>
      </w:r>
      <w:r>
        <w:rPr>
          <w:rFonts w:ascii="Arial" w:hAnsi="Arial" w:eastAsia="宋体" w:cs="Arial"/>
          <w:b/>
          <w:bCs/>
          <w:lang w:eastAsia="zh-CN"/>
        </w:rPr>
        <w:tab/>
      </w:r>
      <w:r>
        <w:rPr>
          <w:rFonts w:ascii="Arial" w:hAnsi="Arial" w:eastAsia="宋体" w:cs="Arial"/>
          <w:b/>
          <w:bCs/>
          <w:lang w:eastAsia="zh-CN"/>
        </w:rPr>
        <w:t>社会评估和管理过程中采用良好实践</w:t>
      </w:r>
    </w:p>
    <w:p w14:paraId="1B57320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i</w:t>
      </w:r>
      <w:r>
        <w:rPr>
          <w:rFonts w:hint="eastAsia" w:ascii="Arial" w:hAnsi="Arial" w:cs="Arial"/>
          <w:b/>
          <w:bCs/>
          <w:sz w:val="22"/>
          <w:lang w:eastAsia="zh-CN"/>
        </w:rPr>
        <w:t>）</w:t>
      </w:r>
      <w:r>
        <w:rPr>
          <w:rFonts w:ascii="Arial" w:hAnsi="Arial" w:cs="Arial"/>
          <w:b/>
          <w:bCs/>
          <w:sz w:val="22"/>
        </w:rPr>
        <w:t xml:space="preserve"> 早期影响筛查：</w:t>
      </w:r>
      <w:r>
        <w:rPr>
          <w:rFonts w:ascii="Arial" w:hAnsi="Arial" w:cs="Arial"/>
          <w:sz w:val="22"/>
        </w:rPr>
        <w:t>两省及调查县的自然资源部门提供的资料及现场调查证实，项目前期需要各部门联合踏勘识别影响。所有涉及征地的建设项目均须完成土地预审程序、涉及农业设施用地的项目实施项目选址审批。项目的可行性研究报告一般需发改部门组织各有关部门和行业专家进行评审，确认项目选址符合土地利用相关规划。</w:t>
      </w:r>
    </w:p>
    <w:p w14:paraId="7B27F0C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湖南省慈利县自然资源局介绍，对于需要开展征地的污水处理设施和垃圾收集站等设施，自然资源部门在接收实施机构的委托前，需要实施机构向自然资源部门提供发改委关于项目可研的批复（含土地预审批复和选址意见书批复）、征地红线图、所征收土地分类表以及社会稳定风险评估报告等。仅在风险等级为中等及以下，或采取风险化解措施将风险等级降至中风险及以下时，社会稳定风险评价报告才能获得专家评审通过。</w:t>
      </w:r>
    </w:p>
    <w:p w14:paraId="464D6DF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采用农业设施用地方式建设的项目，例如湖北省随县天夏农业科技专业合作社的秸秆回收处理设施，按照湖北省设施农业用地管理要求进行了项目选址流程，与乡镇和村社签订了用地协议，并在随县自然资源局和农业农村局进行了备案。在与6个样本县自然资源部门交流时确认，设施农用地备案过程通常需要相关村委会/社区同意（确认知情和同意）、乡镇政府自然资源部门审查（确认知情和同意，符合本地用地规划）、县水务局审查（审查是否在重要水源地附近）、林业部门审查（对于使用林地方面提出技术要求）、交通部门审查（</w:t>
      </w:r>
      <w:r>
        <w:rPr>
          <w:rFonts w:hint="eastAsia" w:ascii="Arial" w:hAnsi="Arial" w:cs="Arial"/>
          <w:sz w:val="22"/>
          <w:lang w:eastAsia="zh-CN"/>
        </w:rPr>
        <w:t>公路</w:t>
      </w:r>
      <w:r>
        <w:rPr>
          <w:rFonts w:ascii="Arial" w:hAnsi="Arial" w:cs="Arial"/>
          <w:sz w:val="22"/>
        </w:rPr>
        <w:t>两侧2公里以内不能建养殖场及相关设施）、自然资源局审查（审查规划、是否占用基本农田、占用生态保护红线）、文物管理部门审查（审查是否在文物保护单位范围内）。附件7</w:t>
      </w:r>
      <w:r>
        <w:rPr>
          <w:rFonts w:ascii="Arial" w:hAnsi="Arial" w:cs="Arial"/>
          <w:sz w:val="22"/>
        </w:rPr>
        <w:fldChar w:fldCharType="begin"/>
      </w:r>
      <w:r>
        <w:rPr>
          <w:rFonts w:ascii="Arial" w:hAnsi="Arial" w:cs="Arial"/>
          <w:sz w:val="22"/>
        </w:rPr>
        <w:instrText xml:space="preserve"> REF _Ref114588728 \h  \* MERGEFORMAT </w:instrText>
      </w:r>
      <w:r>
        <w:rPr>
          <w:rFonts w:ascii="Arial" w:hAnsi="Arial" w:cs="Arial"/>
          <w:sz w:val="22"/>
        </w:rPr>
        <w:fldChar w:fldCharType="separate"/>
      </w:r>
      <w:r>
        <w:rPr>
          <w:rFonts w:ascii="Arial" w:hAnsi="Arial" w:cs="Arial"/>
          <w:sz w:val="22"/>
        </w:rPr>
        <w:t>图 30</w:t>
      </w:r>
      <w:r>
        <w:rPr>
          <w:rFonts w:ascii="Arial" w:hAnsi="Arial" w:cs="Arial"/>
          <w:sz w:val="22"/>
        </w:rPr>
        <w:fldChar w:fldCharType="end"/>
      </w:r>
      <w:r>
        <w:rPr>
          <w:rFonts w:ascii="Arial" w:hAnsi="Arial" w:cs="Arial"/>
          <w:sz w:val="22"/>
        </w:rPr>
        <w:t>为湖北省随县天夏农业科技专业合作社的秸秆回收处理设施的设施农业用地备案表。</w:t>
      </w:r>
    </w:p>
    <w:p w14:paraId="237F9A6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由此可见，社会风险的筛选与风险评估在实施过程中，已通过相关机制的运行得到有效执行和管理。</w:t>
      </w:r>
    </w:p>
    <w:p w14:paraId="71544CA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473" w:name="_Hlk90671367"/>
      <w:r>
        <w:rPr>
          <w:rFonts w:hint="eastAsia" w:ascii="Arial" w:hAnsi="Arial" w:cs="Arial"/>
          <w:b/>
          <w:bCs/>
          <w:sz w:val="22"/>
          <w:lang w:eastAsia="zh-CN"/>
        </w:rPr>
        <w:t>（ⅱ）</w:t>
      </w:r>
      <w:r>
        <w:rPr>
          <w:rFonts w:ascii="Arial" w:hAnsi="Arial" w:cs="Arial"/>
          <w:b/>
          <w:bCs/>
          <w:sz w:val="22"/>
        </w:rPr>
        <w:t xml:space="preserve"> 方案比选。</w:t>
      </w:r>
      <w:r>
        <w:rPr>
          <w:rFonts w:ascii="Arial" w:hAnsi="Arial" w:cs="Arial"/>
          <w:sz w:val="22"/>
        </w:rPr>
        <w:t>建设项目可行性研究过程需要对不同方案进行比选。例如，湖南省澧县乡镇污水系统建设工程项目和湖北省浠水县年产5万吨有机肥项目在前期准备过程中，两份可行性研究报告均从技术工艺、工程施工、征地拆迁和后期运行维护等多方面进行不同方案比选论证。从设施方案上，列举了国内外成熟的技术方案、考虑了施工难度和成本、后期交通运输便利性、能否尽量不涉及征地和拆迁等。湖北省浠水县年产5万吨有机肥项目还专门设置了选址原则，包括1）交通方便，保证大型货车进出，与主干道保持一定距离；2）靠近原料产地，降低原料运输费用，避免原料运输污染；3）远离居民区、工业区；4）不得处于养殖场上风向；5）水源、电源供应得到保证；6）地势平坦，排水、通风条件良好。</w:t>
      </w:r>
    </w:p>
    <w:p w14:paraId="4A0E2CB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（ⅲ）</w:t>
      </w:r>
      <w:r>
        <w:rPr>
          <w:rFonts w:ascii="Arial" w:hAnsi="Arial" w:cs="Arial"/>
          <w:b/>
          <w:bCs/>
          <w:sz w:val="22"/>
        </w:rPr>
        <w:t xml:space="preserve"> 制定措施避免、减少和减缓社会影响。</w:t>
      </w:r>
      <w:r>
        <w:rPr>
          <w:rFonts w:ascii="Arial" w:hAnsi="Arial" w:cs="Arial"/>
          <w:sz w:val="22"/>
        </w:rPr>
        <w:t>根据对湖北省各县政府负责社会稳定风险评估的主管部门、自然资源局、农业农村局的访谈，项目的社会影响识别、分析和管理措施都要求必须在可行性研究报告或类似的项目前期评估文件中进行分析。对于法律规定必须开展社会稳定风险评价的项目，如涉及移民或土地使用的项目等，在社会稳定风险评估中须有专门的风险识别、分析、防范与化解的管理计划。例如，湖南省澧县乡镇污水系统建设工程项目的可行性研究报告第十三章为社会稳定风险评估专章，湖北省洪湖市乡镇污水处理厂及配套管网建设项目可行性研究报告第十八章也是社会稳定风险评估专章，这些社会评价专章要求对应制定防范化解处置措施，对重大事项相应作出是否可实施的评估意见。</w:t>
      </w:r>
    </w:p>
    <w:p w14:paraId="1CD728C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（ⅳ）</w:t>
      </w:r>
      <w:r>
        <w:rPr>
          <w:rFonts w:ascii="Arial" w:hAnsi="Arial" w:cs="Arial"/>
          <w:b/>
          <w:bCs/>
          <w:sz w:val="22"/>
        </w:rPr>
        <w:t xml:space="preserve"> 明确实施减缓措施的机构职责和预算来源。</w:t>
      </w:r>
      <w:r>
        <w:rPr>
          <w:rFonts w:ascii="Arial" w:hAnsi="Arial" w:cs="Arial"/>
          <w:sz w:val="22"/>
        </w:rPr>
        <w:t>农村污水和垃圾和面源污染控制工作的政府职责分工方面，农业农村部门负责农药减量、化肥减量、畜禽粪污处理与利用、秸秆收集与综合利用、农膜及农药化肥包装废弃物回收；</w:t>
      </w:r>
      <w:bookmarkStart w:id="474" w:name="_Hlk90007900"/>
      <w:r>
        <w:rPr>
          <w:rFonts w:ascii="Arial" w:hAnsi="Arial" w:cs="Arial"/>
          <w:sz w:val="22"/>
        </w:rPr>
        <w:t>城建部门负责城镇污水收集处理设施的建设和运行，农业农村或乡村振兴部门负责农村污水设施的建设管理，住建部门负责农村生活垃圾管理及相关设施建设。这些负责部门要对相关项目建设费用、设施运行模式和管理机制进行整体负责，如征地补偿费用、管理下属机构或第三方机构负责垃圾转运设施周边的安全和环境卫生。例如湖北省仙桃市胡场乡镇污水处理厂由住建局以政府和社会资本合作模式（PPP）招标第三方公司建设、运行，由该公司筹集资金建设和运行，通过获得后期一定期限的运营权获得收益，补偿前期建设和后期运行成本。对于该县17个乡镇污水处理厂，运行公司专门成立了42人的管理队伍进行日常巡查和管护，确保设备稳定运行。</w:t>
      </w:r>
      <w:bookmarkEnd w:id="474"/>
      <w:r>
        <w:rPr>
          <w:rFonts w:ascii="Arial" w:hAnsi="Arial" w:cs="Arial"/>
          <w:sz w:val="22"/>
        </w:rPr>
        <w:t>又比如户厕改造项目，由县农业农村局专门的科室，如社会事股等，负责项目点筛选、项目资金申请、项目建设管理与验收等，例如湖北省随县2013年至今，已实施户厕改造5700多户，成本在1500元左右，农村居民自愿申请改厕，成本费用全部由财政资金负责，但农户负责解决用地（约5m</w:t>
      </w:r>
      <w:r>
        <w:rPr>
          <w:rFonts w:ascii="Arial" w:hAnsi="Arial" w:cs="Arial"/>
          <w:sz w:val="22"/>
          <w:vertAlign w:val="superscript"/>
        </w:rPr>
        <w:t>2</w:t>
      </w:r>
      <w:r>
        <w:rPr>
          <w:rFonts w:ascii="Arial" w:hAnsi="Arial" w:cs="Arial"/>
          <w:sz w:val="22"/>
        </w:rPr>
        <w:t>）和建设期间提供劳动力支持。厕所改造后，农业农村局及其提供设备的企业还要向农户提供基本的运行维护培训。</w:t>
      </w:r>
    </w:p>
    <w:p w14:paraId="054507A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此外，各单位在项目准备、建设和运营管理阶段要接受生态环保、自然资源、劳动就业、卫生与健康、财政、审计等部门的日常指导和监督，确保环境和社会管理措施得到落实。</w:t>
      </w:r>
    </w:p>
    <w:p w14:paraId="444380F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hint="eastAsia" w:ascii="Arial" w:hAnsi="Arial" w:cs="Arial"/>
          <w:b/>
          <w:bCs/>
          <w:sz w:val="22"/>
          <w:lang w:eastAsia="zh-CN"/>
        </w:rPr>
        <w:t>（</w:t>
      </w:r>
      <w:r>
        <w:rPr>
          <w:rFonts w:ascii="Arial" w:hAnsi="Arial" w:cs="Arial"/>
          <w:b/>
          <w:bCs/>
          <w:sz w:val="22"/>
        </w:rPr>
        <w:t>v</w:t>
      </w:r>
      <w:r>
        <w:rPr>
          <w:rFonts w:hint="eastAsia" w:ascii="Arial" w:hAnsi="Arial" w:cs="Arial"/>
          <w:b/>
          <w:bCs/>
          <w:sz w:val="22"/>
          <w:lang w:eastAsia="zh-CN"/>
        </w:rPr>
        <w:t>）</w:t>
      </w:r>
      <w:r>
        <w:rPr>
          <w:rFonts w:ascii="Arial" w:hAnsi="Arial" w:cs="Arial"/>
          <w:b/>
          <w:bCs/>
          <w:sz w:val="22"/>
        </w:rPr>
        <w:t xml:space="preserve"> 公众参与、信息公开和申诉机制。</w:t>
      </w:r>
      <w:r>
        <w:rPr>
          <w:rFonts w:ascii="Arial" w:hAnsi="Arial" w:cs="Arial"/>
          <w:sz w:val="22"/>
        </w:rPr>
        <w:t>在样本县调查期间，各县自然资源部门详细介绍了该部门所承担的永久征地流程和设施农用地管理流程，对两个系统所包含的信息公开和公众参与机制进行了梳理。其中土地征收流程均严格执行土地管理法关于征地影响实物量调查和复核的流程，实物量调查结果和征收补偿方案、土地征收公告均要在受影响社区公告，其中实物量调查结果和征收补偿方案需在受影响社区至少公示30天；对于设施农用地使用，用地单位需在启动阶段咨询所在村社和乡镇政府意见，达成初步协议后，要向县水务局、林业部门、交通部门、风景名胜区主管部门（如涉及）、自然资源局、文物管理部门等部门征求意见，全部通过后，在土地所在村社进行公示公告，公告时间不得少于10天。公告期结束无异议的，村社组织才能与经营者签订用地协议。在具体项目层面，除以上公共申诉途径外，项目的评估文件，如稳评、环评中包含了信息公开、公众参与和申诉机制的要求，且有专门的监测和监督机制。</w:t>
      </w:r>
    </w:p>
    <w:p w14:paraId="6CB646E9">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对湖北和湖南各县的调查证实，各地政府部门完全按照信访条例实施，有一整套完善的申诉信访机制。以湖北省仙桃市为例，社区申诉机制包括四个层次：一是向有关实施单位直接反映情况并寻求解决；二是通过村委会或居委会反映并寻求解决，三是向乡镇政府或街道办事处反映和协调处理；四是通过县政府信访部门或县长热线/邮箱等方式投诉处理，流程包括收集、7天内启动，2个月内处理完成并反馈的机制。此外，居民还可以通过法院的民事诉讼来解决较大的争议。整体而言，申诉机制程序规范，机制有效。</w:t>
      </w:r>
    </w:p>
    <w:p w14:paraId="27CB3CA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对湖北和湖南两省及有关项目县的实地调查表明，相关设施在项目前期都按要求开展了相关评估、设计和审批，如污水处理设施、垃圾转运站等。有关项目实施的前期准备阶段，基本包含了环境社会影响和风险的筛选流程和公众咨询。一些小型分散设施，如粪污处理设施、小型污水处理设施、小型农村垃圾收集转运设施等，在项目准备阶段进行了社会风险或影响评估，考察期间发现，大部分设施是通过可行性研究的专门章节进行评估，也有部分实施了专门的社会稳定风险评价</w:t>
      </w:r>
      <w:r>
        <w:rPr>
          <w:rFonts w:hint="eastAsia" w:ascii="Arial" w:hAnsi="Arial" w:cs="Arial"/>
          <w:sz w:val="22"/>
          <w:lang w:eastAsia="zh-CN"/>
        </w:rPr>
        <w:t>。</w:t>
      </w:r>
    </w:p>
    <w:bookmarkEnd w:id="473"/>
    <w:p w14:paraId="3AE37F35">
      <w:pPr>
        <w:pStyle w:val="4"/>
        <w:numPr>
          <w:ilvl w:val="2"/>
          <w:numId w:val="29"/>
        </w:numPr>
        <w:adjustRightInd w:val="0"/>
        <w:snapToGrid w:val="0"/>
        <w:spacing w:before="120" w:after="120" w:line="240" w:lineRule="auto"/>
        <w:ind w:left="709" w:hanging="709"/>
        <w:rPr>
          <w:rFonts w:ascii="Arial" w:hAnsi="Arial" w:cs="Arial"/>
          <w:sz w:val="22"/>
          <w:szCs w:val="22"/>
        </w:rPr>
      </w:pPr>
      <w:bookmarkStart w:id="475" w:name="_Toc90729537"/>
      <w:r>
        <w:rPr>
          <w:rFonts w:ascii="Arial" w:hAnsi="Arial" w:cs="Arial"/>
          <w:sz w:val="22"/>
          <w:szCs w:val="22"/>
        </w:rPr>
        <w:tab/>
      </w:r>
      <w:bookmarkStart w:id="476" w:name="_Toc119937315"/>
      <w:bookmarkStart w:id="477" w:name="_Toc114235845"/>
      <w:r>
        <w:rPr>
          <w:rFonts w:ascii="Arial" w:hAnsi="Arial" w:cs="Arial"/>
          <w:sz w:val="22"/>
          <w:szCs w:val="22"/>
        </w:rPr>
        <w:t>核心原则2：文物资源管理体系</w:t>
      </w:r>
      <w:bookmarkEnd w:id="475"/>
      <w:bookmarkEnd w:id="476"/>
      <w:bookmarkEnd w:id="477"/>
    </w:p>
    <w:p w14:paraId="4493DD3C">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要素5：</w:t>
      </w:r>
      <w:r>
        <w:rPr>
          <w:rFonts w:ascii="Arial" w:hAnsi="Arial" w:eastAsia="宋体" w:cs="Arial"/>
          <w:lang w:eastAsia="zh-CN"/>
        </w:rPr>
        <w:t>充分考虑对物质文化遗产的潜在负面影响，实施适当措施避开、减少或减缓影响。</w:t>
      </w:r>
    </w:p>
    <w:p w14:paraId="779B1D7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在与湖北和湖南两省省级及样本县的文物保护部门和自然资源部门的交流中了解到，</w:t>
      </w:r>
      <w:bookmarkStart w:id="478" w:name="_Hlk63004205"/>
      <w:r>
        <w:rPr>
          <w:rFonts w:ascii="Arial" w:hAnsi="Arial" w:cs="Arial"/>
          <w:sz w:val="22"/>
        </w:rPr>
        <w:t>地方的土地利用规划在制定和更新时，规划部门咨询和听取了文物管理部门的意见，包括获取区域文物分布资料，将文物普查成果</w:t>
      </w:r>
      <w:r>
        <w:rPr>
          <w:rFonts w:hint="eastAsia" w:ascii="Arial" w:hAnsi="Arial" w:cs="Arial"/>
          <w:sz w:val="22"/>
          <w:lang w:eastAsia="zh-CN"/>
        </w:rPr>
        <w:t>融入</w:t>
      </w:r>
      <w:r>
        <w:rPr>
          <w:rFonts w:ascii="Arial" w:hAnsi="Arial" w:cs="Arial"/>
          <w:sz w:val="22"/>
        </w:rPr>
        <w:t>当地土地利用规划中。例如湖北省随州市随县是著名的编钟出土的地方，随县现发现的全国重点文物保护单位1个，湖北省省级保护单位13个、随州市市级重点保护单位71个，随县县级保护单位24个，此外，还出土和发现了很多一般普通文物。这些文物反映了不同年代的生产生活状况和华夏文明，因此，相关文物单位的范围已在当地土地利用规划中确定。在项目土地预审和选址阶段</w:t>
      </w:r>
      <w:bookmarkEnd w:id="478"/>
      <w:r>
        <w:rPr>
          <w:rFonts w:ascii="Arial" w:hAnsi="Arial" w:cs="Arial"/>
          <w:sz w:val="22"/>
        </w:rPr>
        <w:t>，项目选址要符合地方土地总体利用规划，这就确保了《</w:t>
      </w:r>
      <w:r>
        <w:rPr>
          <w:rFonts w:hint="eastAsia" w:ascii="Arial" w:hAnsi="Arial" w:cs="Arial"/>
          <w:sz w:val="22"/>
          <w:lang w:eastAsia="zh-CN"/>
        </w:rPr>
        <w:t>中华人民共和国文物保护法</w:t>
      </w:r>
      <w:r>
        <w:rPr>
          <w:rFonts w:ascii="Arial" w:hAnsi="Arial" w:cs="Arial"/>
          <w:sz w:val="22"/>
        </w:rPr>
        <w:t>》所要求的文物保护单位的保护范围内不得进行其他建设工程或者爆破、钻探、挖掘等作业的规定。在项目评审阶段，地方发改委会邀请文物保护部门专家参与项目评审。如在进行工程建设期间发现文物，建设单位</w:t>
      </w:r>
      <w:r>
        <w:rPr>
          <w:rFonts w:hint="eastAsia" w:ascii="Arial" w:hAnsi="Arial" w:cs="Arial"/>
          <w:sz w:val="22"/>
          <w:lang w:eastAsia="zh-CN"/>
        </w:rPr>
        <w:t>将</w:t>
      </w:r>
      <w:r>
        <w:rPr>
          <w:rFonts w:ascii="Arial" w:hAnsi="Arial" w:cs="Arial"/>
          <w:sz w:val="22"/>
        </w:rPr>
        <w:t>依据《</w:t>
      </w:r>
      <w:r>
        <w:rPr>
          <w:rFonts w:hint="eastAsia" w:ascii="Arial" w:hAnsi="Arial" w:cs="Arial"/>
          <w:sz w:val="22"/>
          <w:lang w:eastAsia="zh-CN"/>
        </w:rPr>
        <w:t>中华人民共和国文物保护法</w:t>
      </w:r>
      <w:r>
        <w:rPr>
          <w:rFonts w:ascii="Arial" w:hAnsi="Arial" w:cs="Arial"/>
          <w:sz w:val="22"/>
        </w:rPr>
        <w:t>》的规定，报请省人民政府文物行政部门，组织考古发掘的单位对工程范围内埋藏文物的地方进行考古调查、勘探。附件7</w:t>
      </w:r>
      <w:r>
        <w:rPr>
          <w:rFonts w:ascii="Arial" w:hAnsi="Arial" w:cs="Arial"/>
          <w:sz w:val="22"/>
        </w:rPr>
        <w:fldChar w:fldCharType="begin"/>
      </w:r>
      <w:r>
        <w:rPr>
          <w:rFonts w:ascii="Arial" w:hAnsi="Arial" w:cs="Arial"/>
          <w:sz w:val="22"/>
        </w:rPr>
        <w:instrText xml:space="preserve"> REF _Ref114588740 \h  \* MERGEFORMAT </w:instrText>
      </w:r>
      <w:r>
        <w:rPr>
          <w:rFonts w:ascii="Arial" w:hAnsi="Arial" w:cs="Arial"/>
          <w:sz w:val="22"/>
        </w:rPr>
        <w:fldChar w:fldCharType="separate"/>
      </w:r>
      <w:r>
        <w:rPr>
          <w:rFonts w:ascii="Arial" w:hAnsi="Arial" w:cs="Arial"/>
          <w:sz w:val="22"/>
        </w:rPr>
        <w:t>图 31</w:t>
      </w:r>
      <w:r>
        <w:rPr>
          <w:rFonts w:ascii="Arial" w:hAnsi="Arial" w:cs="Arial"/>
          <w:sz w:val="22"/>
        </w:rPr>
        <w:fldChar w:fldCharType="end"/>
      </w:r>
      <w:r>
        <w:rPr>
          <w:rFonts w:ascii="Arial" w:hAnsi="Arial" w:cs="Arial"/>
          <w:sz w:val="22"/>
        </w:rPr>
        <w:t>是澧县文物局出具的关于一项农村能源项目的选址意见，体现了文物保护体系的效力在项目选址阶段得以履行。</w:t>
      </w:r>
    </w:p>
    <w:p w14:paraId="14C7245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项目管理的过程中，各相关部门按照文物保护法规的要求</w:t>
      </w:r>
      <w:r>
        <w:rPr>
          <w:rFonts w:hint="eastAsia" w:ascii="Arial" w:hAnsi="Arial" w:cs="Arial"/>
          <w:sz w:val="22"/>
          <w:lang w:eastAsia="zh-CN"/>
        </w:rPr>
        <w:t>充分考虑</w:t>
      </w:r>
      <w:r>
        <w:rPr>
          <w:rFonts w:ascii="Arial" w:hAnsi="Arial" w:cs="Arial"/>
          <w:sz w:val="22"/>
        </w:rPr>
        <w:t>对文物资源的潜在影响，通过方案优化尽可能避免对文物影响。对于不可避免的影响，需要制定严格的管理方案并获取批复后方可实施。</w:t>
      </w:r>
    </w:p>
    <w:p w14:paraId="36C92473">
      <w:pPr>
        <w:pStyle w:val="4"/>
        <w:numPr>
          <w:ilvl w:val="2"/>
          <w:numId w:val="29"/>
        </w:numPr>
        <w:adjustRightInd w:val="0"/>
        <w:snapToGrid w:val="0"/>
        <w:spacing w:before="120" w:after="120" w:line="240" w:lineRule="auto"/>
        <w:ind w:left="709" w:hanging="709"/>
        <w:rPr>
          <w:rFonts w:ascii="Arial" w:hAnsi="Arial" w:cs="Arial"/>
          <w:sz w:val="22"/>
          <w:szCs w:val="22"/>
        </w:rPr>
      </w:pPr>
      <w:bookmarkStart w:id="479" w:name="_Toc90729538"/>
      <w:r>
        <w:rPr>
          <w:rFonts w:ascii="Arial" w:hAnsi="Arial" w:cs="Arial"/>
          <w:sz w:val="22"/>
          <w:szCs w:val="22"/>
        </w:rPr>
        <w:tab/>
      </w:r>
      <w:bookmarkStart w:id="480" w:name="_Toc114235846"/>
      <w:bookmarkStart w:id="481" w:name="_Toc119937316"/>
      <w:r>
        <w:rPr>
          <w:rFonts w:ascii="Arial" w:hAnsi="Arial" w:cs="Arial"/>
          <w:sz w:val="22"/>
          <w:szCs w:val="22"/>
        </w:rPr>
        <w:t>核心原则3：公众和劳动者安全</w:t>
      </w:r>
      <w:bookmarkEnd w:id="479"/>
      <w:r>
        <w:rPr>
          <w:rFonts w:ascii="Arial" w:hAnsi="Arial" w:cs="Arial"/>
          <w:sz w:val="22"/>
          <w:szCs w:val="22"/>
        </w:rPr>
        <w:t>管理体系</w:t>
      </w:r>
      <w:bookmarkEnd w:id="480"/>
      <w:bookmarkEnd w:id="481"/>
    </w:p>
    <w:p w14:paraId="5D880E44">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要素6：</w:t>
      </w:r>
      <w:r>
        <w:rPr>
          <w:rFonts w:ascii="Arial" w:hAnsi="Arial" w:eastAsia="宋体" w:cs="Arial"/>
          <w:lang w:eastAsia="zh-CN"/>
        </w:rPr>
        <w:t>通过项目设施安全设计、施工和运营，或在开展项目活动中采取安全措施、安全检查和必要的补救措施保证社区、个人和工人的安全。</w:t>
      </w:r>
    </w:p>
    <w:p w14:paraId="4798334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482" w:name="_Hlk90672123"/>
      <w:r>
        <w:rPr>
          <w:rFonts w:ascii="Arial" w:hAnsi="Arial" w:cs="Arial"/>
          <w:sz w:val="22"/>
        </w:rPr>
        <w:t>如第5.2章节以及第5.3章节所述，各级政府都建立了劳动管理体系，包括相关法律法规和相应的劳动管理机构。对抽样县的调查表明，该劳动管理制度基本运行有效。调查结果还显示，在企业或单位内未发现童工</w:t>
      </w:r>
      <w:r>
        <w:rPr>
          <w:rFonts w:hint="eastAsia" w:ascii="Arial" w:hAnsi="Arial" w:cs="Arial"/>
          <w:sz w:val="22"/>
          <w:lang w:eastAsia="zh-CN"/>
        </w:rPr>
        <w:t>（16</w:t>
      </w:r>
      <w:r>
        <w:rPr>
          <w:rFonts w:ascii="Arial" w:hAnsi="Arial" w:cs="Arial"/>
          <w:sz w:val="22"/>
        </w:rPr>
        <w:t>周岁以下</w:t>
      </w:r>
      <w:r>
        <w:rPr>
          <w:rFonts w:hint="eastAsia" w:ascii="Arial" w:hAnsi="Arial" w:cs="Arial"/>
          <w:sz w:val="22"/>
          <w:lang w:eastAsia="zh-CN"/>
        </w:rPr>
        <w:t>）</w:t>
      </w:r>
      <w:r>
        <w:rPr>
          <w:rFonts w:ascii="Arial" w:hAnsi="Arial" w:cs="Arial"/>
          <w:sz w:val="22"/>
        </w:rPr>
        <w:t xml:space="preserve">。  </w:t>
      </w:r>
    </w:p>
    <w:p w14:paraId="34F3E5D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职业健康管理：</w:t>
      </w:r>
      <w:r>
        <w:rPr>
          <w:rFonts w:ascii="Arial" w:hAnsi="Arial" w:cs="Arial"/>
          <w:sz w:val="22"/>
        </w:rPr>
        <w:t>项目涉及建设和运行管理的活动包括畜禽粪污资源化利用设施、秸秆回收资源化处理设施、农村垃圾收集转运设施和农村污水收集处理设施。从样本县的调查得知，这些设施在建设和运行中按照建设项目管理的要求，在筹备建设的评估阶段，通过可研报告的专章分析建设和运行期间潜在的施工安全风险和制定相应管理措施，一些较大型项目的可行性研究报告中还进行了建设施工期和运行期劳动者的职业病危害因素预评估，并制定了管理措施。例如湖北省仙桃市君林养殖专业合作社15万羽养鸡场及粪污资源化利用项目第十章“劳动保护与安全卫生”、湖南省澧县乡镇污水系统建设工程的可行性研究报告第十二章为“劳动保护、职业安全与卫生”，分析识别了各项潜在的职业病危害因素，如自然灾害、管道有毒有害气体、蚊蝇传染疾病因素，并针对各项危害因素制定了管理计划。澧县乡镇污水处理厂由第三方公司运行，该企业针对职业病预评估中识别的健康危害因素，制定了企业职业健康管理规章制度，例如该企业在每个转运站安排了2名操作人员。在提供的员工职业病培训资料中可以看出，转运站的职业病危害因素包括振动和</w:t>
      </w:r>
      <w:r>
        <w:rPr>
          <w:rFonts w:hint="eastAsia" w:ascii="Arial" w:hAnsi="Arial" w:cs="Arial"/>
          <w:sz w:val="22"/>
          <w:lang w:eastAsia="zh-CN"/>
        </w:rPr>
        <w:t>噪声</w:t>
      </w:r>
      <w:r>
        <w:rPr>
          <w:rFonts w:ascii="Arial" w:hAnsi="Arial" w:cs="Arial"/>
          <w:sz w:val="22"/>
        </w:rPr>
        <w:t>，因此，运营单位专门制定了针对该项危害因素的培训和日常管理制度。除了规模较大的建设项目，</w:t>
      </w:r>
      <w:bookmarkStart w:id="483" w:name="_Hlk90671541"/>
      <w:r>
        <w:rPr>
          <w:rFonts w:ascii="Arial" w:hAnsi="Arial" w:cs="Arial"/>
          <w:sz w:val="22"/>
        </w:rPr>
        <w:t>一些规模较小的污水处理设施、垃圾收集转运设施、畜禽粪污处理设施和秸秆回收处理设施，在前期准备阶段大部分编制了可行性研究报告或</w:t>
      </w:r>
      <w:r>
        <w:rPr>
          <w:rFonts w:hint="eastAsia" w:ascii="Arial" w:hAnsi="Arial" w:cs="Arial"/>
          <w:sz w:val="22"/>
          <w:lang w:eastAsia="zh-CN"/>
        </w:rPr>
        <w:t>其他类似</w:t>
      </w:r>
      <w:r>
        <w:rPr>
          <w:rFonts w:ascii="Arial" w:hAnsi="Arial" w:cs="Arial"/>
          <w:sz w:val="22"/>
        </w:rPr>
        <w:t>报告，例如湖北省阳新县高标准农田建设项目，按照省农业农村厅规定（鄂农发</w:t>
      </w:r>
      <w:r>
        <w:rPr>
          <w:rFonts w:hint="eastAsia" w:ascii="Arial" w:hAnsi="Arial" w:cs="Arial"/>
          <w:sz w:val="22"/>
          <w:lang w:eastAsia="zh-CN"/>
        </w:rPr>
        <w:t>〔2020〕18号</w:t>
      </w:r>
      <w:r>
        <w:rPr>
          <w:rFonts w:ascii="Arial" w:hAnsi="Arial" w:cs="Arial"/>
          <w:sz w:val="22"/>
        </w:rPr>
        <w:t>第十条），直接编制了项目初步设计。</w:t>
      </w:r>
      <w:bookmarkEnd w:id="483"/>
      <w:r>
        <w:rPr>
          <w:rFonts w:ascii="Arial" w:hAnsi="Arial" w:cs="Arial"/>
          <w:sz w:val="22"/>
        </w:rPr>
        <w:t>在相关评估和设计文件中均包含了职业病危害的评估及相关管理措施的设计，少部分畜禽处理设施和秸秆回收处理设施未进行员工职业健康相关的评估。在运行管理方面，相关设施企业均按照职业健康管理的要求，为员工提供体检、个人防护设备、职业健康安全培训等，但存在部分设施在员工职业健康体检、个人防护设备佩戴等方面，没有严格按要求履行，例如依据《职业病诊断与鉴定管理办法》（2020），职业健康体检通常由卫生行政部门指定的医疗卫生单位负责，但一些小型的企业对此缺乏认识，需要进一步的指导和培训。另一方面，卫健部门每年组织抽查，人力资源和社会保障部门和卫生部门共同参加，评估相关企业职业健康与安全措施是否到位，“三同时”的落实情况，相关设施企业开展职业病危害因素监测的情况等，对检查中发现的问题，督促企业处理和整改。调查中发现，对于污水处理设施、垃圾收集转运设施、畜禽粪污处理设施和秸秆回收处理设施等行业企业的员工职业健康，一些地方卫健部门的检查频次相对较少。</w:t>
      </w:r>
    </w:p>
    <w:p w14:paraId="0BC521A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劳工纠纷解决机制：</w:t>
      </w:r>
      <w:r>
        <w:rPr>
          <w:rFonts w:ascii="Arial" w:hAnsi="Arial" w:cs="Arial"/>
          <w:sz w:val="22"/>
        </w:rPr>
        <w:t>从企业到县政府，设置了三级劳工纠纷解决机制，分别是企业内部劳工纠纷申诉机制、乡政府劳动纠纷调解中心和县政府劳动调解中心。针对劳工纠纷，职工既可以选择申请调解仲裁</w:t>
      </w:r>
      <w:r>
        <w:rPr>
          <w:rFonts w:hint="eastAsia" w:ascii="Arial" w:hAnsi="Arial" w:cs="Arial"/>
          <w:sz w:val="22"/>
          <w:lang w:eastAsia="zh-CN"/>
        </w:rPr>
        <w:t>，也</w:t>
      </w:r>
      <w:r>
        <w:rPr>
          <w:rFonts w:ascii="Arial" w:hAnsi="Arial" w:cs="Arial"/>
          <w:sz w:val="22"/>
        </w:rPr>
        <w:t>可以进行向法院提起诉讼</w:t>
      </w:r>
      <w:r>
        <w:rPr>
          <w:rFonts w:hint="eastAsia" w:ascii="Arial" w:hAnsi="Arial" w:cs="Arial"/>
          <w:sz w:val="22"/>
          <w:lang w:eastAsia="zh-CN"/>
        </w:rPr>
        <w:t>，还</w:t>
      </w:r>
      <w:r>
        <w:rPr>
          <w:rFonts w:ascii="Arial" w:hAnsi="Arial" w:cs="Arial"/>
          <w:sz w:val="22"/>
        </w:rPr>
        <w:t>可以进行协商解决。多数县反映的主要解决渠道是劳动调解，例如</w:t>
      </w:r>
      <w:bookmarkStart w:id="484" w:name="_Hlk113873377"/>
      <w:r>
        <w:rPr>
          <w:rFonts w:ascii="Arial" w:hAnsi="Arial" w:cs="Arial"/>
          <w:sz w:val="22"/>
        </w:rPr>
        <w:t>湖南省衡南人社局2021年共受理82个劳动纠纷案件，其中调解解决60件（占总数的73%），裁决22件</w:t>
      </w:r>
      <w:bookmarkEnd w:id="484"/>
      <w:r>
        <w:rPr>
          <w:rFonts w:ascii="Arial" w:hAnsi="Arial" w:cs="Arial"/>
          <w:sz w:val="22"/>
        </w:rPr>
        <w:t>，</w:t>
      </w:r>
      <w:bookmarkStart w:id="485" w:name="_Hlk113873386"/>
      <w:r>
        <w:rPr>
          <w:rFonts w:ascii="Arial" w:hAnsi="Arial" w:cs="Arial"/>
          <w:sz w:val="22"/>
        </w:rPr>
        <w:t>湖北省仙桃市人社局2021年受理案件189件，其中调解解决135件（占总数的73%），仲裁裁决案件数54件</w:t>
      </w:r>
      <w:bookmarkEnd w:id="485"/>
      <w:r>
        <w:rPr>
          <w:rFonts w:ascii="Arial" w:hAnsi="Arial" w:cs="Arial"/>
          <w:sz w:val="22"/>
        </w:rPr>
        <w:t>。主要纠纷包括劳动工伤、劳动关系解除、经济补偿、欠薪等问题。此外各地劳动部门表示，工会和各单位人事管理部门也通常是企业劳动安全和人事纠纷解决途径，工会能帮助员工在获得安全培训、健康检查、工作环境和生活需求等方面争取权益。通过与各地人社部门确认，劳动纠纷解决机制基本一致：发生劳动人事纠纷的，员工可向劳动部门的劳动保障监察执法机构寻求帮助，也可直接提请劳动争议仲裁。劳动保障监察执法机构在收到投诉后5个工作日内调查是否立案，对符合受理原则的案件（例如违法行为发生在2年内等）要求60个工作日内办结，复杂的经批准可以延长30个工作日。如员工对处理结果不满意的，可在6个月内提请劳动争议仲裁。劳动争议申请仲裁的时效期间为一年。劳动争议仲裁包括两个层次，包括调解和仲裁。通常情况下，优先推荐进行调解，自劳动争议调解组织收到调解申请之日起15日内达成调解协议的，双方当事人签订调解协议，15日内未达成调解协议的，当事人可以依法申请仲裁。仲裁庭裁决案件应当自仲裁委员会受理仲裁申请之日起45日内结束。案情复杂需要延期的，经仲裁委员会主任批准，可以延期并书面通知当事人，但延长期限不得超过15日。逾期未</w:t>
      </w:r>
      <w:r>
        <w:rPr>
          <w:rFonts w:hint="eastAsia" w:ascii="Arial" w:hAnsi="Arial" w:cs="Arial"/>
          <w:sz w:val="22"/>
          <w:lang w:eastAsia="zh-CN"/>
        </w:rPr>
        <w:t>作出</w:t>
      </w:r>
      <w:r>
        <w:rPr>
          <w:rFonts w:ascii="Arial" w:hAnsi="Arial" w:cs="Arial"/>
          <w:sz w:val="22"/>
        </w:rPr>
        <w:t>仲裁裁决的，当事人可以就该劳动争议事项向人民法院提起诉讼。其结果包括三种案前调解、立案受理、不予受理三种，对于不予受理的，应向申请人提供书面说明。</w:t>
      </w:r>
    </w:p>
    <w:p w14:paraId="24A9C902">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486" w:name="_Hlk68167498"/>
      <w:r>
        <w:rPr>
          <w:rFonts w:ascii="Arial" w:hAnsi="Arial" w:cs="Arial"/>
          <w:b/>
          <w:bCs/>
          <w:sz w:val="22"/>
        </w:rPr>
        <w:t>女性员工权益：</w:t>
      </w:r>
      <w:r>
        <w:rPr>
          <w:rFonts w:ascii="Arial" w:hAnsi="Arial" w:cs="Arial"/>
          <w:sz w:val="22"/>
        </w:rPr>
        <w:t>从样本县妇联组织了解到，妇联每年参与市县劳动、卫健等部门对企业的监督检查，对妇女权益保护工作进行检查。检查单位包括各乡镇污水处理设施、专业畜禽粪污资源化利用设施</w:t>
      </w:r>
      <w:r>
        <w:rPr>
          <w:rFonts w:hint="eastAsia" w:ascii="Arial" w:hAnsi="Arial" w:cs="Arial"/>
          <w:sz w:val="22"/>
          <w:lang w:eastAsia="zh-CN"/>
        </w:rPr>
        <w:t>，以及</w:t>
      </w:r>
      <w:r>
        <w:rPr>
          <w:rFonts w:ascii="Arial" w:hAnsi="Arial" w:cs="Arial"/>
          <w:sz w:val="22"/>
        </w:rPr>
        <w:t>生活垃圾收集处理企业等。另一方面，企业遵循了女职工权益保护法律法规要求和公司的规章制度，例如遵守男女平等、同工同酬，并针对女性制定特殊优待政策，例如女职工两癌筛查体检，安排岗位时听取女职工意见，不安排孕期内妇女从事体力或工作环境不佳的岗位、依法提供孕产假福利</w:t>
      </w:r>
      <w:r>
        <w:rPr>
          <w:rFonts w:hint="eastAsia" w:ascii="Arial" w:hAnsi="Arial" w:cs="Arial"/>
          <w:sz w:val="22"/>
          <w:lang w:eastAsia="zh-CN"/>
        </w:rPr>
        <w:t>等</w:t>
      </w:r>
      <w:r>
        <w:rPr>
          <w:rFonts w:ascii="Arial" w:hAnsi="Arial" w:cs="Arial"/>
          <w:sz w:val="22"/>
        </w:rPr>
        <w:t>保护和福利政策。</w:t>
      </w:r>
      <w:bookmarkStart w:id="487" w:name="_Hlk79165033"/>
    </w:p>
    <w:bookmarkEnd w:id="486"/>
    <w:bookmarkEnd w:id="487"/>
    <w:p w14:paraId="20911F6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评价：</w:t>
      </w:r>
      <w:r>
        <w:rPr>
          <w:rFonts w:ascii="Arial" w:hAnsi="Arial" w:cs="Arial"/>
          <w:sz w:val="22"/>
        </w:rPr>
        <w:t>整体而言，相关设施在项目准备、设计、建设和运行等阶段，均能按照国家法律法规要求，履行劳动者健康与安全管理的要求和措施。一些</w:t>
      </w:r>
      <w:r>
        <w:rPr>
          <w:rFonts w:hint="eastAsia" w:ascii="Arial" w:hAnsi="Arial" w:cs="Arial"/>
          <w:sz w:val="22"/>
          <w:lang w:eastAsia="zh-CN"/>
        </w:rPr>
        <w:t>小型</w:t>
      </w:r>
      <w:r>
        <w:rPr>
          <w:rFonts w:ascii="Arial" w:hAnsi="Arial" w:cs="Arial"/>
          <w:sz w:val="22"/>
        </w:rPr>
        <w:t>企业对职业健康与</w:t>
      </w:r>
      <w:r>
        <w:rPr>
          <w:rFonts w:hint="eastAsia" w:ascii="Arial" w:hAnsi="Arial" w:cs="Arial"/>
          <w:sz w:val="22"/>
          <w:lang w:eastAsia="zh-CN"/>
        </w:rPr>
        <w:t>安全</w:t>
      </w:r>
      <w:r>
        <w:rPr>
          <w:rFonts w:ascii="Arial" w:hAnsi="Arial" w:cs="Arial"/>
          <w:sz w:val="22"/>
        </w:rPr>
        <w:t>管理方面的法规要求和认识水平有待提高，同时一些地方卫健部门对小型设施的员工职业健康管理的监管还有待加强，建议一方面加强相关企业的培训和指导，同时加强对有关企业员工职业健康管理的监督。</w:t>
      </w:r>
    </w:p>
    <w:bookmarkEnd w:id="482"/>
    <w:p w14:paraId="7A6F804C">
      <w:pPr>
        <w:pStyle w:val="66"/>
        <w:shd w:val="clear" w:color="auto" w:fill="D8D8D8" w:themeFill="background1" w:themeFillShade="D9"/>
        <w:tabs>
          <w:tab w:val="clear" w:pos="540"/>
        </w:tabs>
        <w:adjustRightInd w:val="0"/>
        <w:snapToGrid w:val="0"/>
        <w:spacing w:before="120" w:after="120"/>
        <w:rPr>
          <w:rFonts w:ascii="Arial" w:hAnsi="Arial" w:eastAsia="宋体" w:cs="Arial"/>
          <w:lang w:eastAsia="zh-CN"/>
        </w:rPr>
      </w:pPr>
      <w:r>
        <w:rPr>
          <w:rFonts w:ascii="Arial" w:hAnsi="Arial" w:eastAsia="宋体" w:cs="Arial"/>
          <w:b/>
          <w:bCs/>
          <w:lang w:eastAsia="zh-CN"/>
        </w:rPr>
        <w:t>要素8：</w:t>
      </w:r>
      <w:r>
        <w:rPr>
          <w:rFonts w:ascii="Arial" w:hAnsi="Arial" w:eastAsia="宋体" w:cs="Arial"/>
          <w:lang w:eastAsia="zh-CN"/>
        </w:rPr>
        <w:t>在自然灾害易发区（如洪水、飓风、地震或其他气候事件）的项目活动，应采取措施避免、减少或减缓社区、个人和工人的风险。</w:t>
      </w:r>
    </w:p>
    <w:p w14:paraId="2299CC7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建设项目和企业管理：</w:t>
      </w:r>
      <w:r>
        <w:rPr>
          <w:rFonts w:ascii="Arial" w:hAnsi="Arial" w:cs="Arial"/>
          <w:sz w:val="22"/>
        </w:rPr>
        <w:t>对湖北湖南各种垃圾收集转运企业、畜禽粪污资源化利用企业、秸秆回收处理企业的走访和调查表明，在项目评估阶段，在可行性研究报告或项目建设设计方案等评估报告中进行了地质灾害专章分析，或者专门开展了地质灾害评估，识别潜在的自然灾害对项目建设和运行阶段的影响和风险，制定管理计划；在建设阶段，施工前签订施工单位合同时参考可研和专项评估的结论，注明施工方在管理社区和员工健康安全的责任义务；施工期间，根据拟定的安全管理计划，设置各种安全管理岗位和责任人，包括安全监理人员，实施施工场地健康安全管理，并制定监测机制确保施工现场的人员安全健康管理措施按照制定的管理计划要求落实；在项目运行期间，各单位根据有关评估结论和管理计划，制定有各种形式的规章制度或《员工管理手册》和传染病疫情管理机制，并实施了相关的培训、登记、监管制度。在各单位公共区域，均公示了员工疫情管理的要求和流程示意图。</w:t>
      </w:r>
    </w:p>
    <w:p w14:paraId="01449CA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政府行政管理：</w:t>
      </w:r>
      <w:r>
        <w:rPr>
          <w:rFonts w:ascii="Arial" w:hAnsi="Arial" w:cs="Arial"/>
          <w:sz w:val="22"/>
        </w:rPr>
        <w:t>在传染病防控方面，各市县政府、卫健委和主管部门的管理力度都很大，每年都出台各专项管理制度，并严格监管辖区内相关单位的落实情况。以湖北省</w:t>
      </w:r>
      <w:bookmarkStart w:id="488" w:name="_Hlk113873412"/>
      <w:r>
        <w:rPr>
          <w:rFonts w:ascii="Arial" w:hAnsi="Arial" w:cs="Arial"/>
          <w:sz w:val="22"/>
        </w:rPr>
        <w:t>洪湖市为例，2021</w:t>
      </w:r>
      <w:r>
        <w:rPr>
          <w:rFonts w:hint="eastAsia" w:ascii="Arial" w:hAnsi="Arial" w:cs="Arial"/>
          <w:sz w:val="22"/>
          <w:lang w:eastAsia="zh-CN"/>
        </w:rPr>
        <w:t>年</w:t>
      </w:r>
      <w:r>
        <w:rPr>
          <w:rFonts w:ascii="Arial" w:hAnsi="Arial" w:cs="Arial"/>
          <w:sz w:val="22"/>
        </w:rPr>
        <w:t>洪湖市政府通过卫健部门发布了5</w:t>
      </w:r>
      <w:r>
        <w:rPr>
          <w:rFonts w:hint="eastAsia" w:ascii="Arial" w:hAnsi="Arial" w:cs="Arial"/>
          <w:sz w:val="22"/>
        </w:rPr>
        <w:t>个</w:t>
      </w:r>
      <w:r>
        <w:rPr>
          <w:rFonts w:ascii="Arial" w:hAnsi="Arial" w:cs="Arial"/>
          <w:sz w:val="22"/>
        </w:rPr>
        <w:t>新冠疫情控制管理文件，如《关于强化疫情防控措施的通告》，为坚决遏制疫情传播和扩散蔓延，确保“外防输入、内防反弹”各项措施落实落地，将管理落实到乡镇、村社主要领导，由这些基层政府组织网格化全天候管理行政范围内的下属单位和企事业、个体户和居民，如注射疫苗、流动人员登记管理</w:t>
      </w:r>
      <w:bookmarkEnd w:id="488"/>
      <w:r>
        <w:rPr>
          <w:rFonts w:ascii="Arial" w:hAnsi="Arial" w:cs="Arial"/>
          <w:sz w:val="22"/>
        </w:rPr>
        <w:t>。</w:t>
      </w:r>
    </w:p>
    <w:p w14:paraId="403ACD2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评价：</w:t>
      </w:r>
      <w:r>
        <w:rPr>
          <w:rFonts w:ascii="Arial" w:hAnsi="Arial" w:cs="Arial"/>
          <w:sz w:val="22"/>
        </w:rPr>
        <w:t>关于社区人员和工人在应对安全和传染病方面的管理，在项目建设和运行阶段，通过政府系统和企业自我管理系统，能够</w:t>
      </w:r>
      <w:r>
        <w:rPr>
          <w:rFonts w:hint="eastAsia" w:ascii="Arial" w:hAnsi="Arial" w:cs="Arial"/>
          <w:sz w:val="22"/>
          <w:lang w:eastAsia="zh-CN"/>
        </w:rPr>
        <w:t>得到</w:t>
      </w:r>
      <w:r>
        <w:rPr>
          <w:rFonts w:ascii="Arial" w:hAnsi="Arial" w:cs="Arial"/>
          <w:sz w:val="22"/>
        </w:rPr>
        <w:t>有效管理。</w:t>
      </w:r>
    </w:p>
    <w:p w14:paraId="2ADDD94B">
      <w:pPr>
        <w:pStyle w:val="4"/>
        <w:numPr>
          <w:ilvl w:val="2"/>
          <w:numId w:val="29"/>
        </w:numPr>
        <w:adjustRightInd w:val="0"/>
        <w:snapToGrid w:val="0"/>
        <w:spacing w:before="120" w:after="120" w:line="240" w:lineRule="auto"/>
        <w:ind w:left="851" w:hanging="851"/>
        <w:rPr>
          <w:rFonts w:ascii="Arial" w:hAnsi="Arial" w:cs="Arial"/>
          <w:color w:val="000000" w:themeColor="text1"/>
          <w:sz w:val="22"/>
          <w:szCs w:val="22"/>
          <w14:textFill>
            <w14:solidFill>
              <w14:schemeClr w14:val="tx1"/>
            </w14:solidFill>
          </w14:textFill>
        </w:rPr>
      </w:pPr>
      <w:bookmarkStart w:id="489" w:name="_Toc114235847"/>
      <w:bookmarkStart w:id="490" w:name="_Toc119937317"/>
      <w:bookmarkStart w:id="491" w:name="_Toc90729539"/>
      <w:r>
        <w:rPr>
          <w:rFonts w:ascii="Arial" w:hAnsi="Arial" w:cs="Arial"/>
          <w:color w:val="000000" w:themeColor="text1"/>
          <w:sz w:val="22"/>
          <w:szCs w:val="22"/>
          <w14:textFill>
            <w14:solidFill>
              <w14:schemeClr w14:val="tx1"/>
            </w14:solidFill>
          </w14:textFill>
        </w:rPr>
        <w:t>核心原则4：非志愿移民管理体系</w:t>
      </w:r>
      <w:bookmarkEnd w:id="489"/>
      <w:bookmarkEnd w:id="490"/>
      <w:bookmarkEnd w:id="491"/>
    </w:p>
    <w:p w14:paraId="1BE5DC0E">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经过实地考察和样本县的调查，项目可能涉及四种用地方式：1）永久征地，主要涉及农村生活垃圾收集转运设施和部分达到一定规模的集中式乡镇污水处理设施、畜禽养殖粪污资源化利用设施和秸秆处理化设施；2）设施农用地备案，涉及部分畜禽养殖粪污资源化利用设施和秸秆处理化设施，按照设施农用地备案的方式占用土地；3）农村闲置土地使用，大部分农村污水设施占地面积在100</w:t>
      </w:r>
      <w:r>
        <w:rPr>
          <w:rFonts w:hint="eastAsia" w:ascii="Arial" w:hAnsi="Arial" w:cs="Arial"/>
          <w:sz w:val="22"/>
          <w:lang w:eastAsia="zh-CN"/>
        </w:rPr>
        <w:t>—</w:t>
      </w:r>
      <w:r>
        <w:rPr>
          <w:rFonts w:ascii="Arial" w:hAnsi="Arial" w:cs="Arial"/>
          <w:sz w:val="22"/>
        </w:rPr>
        <w:t>400m</w:t>
      </w:r>
      <w:r>
        <w:rPr>
          <w:rFonts w:ascii="Arial" w:hAnsi="Arial" w:cs="Arial"/>
          <w:sz w:val="22"/>
          <w:vertAlign w:val="superscript"/>
        </w:rPr>
        <w:t>2</w:t>
      </w:r>
      <w:r>
        <w:rPr>
          <w:rFonts w:ascii="Arial" w:hAnsi="Arial" w:cs="Arial"/>
          <w:sz w:val="22"/>
        </w:rPr>
        <w:t>，占用农村集体自有土地，通常设置在闲置的集体建设用地或未利用地上。4）土地流转，涉及绿色农业及其相关设施，如灌溉设施。</w:t>
      </w:r>
    </w:p>
    <w:p w14:paraId="5C37B55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各用地方式通过不同的管理系统来管理负面影响。以下从要素9包括的6个方面分析征地和移民实施效果。</w:t>
      </w:r>
    </w:p>
    <w:p w14:paraId="6034A38B">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w:t>
      </w:r>
      <w:r>
        <w:rPr>
          <w:rFonts w:ascii="Arial" w:hAnsi="Arial" w:cs="Arial"/>
          <w:b/>
          <w:bCs/>
          <w:sz w:val="22"/>
        </w:rPr>
        <w:t>i</w:t>
      </w:r>
      <w:r>
        <w:rPr>
          <w:rFonts w:hint="eastAsia" w:ascii="Arial" w:hAnsi="Arial" w:cs="Arial"/>
          <w:b/>
          <w:bCs/>
          <w:sz w:val="22"/>
          <w:lang w:eastAsia="zh-CN"/>
        </w:rPr>
        <w:t>）</w:t>
      </w:r>
      <w:r>
        <w:rPr>
          <w:rFonts w:ascii="Arial" w:hAnsi="Arial" w:cs="Arial"/>
          <w:b/>
          <w:bCs/>
          <w:sz w:val="22"/>
        </w:rPr>
        <w:t xml:space="preserve"> 避免和减少征地相关负面影响</w:t>
      </w:r>
    </w:p>
    <w:p w14:paraId="5E72FCA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在需要采取永久征用集体土地的项目，例如湖北省仙桃市17个乡镇污水处理站，湖南省慈利县乡镇农村生活垃圾收集及转运工程，根据法定土地征收流程，</w:t>
      </w:r>
      <w:r>
        <w:rPr>
          <w:rFonts w:hint="eastAsia" w:ascii="Arial" w:hAnsi="Arial" w:cs="Arial"/>
          <w:sz w:val="22"/>
          <w:lang w:eastAsia="zh-CN"/>
        </w:rPr>
        <w:t>分别</w:t>
      </w:r>
      <w:r>
        <w:rPr>
          <w:rFonts w:ascii="Arial" w:hAnsi="Arial" w:cs="Arial"/>
          <w:sz w:val="22"/>
        </w:rPr>
        <w:t>办理了“建设用地预审批复”和“选址意见书”，这意味着项目在前期准备阶段，有关政府部门依法组织了土地踏勘和筛查。（如附件7的</w:t>
      </w:r>
      <w:r>
        <w:rPr>
          <w:rFonts w:ascii="Arial" w:hAnsi="Arial" w:cs="Arial"/>
          <w:sz w:val="22"/>
        </w:rPr>
        <w:fldChar w:fldCharType="begin"/>
      </w:r>
      <w:r>
        <w:rPr>
          <w:rFonts w:ascii="Arial" w:hAnsi="Arial" w:cs="Arial"/>
          <w:sz w:val="22"/>
        </w:rPr>
        <w:instrText xml:space="preserve"> REF _Ref114588886 \h  \* MERGEFORMAT </w:instrText>
      </w:r>
      <w:r>
        <w:rPr>
          <w:rFonts w:ascii="Arial" w:hAnsi="Arial" w:cs="Arial"/>
          <w:sz w:val="22"/>
        </w:rPr>
        <w:fldChar w:fldCharType="separate"/>
      </w:r>
      <w:r>
        <w:rPr>
          <w:rFonts w:ascii="Arial" w:hAnsi="Arial" w:cs="Arial"/>
          <w:sz w:val="22"/>
        </w:rPr>
        <w:t>图 32</w:t>
      </w:r>
      <w:r>
        <w:rPr>
          <w:rFonts w:ascii="Arial" w:hAnsi="Arial" w:cs="Arial"/>
          <w:sz w:val="22"/>
        </w:rPr>
        <w:fldChar w:fldCharType="end"/>
      </w:r>
      <w:r>
        <w:rPr>
          <w:rFonts w:ascii="Arial" w:hAnsi="Arial" w:cs="Arial"/>
          <w:sz w:val="22"/>
        </w:rPr>
        <w:t>、</w:t>
      </w:r>
      <w:r>
        <w:rPr>
          <w:rFonts w:ascii="Arial" w:hAnsi="Arial" w:cs="Arial"/>
          <w:sz w:val="22"/>
        </w:rPr>
        <w:fldChar w:fldCharType="begin"/>
      </w:r>
      <w:r>
        <w:rPr>
          <w:rFonts w:ascii="Arial" w:hAnsi="Arial" w:cs="Arial"/>
          <w:sz w:val="22"/>
        </w:rPr>
        <w:instrText xml:space="preserve"> REF _Ref114588889 \h  \* MERGEFORMAT </w:instrText>
      </w:r>
      <w:r>
        <w:rPr>
          <w:rFonts w:ascii="Arial" w:hAnsi="Arial" w:cs="Arial"/>
          <w:sz w:val="22"/>
        </w:rPr>
        <w:fldChar w:fldCharType="separate"/>
      </w:r>
      <w:r>
        <w:rPr>
          <w:rFonts w:ascii="Arial" w:hAnsi="Arial" w:cs="Arial"/>
          <w:sz w:val="22"/>
        </w:rPr>
        <w:t>图 33</w:t>
      </w:r>
      <w:r>
        <w:rPr>
          <w:rFonts w:ascii="Arial" w:hAnsi="Arial" w:cs="Arial"/>
          <w:sz w:val="22"/>
        </w:rPr>
        <w:fldChar w:fldCharType="end"/>
      </w:r>
      <w:r>
        <w:rPr>
          <w:rFonts w:ascii="Arial" w:hAnsi="Arial" w:cs="Arial"/>
          <w:sz w:val="22"/>
        </w:rPr>
        <w:t>、</w:t>
      </w:r>
      <w:r>
        <w:rPr>
          <w:rFonts w:ascii="Arial" w:hAnsi="Arial" w:cs="Arial"/>
          <w:sz w:val="22"/>
        </w:rPr>
        <w:fldChar w:fldCharType="begin"/>
      </w:r>
      <w:r>
        <w:rPr>
          <w:rFonts w:ascii="Arial" w:hAnsi="Arial" w:cs="Arial"/>
          <w:sz w:val="22"/>
        </w:rPr>
        <w:instrText xml:space="preserve"> REF _Ref114588893 \h  \* MERGEFORMAT </w:instrText>
      </w:r>
      <w:r>
        <w:rPr>
          <w:rFonts w:ascii="Arial" w:hAnsi="Arial" w:cs="Arial"/>
          <w:sz w:val="22"/>
        </w:rPr>
        <w:fldChar w:fldCharType="separate"/>
      </w:r>
      <w:r>
        <w:rPr>
          <w:rFonts w:ascii="Arial" w:hAnsi="Arial" w:cs="Arial"/>
          <w:sz w:val="22"/>
        </w:rPr>
        <w:t>图 34</w:t>
      </w:r>
      <w:r>
        <w:rPr>
          <w:rFonts w:ascii="Arial" w:hAnsi="Arial" w:cs="Arial"/>
          <w:sz w:val="22"/>
        </w:rPr>
        <w:fldChar w:fldCharType="end"/>
      </w:r>
      <w:r>
        <w:rPr>
          <w:rFonts w:ascii="Arial" w:hAnsi="Arial" w:cs="Arial"/>
          <w:sz w:val="22"/>
        </w:rPr>
        <w:t>、</w:t>
      </w:r>
      <w:r>
        <w:rPr>
          <w:rFonts w:ascii="Arial" w:hAnsi="Arial" w:cs="Arial"/>
          <w:sz w:val="22"/>
        </w:rPr>
        <w:fldChar w:fldCharType="begin"/>
      </w:r>
      <w:r>
        <w:rPr>
          <w:rFonts w:ascii="Arial" w:hAnsi="Arial" w:cs="Arial"/>
          <w:sz w:val="22"/>
        </w:rPr>
        <w:instrText xml:space="preserve"> REF _Ref114588899 \h  \* MERGEFORMAT </w:instrText>
      </w:r>
      <w:r>
        <w:rPr>
          <w:rFonts w:ascii="Arial" w:hAnsi="Arial" w:cs="Arial"/>
          <w:sz w:val="22"/>
        </w:rPr>
        <w:fldChar w:fldCharType="separate"/>
      </w:r>
      <w:r>
        <w:rPr>
          <w:rFonts w:ascii="Arial" w:hAnsi="Arial" w:cs="Arial"/>
          <w:sz w:val="22"/>
        </w:rPr>
        <w:t>图 35</w:t>
      </w:r>
      <w:r>
        <w:rPr>
          <w:rFonts w:ascii="Arial" w:hAnsi="Arial" w:cs="Arial"/>
          <w:sz w:val="22"/>
        </w:rPr>
        <w:fldChar w:fldCharType="end"/>
      </w:r>
      <w:r>
        <w:rPr>
          <w:rFonts w:ascii="Arial" w:hAnsi="Arial" w:cs="Arial"/>
          <w:sz w:val="22"/>
        </w:rPr>
        <w:t>分别是慈利县江垭镇垃圾转运站的选址申请、用地预审意见、土地征用审批文件、土地使用证等材料）</w:t>
      </w:r>
    </w:p>
    <w:p w14:paraId="7C52DDB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采取设施农用地备案的项目，例如湖北省咸宁市崇阳县振邦养殖与粪污处理设施、湖北省随县天夏农业科技专业合作社的秸秆处理设施和湖南省澧县畅缘家禽养殖和粪污处理设施等的农用地备案等，备案过程中，从项目村社、乡镇、到县级相关的职能部门均进行了审查，如县水务局（审查是否在重要水源地附近）、林业部门（对于使用林地方面提出技术要求）、交通部门（</w:t>
      </w:r>
      <w:r>
        <w:rPr>
          <w:rFonts w:hint="eastAsia" w:ascii="Arial" w:hAnsi="Arial" w:cs="Arial"/>
          <w:sz w:val="22"/>
          <w:lang w:eastAsia="zh-CN"/>
        </w:rPr>
        <w:t>公路</w:t>
      </w:r>
      <w:r>
        <w:rPr>
          <w:rFonts w:ascii="Arial" w:hAnsi="Arial" w:cs="Arial"/>
          <w:sz w:val="22"/>
        </w:rPr>
        <w:t>两侧2公里以内不能建养殖场及相关设施）、风景名胜区主管部门（审查是否可在本风景名胜区范围内）、自然资源局（审查规划、是否占用基本农田、占用生态保护红线）、文物管理部门（审查是否在文物保护单位范围内）。（如附件7</w:t>
      </w:r>
      <w:r>
        <w:rPr>
          <w:rFonts w:ascii="Arial" w:hAnsi="Arial" w:cs="Arial"/>
          <w:sz w:val="22"/>
        </w:rPr>
        <w:fldChar w:fldCharType="begin"/>
      </w:r>
      <w:r>
        <w:rPr>
          <w:rFonts w:ascii="Arial" w:hAnsi="Arial" w:cs="Arial"/>
          <w:sz w:val="22"/>
        </w:rPr>
        <w:instrText xml:space="preserve"> REF _Ref92484563 \h  \* MERGEFORMAT </w:instrText>
      </w:r>
      <w:r>
        <w:rPr>
          <w:rFonts w:ascii="Arial" w:hAnsi="Arial" w:cs="Arial"/>
          <w:sz w:val="22"/>
        </w:rPr>
        <w:fldChar w:fldCharType="separate"/>
      </w:r>
      <w:r>
        <w:rPr>
          <w:rFonts w:ascii="Arial" w:hAnsi="Arial" w:cs="Arial"/>
          <w:sz w:val="22"/>
        </w:rPr>
        <w:fldChar w:fldCharType="begin"/>
      </w:r>
      <w:r>
        <w:rPr>
          <w:rFonts w:ascii="Arial" w:hAnsi="Arial" w:cs="Arial"/>
          <w:sz w:val="22"/>
        </w:rPr>
        <w:instrText xml:space="preserve"> REF _Ref114588846 \h  \* MERGEFORMAT </w:instrText>
      </w:r>
      <w:r>
        <w:rPr>
          <w:rFonts w:ascii="Arial" w:hAnsi="Arial" w:cs="Arial"/>
          <w:sz w:val="22"/>
        </w:rPr>
        <w:fldChar w:fldCharType="separate"/>
      </w:r>
      <w:r>
        <w:rPr>
          <w:rFonts w:ascii="Arial" w:hAnsi="Arial" w:cs="Arial"/>
          <w:sz w:val="22"/>
        </w:rPr>
        <w:t>图 36</w:t>
      </w:r>
      <w:r>
        <w:rPr>
          <w:rFonts w:ascii="Arial" w:hAnsi="Arial" w:cs="Arial"/>
          <w:sz w:val="22"/>
        </w:rPr>
        <w:fldChar w:fldCharType="end"/>
      </w:r>
      <w:r>
        <w:rPr>
          <w:rFonts w:ascii="Arial" w:hAnsi="Arial" w:cs="Arial"/>
          <w:sz w:val="22"/>
        </w:rPr>
        <w:t>: 湖北省咸宁市崇阳县振邦养殖与粪污处理设施的设施农用地备案</w:t>
      </w:r>
      <w:r>
        <w:rPr>
          <w:rFonts w:ascii="Arial" w:hAnsi="Arial" w:cs="Arial"/>
          <w:sz w:val="22"/>
        </w:rPr>
        <w:fldChar w:fldCharType="end"/>
      </w:r>
      <w:r>
        <w:rPr>
          <w:rFonts w:ascii="Arial" w:hAnsi="Arial" w:cs="Arial"/>
          <w:sz w:val="22"/>
        </w:rPr>
        <w:t>文件）</w:t>
      </w:r>
    </w:p>
    <w:p w14:paraId="120FBF6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农村污水收集处理设施，通常采取占用村集体经济组织的未利用地或荒地，尽量减少占用农地。如果确需占用农用地，则需要依据《自然资源部农业农村部国家林业和草原局关于严格耕地用途管制有关问题的通知》（自然资发</w:t>
      </w:r>
      <w:r>
        <w:rPr>
          <w:rFonts w:hint="eastAsia" w:ascii="Arial" w:hAnsi="Arial" w:cs="Arial"/>
          <w:sz w:val="22"/>
          <w:lang w:eastAsia="zh-CN"/>
        </w:rPr>
        <w:t>〔2021〕166号</w:t>
      </w:r>
      <w:r>
        <w:rPr>
          <w:rFonts w:ascii="Arial" w:hAnsi="Arial" w:cs="Arial"/>
          <w:sz w:val="22"/>
        </w:rPr>
        <w:t>），并获得乡镇和县自然资源部门的审批，确保用地符合当地土地利用规划，且做好区域内的占一补一、进出平衡，保证耕地面积质量不下降；在村集体内部，还要履行必要的公众参与流程，在集体经济组织内部协商土地调整补偿等解决办法。这种类型的占地是基于自愿协商的，如农户不接受协商结果，通常会选择</w:t>
      </w:r>
      <w:r>
        <w:rPr>
          <w:rFonts w:hint="eastAsia" w:ascii="Arial" w:hAnsi="Arial" w:cs="Arial"/>
          <w:sz w:val="22"/>
          <w:lang w:eastAsia="zh-CN"/>
        </w:rPr>
        <w:t>其他</w:t>
      </w:r>
      <w:r>
        <w:rPr>
          <w:rFonts w:ascii="Arial" w:hAnsi="Arial" w:cs="Arial"/>
          <w:sz w:val="22"/>
        </w:rPr>
        <w:t>地址。以湖南省慈利县长裕铺旱杂粮产业冷库项目建设用地为例，项目仅占用小规模（7.6亩）一般耕地，在村委会及村民内部协商同意后，由用地单位向乡镇政府申请，并报县自然资源局审查和备案。（如附件7</w:t>
      </w:r>
      <w:r>
        <w:rPr>
          <w:rFonts w:ascii="Arial" w:hAnsi="Arial" w:cs="Arial"/>
          <w:sz w:val="22"/>
        </w:rPr>
        <w:fldChar w:fldCharType="begin"/>
      </w:r>
      <w:r>
        <w:rPr>
          <w:rFonts w:ascii="Arial" w:hAnsi="Arial" w:cs="Arial"/>
          <w:sz w:val="22"/>
        </w:rPr>
        <w:instrText xml:space="preserve"> REF _Ref92484563 \h  \* MERGEFORMAT </w:instrText>
      </w:r>
      <w:r>
        <w:rPr>
          <w:rFonts w:ascii="Arial" w:hAnsi="Arial" w:cs="Arial"/>
          <w:sz w:val="22"/>
        </w:rPr>
        <w:fldChar w:fldCharType="separate"/>
      </w:r>
      <w:r>
        <w:rPr>
          <w:rFonts w:ascii="Arial" w:hAnsi="Arial" w:cs="Arial"/>
          <w:sz w:val="22"/>
        </w:rPr>
        <w:fldChar w:fldCharType="begin"/>
      </w:r>
      <w:r>
        <w:rPr>
          <w:rFonts w:ascii="Arial" w:hAnsi="Arial" w:cs="Arial"/>
          <w:sz w:val="22"/>
        </w:rPr>
        <w:instrText xml:space="preserve"> REF _Ref1145888</w:instrText>
      </w:r>
      <w:r>
        <w:rPr>
          <w:rFonts w:hint="eastAsia" w:ascii="Arial" w:hAnsi="Arial" w:cs="Arial"/>
          <w:sz w:val="22"/>
          <w:lang w:eastAsia="zh-CN"/>
        </w:rPr>
        <w:instrText xml:space="preserve">该</w:instrText>
      </w:r>
      <w:r>
        <w:rPr>
          <w:rFonts w:ascii="Arial" w:hAnsi="Arial" w:cs="Arial"/>
          <w:sz w:val="22"/>
        </w:rPr>
        <w:instrText xml:space="preserve">7 \h  \* MERGEFORMAT </w:instrText>
      </w:r>
      <w:r>
        <w:rPr>
          <w:rFonts w:ascii="Arial" w:hAnsi="Arial" w:cs="Arial"/>
          <w:sz w:val="22"/>
        </w:rPr>
        <w:fldChar w:fldCharType="separate"/>
      </w:r>
      <w:r>
        <w:rPr>
          <w:rFonts w:ascii="Arial" w:hAnsi="Arial" w:cs="Arial"/>
          <w:sz w:val="22"/>
        </w:rPr>
        <w:t>图 37</w:t>
      </w:r>
      <w:r>
        <w:rPr>
          <w:rFonts w:ascii="Arial" w:hAnsi="Arial" w:cs="Arial"/>
          <w:sz w:val="22"/>
        </w:rPr>
        <w:fldChar w:fldCharType="end"/>
      </w:r>
      <w:r>
        <w:rPr>
          <w:rFonts w:ascii="Arial" w:hAnsi="Arial" w:cs="Arial"/>
          <w:sz w:val="22"/>
        </w:rPr>
        <w:t xml:space="preserve"> 湖南省慈利县自然资源局就</w:t>
      </w:r>
      <w:r>
        <w:rPr>
          <w:rFonts w:hint="eastAsia" w:ascii="Arial" w:hAnsi="Arial" w:cs="Arial"/>
          <w:sz w:val="22"/>
          <w:lang w:val="en-US" w:eastAsia="zh-CN"/>
        </w:rPr>
        <w:t>该</w:t>
      </w:r>
      <w:r>
        <w:rPr>
          <w:rFonts w:ascii="Arial" w:hAnsi="Arial" w:cs="Arial"/>
          <w:sz w:val="22"/>
        </w:rPr>
        <w:t>项目占用村集体一般耕地的审查备案</w:t>
      </w:r>
      <w:r>
        <w:rPr>
          <w:rFonts w:ascii="Arial" w:hAnsi="Arial" w:cs="Arial"/>
          <w:sz w:val="22"/>
        </w:rPr>
        <w:fldChar w:fldCharType="end"/>
      </w:r>
      <w:r>
        <w:rPr>
          <w:rFonts w:ascii="Arial" w:hAnsi="Arial" w:cs="Arial"/>
          <w:sz w:val="22"/>
        </w:rPr>
        <w:t>文件）</w:t>
      </w:r>
    </w:p>
    <w:p w14:paraId="012E555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土地流转项目通常适用于绿色农业种植及其相关的设施活动，按法律要求只能从事与农业种植相关活动，确保农地农用，不得改变承包土地的所有权性质及其农业用途，对于耕地“非农化”，各地</w:t>
      </w:r>
      <w:r>
        <w:rPr>
          <w:rFonts w:hint="eastAsia" w:ascii="Arial" w:hAnsi="Arial" w:cs="Arial"/>
          <w:sz w:val="22"/>
          <w:lang w:eastAsia="zh-CN"/>
        </w:rPr>
        <w:t>自然资源</w:t>
      </w:r>
      <w:r>
        <w:rPr>
          <w:rFonts w:ascii="Arial" w:hAnsi="Arial" w:cs="Arial"/>
          <w:sz w:val="22"/>
        </w:rPr>
        <w:t>执法大队有日常督察机制，因此，土地流转管理系统能够确保尽量避免</w:t>
      </w:r>
      <w:r>
        <w:rPr>
          <w:rFonts w:hint="eastAsia" w:ascii="Arial" w:hAnsi="Arial" w:cs="Arial"/>
          <w:sz w:val="22"/>
          <w:lang w:eastAsia="zh-CN"/>
        </w:rPr>
        <w:t>因</w:t>
      </w:r>
      <w:r>
        <w:rPr>
          <w:rFonts w:ascii="Arial" w:hAnsi="Arial" w:cs="Arial"/>
          <w:sz w:val="22"/>
        </w:rPr>
        <w:t>占地造成负面影响。</w:t>
      </w:r>
    </w:p>
    <w:p w14:paraId="698CC7AA">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（ⅱ）</w:t>
      </w:r>
      <w:r>
        <w:rPr>
          <w:rFonts w:ascii="Arial" w:hAnsi="Arial" w:cs="Arial"/>
          <w:b/>
          <w:bCs/>
          <w:sz w:val="22"/>
        </w:rPr>
        <w:t xml:space="preserve"> 识别并解决因征地或丧失自然资源而造成的经济和社会影响</w:t>
      </w:r>
    </w:p>
    <w:p w14:paraId="58D4B58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据各县自然资源部门和项目实施机构、实施企业介绍，无论是集体土地征收还是农业设施用地，在启动用地审查前，都要依据法规要求组织有关部门开展现场踏勘、勘测定界，确定项目红线，并开展实物影响量的调查，对用地造成的各项影响进行登记，并获得村民签字确认。对于永久征地的项目，实物调查结果和征地补偿安置方案要向受影响社区公告至少30天，设施农用地的实物调查结果和协议草案向受影响社区公告至少10天。公告期结束无异议的，才能启动征地/用地协议的签订。协议签订完成且相关土地批复文件完成后，审批部门在批复文件中都会注明，用地方需按征地补偿安置方案或</w:t>
      </w:r>
      <w:r>
        <w:rPr>
          <w:rFonts w:hint="eastAsia" w:ascii="Arial" w:hAnsi="Arial" w:cs="Arial"/>
          <w:sz w:val="22"/>
          <w:lang w:eastAsia="zh-CN"/>
        </w:rPr>
        <w:t>其他类似</w:t>
      </w:r>
      <w:r>
        <w:rPr>
          <w:rFonts w:ascii="Arial" w:hAnsi="Arial" w:cs="Arial"/>
          <w:sz w:val="22"/>
        </w:rPr>
        <w:t>补偿依据，对因占地造成损失进行足额补偿。对不再使用的土地，退出归还土地前，还应按要求做好土地复垦并对土地地力损失进行补偿。例如在慈利县江垭镇垃圾转运站项目的土地预审批复文件中，当地自然资源部门结合最新政策标准和地方经济水平，对土地补偿费、安置补助费和</w:t>
      </w:r>
      <w:r>
        <w:rPr>
          <w:rFonts w:hint="eastAsia" w:ascii="Arial" w:hAnsi="Arial" w:cs="Arial"/>
          <w:sz w:val="22"/>
          <w:lang w:eastAsia="zh-CN"/>
        </w:rPr>
        <w:t>其他</w:t>
      </w:r>
      <w:r>
        <w:rPr>
          <w:rFonts w:ascii="Arial" w:hAnsi="Arial" w:cs="Arial"/>
          <w:sz w:val="22"/>
        </w:rPr>
        <w:t>补偿补助费用进行测算，确认用地单位的征地补偿安置费用符合市场重置原则，相关补偿和安置</w:t>
      </w:r>
      <w:r>
        <w:rPr>
          <w:rFonts w:hint="eastAsia" w:ascii="Arial" w:hAnsi="Arial" w:cs="Arial"/>
          <w:sz w:val="22"/>
          <w:lang w:eastAsia="zh-CN"/>
        </w:rPr>
        <w:t>能够</w:t>
      </w:r>
      <w:r>
        <w:rPr>
          <w:rFonts w:ascii="Arial" w:hAnsi="Arial" w:cs="Arial"/>
          <w:sz w:val="22"/>
        </w:rPr>
        <w:t>确保被征地农民生活水平不降低，长远生计有保障。在附件7</w:t>
      </w:r>
      <w:r>
        <w:rPr>
          <w:rFonts w:ascii="Arial" w:hAnsi="Arial" w:cs="Arial"/>
          <w:sz w:val="22"/>
        </w:rPr>
        <w:fldChar w:fldCharType="begin"/>
      </w:r>
      <w:r>
        <w:rPr>
          <w:rFonts w:ascii="Arial" w:hAnsi="Arial" w:cs="Arial"/>
          <w:sz w:val="22"/>
        </w:rPr>
        <w:instrText xml:space="preserve"> REF _Ref92484563 \h  \* MERGEFORMAT </w:instrText>
      </w:r>
      <w:r>
        <w:rPr>
          <w:rFonts w:ascii="Arial" w:hAnsi="Arial" w:cs="Arial"/>
          <w:sz w:val="22"/>
        </w:rPr>
        <w:fldChar w:fldCharType="separate"/>
      </w:r>
      <w:r>
        <w:rPr>
          <w:rFonts w:ascii="Arial" w:hAnsi="Arial" w:cs="Arial"/>
          <w:sz w:val="22"/>
        </w:rPr>
        <w:fldChar w:fldCharType="begin"/>
      </w:r>
      <w:r>
        <w:rPr>
          <w:rFonts w:ascii="Arial" w:hAnsi="Arial" w:cs="Arial"/>
          <w:sz w:val="22"/>
        </w:rPr>
        <w:instrText xml:space="preserve"> REF _Ref114588846 \h  \* MERGEFORMAT </w:instrText>
      </w:r>
      <w:r>
        <w:rPr>
          <w:rFonts w:ascii="Arial" w:hAnsi="Arial" w:cs="Arial"/>
          <w:sz w:val="22"/>
        </w:rPr>
        <w:fldChar w:fldCharType="separate"/>
      </w:r>
      <w:r>
        <w:rPr>
          <w:rFonts w:ascii="Arial" w:hAnsi="Arial" w:cs="Arial"/>
          <w:sz w:val="22"/>
        </w:rPr>
        <w:t>图 36</w:t>
      </w:r>
      <w:r>
        <w:rPr>
          <w:rFonts w:ascii="Arial" w:hAnsi="Arial" w:cs="Arial"/>
          <w:sz w:val="22"/>
        </w:rPr>
        <w:fldChar w:fldCharType="end"/>
      </w:r>
      <w:r>
        <w:rPr>
          <w:rFonts w:ascii="Arial" w:hAnsi="Arial" w:cs="Arial"/>
          <w:sz w:val="22"/>
        </w:rPr>
        <w:t>湖北省咸宁市崇阳县振邦养殖</w:t>
      </w:r>
      <w:r>
        <w:rPr>
          <w:rFonts w:hint="eastAsia" w:ascii="Arial" w:hAnsi="Arial" w:cs="Arial"/>
          <w:sz w:val="22"/>
          <w:lang w:val="en-US" w:eastAsia="zh-CN"/>
        </w:rPr>
        <w:t>和</w:t>
      </w:r>
      <w:r>
        <w:rPr>
          <w:rFonts w:ascii="Arial" w:hAnsi="Arial" w:cs="Arial"/>
          <w:sz w:val="22"/>
        </w:rPr>
        <w:t>粪污处理设施的设施农用地备案</w:t>
      </w:r>
      <w:r>
        <w:rPr>
          <w:rFonts w:ascii="Arial" w:hAnsi="Arial" w:cs="Arial"/>
          <w:sz w:val="22"/>
        </w:rPr>
        <w:fldChar w:fldCharType="end"/>
      </w:r>
      <w:r>
        <w:rPr>
          <w:rFonts w:ascii="Arial" w:hAnsi="Arial" w:cs="Arial"/>
          <w:sz w:val="22"/>
        </w:rPr>
        <w:t>文件中，负责批准该设施农用地文件的单位包括崇阳县自然资源与规划局，确认用地符合当地土地利用规划和土地利用政策，县生态环境局确认项目符合环保政策规定，同时，项目所在的桂花镇政府和龙飞村村委会也表示同意，确认占地补偿协议和费用等问题均按要求已解决。</w:t>
      </w:r>
    </w:p>
    <w:p w14:paraId="7344C924">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（ⅲ）</w:t>
      </w:r>
      <w:r>
        <w:rPr>
          <w:rFonts w:ascii="Arial" w:hAnsi="Arial" w:cs="Arial"/>
          <w:b/>
          <w:bCs/>
          <w:sz w:val="22"/>
        </w:rPr>
        <w:t xml:space="preserve"> 项目用地前按照重置价足额支付补偿款和过渡费</w:t>
      </w:r>
    </w:p>
    <w:p w14:paraId="30E566C3">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根据对湖北省自然资源厅的咨询，根据整体经济发展水平和市场行情，湖北省各地征地补偿标准每3</w:t>
      </w:r>
      <w:r>
        <w:rPr>
          <w:rFonts w:hint="eastAsia" w:ascii="Arial" w:hAnsi="Arial" w:cs="Arial"/>
          <w:sz w:val="22"/>
          <w:lang w:eastAsia="zh-CN"/>
        </w:rPr>
        <w:t>—</w:t>
      </w:r>
      <w:r>
        <w:rPr>
          <w:rFonts w:ascii="Arial" w:hAnsi="Arial" w:cs="Arial"/>
          <w:sz w:val="22"/>
        </w:rPr>
        <w:t>5年进行一次调整。最近一次调整是2019年10月的《湖北省征地区片综合地价标准的通知》。各县市对县城规划区范围内的房屋征收与补偿依据征地时市场评估价确定补偿金额，确保补偿价格与市场重置成本一致。对于不涉及永久征用土地，而是采取土地租赁等方式用地的项目，如畜禽粪污资源化利用设施，其土地租金由双方根据公平协商后确定。湖南省和湖北省在征地补偿标准管理上情况类似，如《湖南省人民政府关于调整湖南省征地补偿标准的通知》</w:t>
      </w:r>
      <w:r>
        <w:rPr>
          <w:rFonts w:hint="eastAsia" w:ascii="Arial" w:hAnsi="Arial" w:cs="Arial"/>
          <w:sz w:val="22"/>
          <w:lang w:eastAsia="zh-CN"/>
        </w:rPr>
        <w:t>（</w:t>
      </w:r>
      <w:r>
        <w:rPr>
          <w:rFonts w:ascii="Arial" w:hAnsi="Arial" w:cs="Arial"/>
          <w:sz w:val="22"/>
        </w:rPr>
        <w:t>湘政发</w:t>
      </w:r>
      <w:r>
        <w:rPr>
          <w:rFonts w:hint="eastAsia" w:ascii="Arial" w:hAnsi="Arial" w:cs="Arial"/>
          <w:sz w:val="22"/>
          <w:lang w:eastAsia="zh-CN"/>
        </w:rPr>
        <w:t>〔2021〕3号）</w:t>
      </w:r>
      <w:r>
        <w:rPr>
          <w:rFonts w:ascii="Arial" w:hAnsi="Arial" w:cs="Arial"/>
          <w:sz w:val="22"/>
        </w:rPr>
        <w:t>是2021年根据最新经济发展和市场表现作出的调整，各县级自然资源部门依据省级要求作出相应调整，如衡南县结合省级政策调整颁布了《衡南县人民政府办公室关于印发〈衡南县集体土地征收与房屋拆迁补偿安置办法〉的通知》（清政办发〔2021〕11号）。</w:t>
      </w:r>
    </w:p>
    <w:p w14:paraId="6BA403E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对小型污水处理设施等涉及小规模占用农户承包土地的情况，通常由集体经济组织与土地承包农户签订征收合同，并根据当地现行的土地征收补偿政策给予村民足额补偿，而土地性质不变，仍是集体所有。</w:t>
      </w:r>
    </w:p>
    <w:p w14:paraId="0E36B68C">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（ⅳ）</w:t>
      </w:r>
      <w:r>
        <w:rPr>
          <w:rFonts w:ascii="Arial" w:hAnsi="Arial" w:cs="Arial"/>
          <w:b/>
          <w:bCs/>
          <w:sz w:val="22"/>
        </w:rPr>
        <w:t xml:space="preserve"> 生计恢复</w:t>
      </w:r>
    </w:p>
    <w:p w14:paraId="6405D5A0">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各县市人力资源和社会保障局还介绍了被征地农民养老保险制度、</w:t>
      </w:r>
      <w:bookmarkStart w:id="492" w:name="_Hlk66132547"/>
      <w:r>
        <w:rPr>
          <w:rFonts w:ascii="Arial" w:hAnsi="Arial" w:cs="Arial"/>
          <w:sz w:val="22"/>
        </w:rPr>
        <w:t>就业培训和扶持政策</w:t>
      </w:r>
      <w:bookmarkEnd w:id="492"/>
      <w:r>
        <w:rPr>
          <w:rFonts w:ascii="Arial" w:hAnsi="Arial" w:cs="Arial"/>
          <w:sz w:val="22"/>
        </w:rPr>
        <w:t>，确认了被征地农民在征地后，不会因为征地而失去生活依靠。被征地农民可根据其实际需求，自愿选择参与不同类型的社会保障系统，</w:t>
      </w:r>
      <w:bookmarkStart w:id="493" w:name="_Hlk90216594"/>
      <w:r>
        <w:rPr>
          <w:rFonts w:ascii="Arial" w:hAnsi="Arial" w:cs="Arial"/>
          <w:sz w:val="22"/>
        </w:rPr>
        <w:t>如1）城乡居民基本养老保险：2021年湖北省城乡居民养老保险基础养老金最低标准均为每人每月115元，湖南省为103元。未到达退休年龄人员的社保补贴，由当地政府一次性支付到其养老保险个人账户，到达退休年龄的人员，社保补贴由人社局按月发放养老金。受影响人口可以自愿选择提高其缴费标准档次，以便在达到法定年龄时获得更高的养老金；2）城镇职工养老保险，自愿选择企业职工基本养老保险的，一次性缴纳基本养老保险费，建立养老保险关系，在其退休时，按政策进行衔接。2021年湖北和湖南省平均每人每月均3000元。</w:t>
      </w:r>
      <w:bookmarkEnd w:id="493"/>
      <w:r>
        <w:rPr>
          <w:rFonts w:ascii="Arial" w:hAnsi="Arial" w:cs="Arial"/>
          <w:sz w:val="22"/>
        </w:rPr>
        <w:t>没有达到退休年龄的，可以通过政府就业技能培训、就业支持实现就业并获得收益。特别是农村地区，农民的收益包括土地租赁、就近务工等。例如，湖北省仙桃市阿尔迪有机农业生态园从事综合有机农业发展，包括特色果蔬种植结合家禽放养、农业观光与体验、餐饮等。其土地是通过与周边村集体和农户自愿协商租赁的，租金600</w:t>
      </w:r>
      <w:r>
        <w:rPr>
          <w:rFonts w:hint="eastAsia" w:ascii="Arial" w:hAnsi="Arial" w:cs="Arial"/>
          <w:sz w:val="22"/>
          <w:lang w:eastAsia="zh-CN"/>
        </w:rPr>
        <w:t>—</w:t>
      </w:r>
      <w:r>
        <w:rPr>
          <w:rFonts w:ascii="Arial" w:hAnsi="Arial" w:cs="Arial"/>
          <w:sz w:val="22"/>
        </w:rPr>
        <w:t>800元/亩/年，农户除获得土地租金收益，还可以与园区签订就业协议，做临时工或长期工人，临时工每天150元，长期工约4000元/月。而农户自己种植传统水稻，亩产值1500元/年，扣除农业物资投入，利润仅300元/亩/年，相比之下，与农业合作社或农业公司合作经营，农民的收益获得显著提升。在湖北和湖南两省的各县走访调查发现，类似农业发展模式在所有走访的县市是普遍现象。</w:t>
      </w:r>
    </w:p>
    <w:p w14:paraId="4EE140E1">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w:t>
      </w:r>
      <w:r>
        <w:rPr>
          <w:rFonts w:ascii="Arial" w:hAnsi="Arial" w:cs="Arial"/>
          <w:b/>
          <w:bCs/>
          <w:sz w:val="22"/>
        </w:rPr>
        <w:t>v</w:t>
      </w:r>
      <w:r>
        <w:rPr>
          <w:rFonts w:hint="eastAsia" w:ascii="Arial" w:hAnsi="Arial" w:cs="Arial"/>
          <w:b/>
          <w:bCs/>
          <w:sz w:val="22"/>
          <w:lang w:eastAsia="zh-CN"/>
        </w:rPr>
        <w:t>）</w:t>
      </w:r>
      <w:r>
        <w:rPr>
          <w:rFonts w:ascii="Arial" w:hAnsi="Arial" w:cs="Arial"/>
          <w:b/>
          <w:bCs/>
          <w:sz w:val="22"/>
        </w:rPr>
        <w:t xml:space="preserve"> 公共设施恢复的政策安排</w:t>
      </w:r>
    </w:p>
    <w:p w14:paraId="3282C4D7">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对于征地拆迁可能造成的公共设施影响，</w:t>
      </w:r>
      <w:r>
        <w:rPr>
          <w:rFonts w:hint="eastAsia" w:ascii="Arial" w:hAnsi="Arial" w:cs="Arial"/>
          <w:sz w:val="22"/>
          <w:lang w:eastAsia="zh-CN"/>
        </w:rPr>
        <w:t>在</w:t>
      </w:r>
      <w:r>
        <w:rPr>
          <w:rFonts w:ascii="Arial" w:hAnsi="Arial" w:cs="Arial"/>
          <w:sz w:val="22"/>
        </w:rPr>
        <w:t>各地自然资源部门沟通咨询过程中确认，县级人民政府组织征地范围内或设施农用地的土地踏勘和调查，对用地范围内造成的任何社会影响和风险要由专业机构进行识别、评估，并制定管理计划。另一方面，项目在准备阶段还需开展《社会稳定风险》评估，也会对项目可能造成的相关社会</w:t>
      </w:r>
      <w:r>
        <w:rPr>
          <w:rFonts w:hint="eastAsia" w:ascii="Arial" w:hAnsi="Arial" w:cs="Arial"/>
          <w:sz w:val="22"/>
          <w:lang w:eastAsia="zh-CN"/>
        </w:rPr>
        <w:t>影响</w:t>
      </w:r>
      <w:r>
        <w:rPr>
          <w:rFonts w:ascii="Arial" w:hAnsi="Arial" w:cs="Arial"/>
          <w:sz w:val="22"/>
        </w:rPr>
        <w:t>进行识别，该过程中包括听取公众意见和建议。通过这些措施，可以确保项目影响到的公共设施和社区服务能得到保护，或在影响后尽快恢复，甚至结合公众参与的意见建议进行提升。</w:t>
      </w:r>
    </w:p>
    <w:p w14:paraId="5DC6426C">
      <w:pPr>
        <w:adjustRightInd w:val="0"/>
        <w:snapToGrid w:val="0"/>
        <w:spacing w:before="120" w:after="120"/>
        <w:ind w:firstLine="442" w:firstLineChars="200"/>
        <w:rPr>
          <w:rFonts w:ascii="Arial" w:hAnsi="Arial" w:cs="Arial"/>
          <w:sz w:val="22"/>
        </w:rPr>
      </w:pPr>
      <w:r>
        <w:rPr>
          <w:rFonts w:ascii="Arial" w:hAnsi="Arial" w:cs="Arial"/>
          <w:b/>
          <w:bCs/>
          <w:sz w:val="22"/>
        </w:rPr>
        <w:tab/>
      </w:r>
      <w:r>
        <w:rPr>
          <w:rFonts w:hint="eastAsia" w:ascii="Arial" w:hAnsi="Arial" w:cs="Arial"/>
          <w:b/>
          <w:bCs/>
          <w:sz w:val="22"/>
          <w:lang w:eastAsia="zh-CN"/>
        </w:rPr>
        <w:t>（</w:t>
      </w:r>
      <w:r>
        <w:rPr>
          <w:rFonts w:ascii="Arial" w:hAnsi="Arial" w:cs="Arial"/>
          <w:b/>
          <w:bCs/>
          <w:sz w:val="22"/>
        </w:rPr>
        <w:t>vi</w:t>
      </w:r>
      <w:r>
        <w:rPr>
          <w:rFonts w:hint="eastAsia" w:ascii="Arial" w:hAnsi="Arial" w:cs="Arial"/>
          <w:b/>
          <w:bCs/>
          <w:sz w:val="22"/>
          <w:lang w:eastAsia="zh-CN"/>
        </w:rPr>
        <w:t>）</w:t>
      </w:r>
      <w:r>
        <w:rPr>
          <w:rFonts w:ascii="Arial" w:hAnsi="Arial" w:cs="Arial"/>
          <w:b/>
          <w:bCs/>
          <w:sz w:val="22"/>
        </w:rPr>
        <w:t xml:space="preserve"> 信息公示、公众参与和知情决策</w:t>
      </w:r>
    </w:p>
    <w:p w14:paraId="19EF0CAB">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如上文分析，在各集体土地征收和农业设施用地的实施过程中，各地都依法开展了信息公开、听证、公示。因为信息公开和公众参与的材料是用地批复申请材料的必要材料之一。对于土地流转，用地方在申请阶段需接受项目所在村社和乡镇政府的资质审查，达到一定规模以上的，如1000亩以上还需县农业农村局审查。审查通过后，用地双方协商土地流转协议的同时，用地方需确保有关项目的资料向乡镇政府、集体经济组织和土地流转相关农户免费和无条件开放。用地双方就土地流转协议各项条款（如边界、面积、年限、价格等）达成一致后才能签署土地流转协议。因此，土地流转是双方认可的结果。</w:t>
      </w:r>
    </w:p>
    <w:p w14:paraId="02C5B10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评估：</w:t>
      </w:r>
      <w:r>
        <w:rPr>
          <w:rFonts w:ascii="Arial" w:hAnsi="Arial" w:cs="Arial"/>
          <w:sz w:val="22"/>
        </w:rPr>
        <w:t>湖北湖南两省在移民安置管理上，依据相关法规要求，对涉及土地征收</w:t>
      </w:r>
      <w:r>
        <w:rPr>
          <w:rFonts w:hint="eastAsia" w:ascii="Arial" w:hAnsi="Arial" w:cs="Arial"/>
          <w:sz w:val="22"/>
          <w:lang w:eastAsia="zh-CN"/>
        </w:rPr>
        <w:t>、实</w:t>
      </w:r>
      <w:r>
        <w:rPr>
          <w:rFonts w:ascii="Arial" w:hAnsi="Arial" w:cs="Arial"/>
          <w:sz w:val="22"/>
        </w:rPr>
        <w:t>施农用地使用和土地流转的项目制定了系统性的影响筛选和管理机制，包括项目影响识别、管理计划的制定、对个人损失的补偿安置、生计恢复、实施机构责任落实和财政支持等，这些机制及其有效运行确保了用地影响得到妥善管理。</w:t>
      </w:r>
    </w:p>
    <w:p w14:paraId="7524EFCB">
      <w:pPr>
        <w:pStyle w:val="4"/>
        <w:numPr>
          <w:ilvl w:val="2"/>
          <w:numId w:val="29"/>
        </w:numPr>
        <w:adjustRightInd w:val="0"/>
        <w:snapToGrid w:val="0"/>
        <w:spacing w:before="120" w:after="120" w:line="240" w:lineRule="auto"/>
        <w:ind w:left="709" w:hanging="709"/>
        <w:rPr>
          <w:rFonts w:ascii="Arial" w:hAnsi="Arial" w:cs="Arial"/>
          <w:sz w:val="22"/>
          <w:szCs w:val="22"/>
        </w:rPr>
      </w:pPr>
      <w:bookmarkStart w:id="494" w:name="_Toc90729540"/>
      <w:r>
        <w:rPr>
          <w:rFonts w:ascii="Arial" w:hAnsi="Arial" w:cs="Arial"/>
          <w:sz w:val="22"/>
          <w:szCs w:val="22"/>
        </w:rPr>
        <w:tab/>
      </w:r>
      <w:bookmarkStart w:id="495" w:name="_Toc114235848"/>
      <w:bookmarkStart w:id="496" w:name="_Toc119937318"/>
      <w:r>
        <w:rPr>
          <w:rFonts w:ascii="Arial" w:hAnsi="Arial" w:cs="Arial"/>
          <w:sz w:val="22"/>
          <w:szCs w:val="22"/>
        </w:rPr>
        <w:t>核心原则5：少数民族和弱势群体的管理体系</w:t>
      </w:r>
      <w:bookmarkEnd w:id="494"/>
      <w:bookmarkEnd w:id="495"/>
      <w:bookmarkEnd w:id="496"/>
    </w:p>
    <w:p w14:paraId="25103CEE">
      <w:pPr>
        <w:pStyle w:val="66"/>
        <w:shd w:val="clear" w:color="auto" w:fill="D8D8D8" w:themeFill="background1" w:themeFillShade="D9"/>
        <w:tabs>
          <w:tab w:val="clear" w:pos="540"/>
        </w:tabs>
        <w:adjustRightInd w:val="0"/>
        <w:snapToGrid w:val="0"/>
        <w:spacing w:before="120" w:after="120"/>
        <w:rPr>
          <w:rFonts w:ascii="Arial" w:hAnsi="Arial" w:eastAsia="宋体" w:cs="Arial"/>
          <w:szCs w:val="22"/>
          <w:lang w:eastAsia="zh-CN"/>
        </w:rPr>
      </w:pPr>
      <w:r>
        <w:rPr>
          <w:rFonts w:ascii="Arial" w:hAnsi="Arial" w:eastAsia="宋体" w:cs="Arial"/>
          <w:b/>
          <w:bCs/>
          <w:szCs w:val="22"/>
          <w:lang w:eastAsia="zh-CN"/>
        </w:rPr>
        <w:t>要素10：</w:t>
      </w:r>
      <w:r>
        <w:rPr>
          <w:rFonts w:ascii="Arial" w:hAnsi="Arial" w:eastAsia="宋体" w:cs="Arial"/>
          <w:szCs w:val="22"/>
          <w:lang w:eastAsia="zh-CN"/>
        </w:rPr>
        <w:t>如果少数民族可能受到（正面或负面）影响，则进行有意义的磋商，以获得广泛的社区支持。</w:t>
      </w:r>
    </w:p>
    <w:p w14:paraId="7AFE3C8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本项目示范县在湖北和湖南两省分别涉及少量</w:t>
      </w:r>
      <w:r>
        <w:rPr>
          <w:rFonts w:hint="eastAsia" w:ascii="Arial" w:hAnsi="Arial" w:cs="Arial"/>
          <w:sz w:val="22"/>
          <w:szCs w:val="22"/>
          <w:lang w:eastAsia="zh-CN"/>
        </w:rPr>
        <w:t>民族地区</w:t>
      </w:r>
      <w:r>
        <w:rPr>
          <w:rFonts w:ascii="Arial" w:hAnsi="Arial" w:cs="Arial"/>
          <w:sz w:val="22"/>
          <w:szCs w:val="22"/>
        </w:rPr>
        <w:t>，例如湖北省恩施土家族苗族自治州咸丰县、湖南省张家界市慈利县。湖北省咸丰县共辖10个乡镇288个村，总人口36.74万，以土家族、苗族为主的17个少数民族占总人口的85%；湖南省慈利县共辖7个乡镇97个村，总人口14.8万，其中土家族、苗族、白族等少数民族人口占总人口80%以上。</w:t>
      </w:r>
    </w:p>
    <w:p w14:paraId="06648DC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调研期间，两省各县的民族事务管理部门从两个方面阐述了在项目管理中涉及少数民族事务的管理：一方面，遵守</w:t>
      </w:r>
      <w:r>
        <w:rPr>
          <w:rFonts w:hint="eastAsia" w:ascii="Arial" w:hAnsi="Arial" w:cs="Arial"/>
          <w:sz w:val="22"/>
          <w:szCs w:val="22"/>
          <w:lang w:eastAsia="zh-CN"/>
        </w:rPr>
        <w:t>《中华人民共和国宪法》</w:t>
      </w:r>
      <w:r>
        <w:rPr>
          <w:rFonts w:ascii="Arial" w:hAnsi="Arial" w:cs="Arial"/>
          <w:sz w:val="22"/>
          <w:szCs w:val="22"/>
        </w:rPr>
        <w:t>和有关民族事务法律法规，在处理涉及本地方各民族的事务的时候，必须与他们的代表充分协商，尊重他们的意见；民族自治地方的自治机关保障本区域内各民族公民都享有宪法规定的公民权利；另一方面，遵守一般性建设项目评估管理的有关要求，开展相应的公众咨询。各县针对本地的</w:t>
      </w:r>
      <w:r>
        <w:rPr>
          <w:rFonts w:hint="eastAsia" w:ascii="Arial" w:hAnsi="Arial" w:cs="Arial"/>
          <w:sz w:val="22"/>
          <w:szCs w:val="22"/>
          <w:lang w:eastAsia="zh-CN"/>
        </w:rPr>
        <w:t>民族地区</w:t>
      </w:r>
      <w:r>
        <w:rPr>
          <w:rFonts w:ascii="Arial" w:hAnsi="Arial" w:cs="Arial"/>
          <w:sz w:val="22"/>
          <w:szCs w:val="22"/>
        </w:rPr>
        <w:t>发展特点每五年都制定了发展规划，并实施了民族地区发展和文化保护项目。本次ESSA团队在现场调查点的选址上，考虑了少数民族因素，分别对湖北省恩施州和湖南省慈利县进行了调查，了解到各县政府的民族事务管理部门是民族宗教局（民宗局）。从各县民宗局的介绍得知，</w:t>
      </w:r>
      <w:r>
        <w:rPr>
          <w:rFonts w:hint="eastAsia" w:ascii="Arial" w:hAnsi="Arial" w:cs="Arial"/>
          <w:sz w:val="22"/>
          <w:szCs w:val="22"/>
          <w:lang w:eastAsia="zh-CN"/>
        </w:rPr>
        <w:t>民族地区</w:t>
      </w:r>
      <w:r>
        <w:rPr>
          <w:rFonts w:ascii="Arial" w:hAnsi="Arial" w:cs="Arial"/>
          <w:sz w:val="22"/>
          <w:szCs w:val="22"/>
        </w:rPr>
        <w:t>的经济发展项目通常都是由各村、乡镇根据自身发展需要，每年由村干部组织各种形式的公众咨询，例如“村民会议”“屋场恳谈会”“院坝会”等符合当地民风民俗、喜闻乐见</w:t>
      </w:r>
      <w:r>
        <w:rPr>
          <w:rFonts w:hint="eastAsia" w:ascii="Arial" w:hAnsi="Arial" w:cs="Arial"/>
          <w:sz w:val="22"/>
          <w:szCs w:val="22"/>
          <w:lang w:eastAsia="zh-CN"/>
        </w:rPr>
        <w:t>的</w:t>
      </w:r>
      <w:r>
        <w:rPr>
          <w:rFonts w:ascii="Arial" w:hAnsi="Arial" w:cs="Arial"/>
          <w:sz w:val="22"/>
          <w:szCs w:val="22"/>
        </w:rPr>
        <w:t>交流形式自下而上</w:t>
      </w:r>
      <w:r>
        <w:rPr>
          <w:rFonts w:hint="eastAsia" w:ascii="Arial" w:hAnsi="Arial" w:cs="Arial"/>
          <w:sz w:val="22"/>
          <w:szCs w:val="22"/>
          <w:lang w:eastAsia="zh-CN"/>
        </w:rPr>
        <w:t>地</w:t>
      </w:r>
      <w:r>
        <w:rPr>
          <w:rFonts w:ascii="Arial" w:hAnsi="Arial" w:cs="Arial"/>
          <w:sz w:val="22"/>
          <w:szCs w:val="22"/>
        </w:rPr>
        <w:t>收集居民意见，通过向当地乡镇政府申请，由乡镇政府向民宗部门或</w:t>
      </w:r>
      <w:r>
        <w:rPr>
          <w:rFonts w:hint="eastAsia" w:ascii="Arial" w:hAnsi="Arial" w:cs="Arial"/>
          <w:sz w:val="22"/>
          <w:szCs w:val="22"/>
          <w:lang w:eastAsia="zh-CN"/>
        </w:rPr>
        <w:t>其他</w:t>
      </w:r>
      <w:r>
        <w:rPr>
          <w:rFonts w:ascii="Arial" w:hAnsi="Arial" w:cs="Arial"/>
          <w:sz w:val="22"/>
          <w:szCs w:val="22"/>
        </w:rPr>
        <w:t>职能部门（如生活垃圾的管理部门是县住建局、农村生活污水管理部门是乡村振</w:t>
      </w:r>
      <w:r>
        <w:rPr>
          <w:rFonts w:hint="eastAsia" w:ascii="Arial" w:hAnsi="Arial" w:cs="Arial"/>
          <w:sz w:val="22"/>
          <w:szCs w:val="22"/>
          <w:lang w:eastAsia="zh-CN"/>
        </w:rPr>
        <w:t>兴局</w:t>
      </w:r>
      <w:r>
        <w:rPr>
          <w:rFonts w:ascii="Arial" w:hAnsi="Arial" w:cs="Arial"/>
          <w:sz w:val="22"/>
          <w:szCs w:val="22"/>
        </w:rPr>
        <w:t>或生态环境局等）提出建设申请，民宗部门和</w:t>
      </w:r>
      <w:r>
        <w:rPr>
          <w:rFonts w:hint="eastAsia" w:ascii="Arial" w:hAnsi="Arial" w:cs="Arial"/>
          <w:sz w:val="22"/>
          <w:szCs w:val="22"/>
          <w:lang w:eastAsia="zh-CN"/>
        </w:rPr>
        <w:t>其他</w:t>
      </w:r>
      <w:r>
        <w:rPr>
          <w:rFonts w:ascii="Arial" w:hAnsi="Arial" w:cs="Arial"/>
          <w:sz w:val="22"/>
          <w:szCs w:val="22"/>
        </w:rPr>
        <w:t>职能部门在听取基层单位的报告后，组织现场考察复核，再根据各地上报项目的必要性、紧迫性，将汇总项目清单分批次报告上级，申请项目资金实施。由此可见，项目建设是基于</w:t>
      </w:r>
      <w:r>
        <w:rPr>
          <w:rFonts w:hint="eastAsia" w:ascii="Arial" w:hAnsi="Arial" w:cs="Arial"/>
          <w:sz w:val="22"/>
          <w:szCs w:val="22"/>
          <w:lang w:eastAsia="zh-CN"/>
        </w:rPr>
        <w:t>民族地区</w:t>
      </w:r>
      <w:r>
        <w:rPr>
          <w:rFonts w:ascii="Arial" w:hAnsi="Arial" w:cs="Arial"/>
          <w:sz w:val="22"/>
          <w:szCs w:val="22"/>
        </w:rPr>
        <w:t>自身需求并充分听取和</w:t>
      </w:r>
      <w:r>
        <w:rPr>
          <w:rFonts w:hint="eastAsia" w:ascii="Arial" w:hAnsi="Arial" w:cs="Arial"/>
          <w:sz w:val="22"/>
          <w:szCs w:val="22"/>
          <w:lang w:eastAsia="zh-CN"/>
        </w:rPr>
        <w:t>尊重民族地区</w:t>
      </w:r>
      <w:r>
        <w:rPr>
          <w:rFonts w:ascii="Arial" w:hAnsi="Arial" w:cs="Arial"/>
          <w:sz w:val="22"/>
          <w:szCs w:val="22"/>
        </w:rPr>
        <w:t>意见的结果，具有广泛的少数民族居民的支持。在具体单个项目的管理上，在少数民族地区的项目沿用现有的管理机制，如项目前期的可行性研究，社会稳定风险评估等论证过程，这些评估和论证已包括了系统性的公众咨询和磋商的管理内容，因此能够确保少数民族得到尊重。</w:t>
      </w:r>
    </w:p>
    <w:p w14:paraId="5AA03F5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b/>
          <w:bCs/>
          <w:sz w:val="22"/>
          <w:szCs w:val="22"/>
        </w:rPr>
        <w:t>评估：</w:t>
      </w:r>
      <w:r>
        <w:rPr>
          <w:rFonts w:ascii="Arial" w:hAnsi="Arial" w:cs="Arial"/>
          <w:sz w:val="22"/>
          <w:szCs w:val="22"/>
        </w:rPr>
        <w:t>通过对省级和县级管理方式的了解，现有少数民族事务管理体系能确保对少数民族居民进行充分的咨询和沟通。在</w:t>
      </w:r>
      <w:r>
        <w:rPr>
          <w:rFonts w:hint="eastAsia" w:ascii="Arial" w:hAnsi="Arial" w:cs="Arial"/>
          <w:sz w:val="22"/>
          <w:szCs w:val="22"/>
          <w:lang w:eastAsia="zh-CN"/>
        </w:rPr>
        <w:t>民族地区</w:t>
      </w:r>
      <w:r>
        <w:rPr>
          <w:rFonts w:ascii="Arial" w:hAnsi="Arial" w:cs="Arial"/>
          <w:sz w:val="22"/>
          <w:szCs w:val="22"/>
        </w:rPr>
        <w:t>实施项目时，少数民族权益能够在法律和实施层面得到充分尊重，包括保障少数民族事先的知情权。这些管理体系的有效运转，能确保项目获得</w:t>
      </w:r>
      <w:r>
        <w:rPr>
          <w:rFonts w:hint="eastAsia" w:ascii="Arial" w:hAnsi="Arial" w:cs="Arial"/>
          <w:sz w:val="22"/>
          <w:szCs w:val="22"/>
          <w:lang w:eastAsia="zh-CN"/>
        </w:rPr>
        <w:t>民族地区</w:t>
      </w:r>
      <w:r>
        <w:rPr>
          <w:rFonts w:ascii="Arial" w:hAnsi="Arial" w:cs="Arial"/>
          <w:sz w:val="22"/>
          <w:szCs w:val="22"/>
        </w:rPr>
        <w:t>居民的广泛支持。因此，实践效果证实与世行的政策原则一致。</w:t>
      </w:r>
    </w:p>
    <w:p w14:paraId="50AAFF50">
      <w:pPr>
        <w:pStyle w:val="66"/>
        <w:shd w:val="clear" w:color="auto" w:fill="D8D8D8" w:themeFill="background1" w:themeFillShade="D9"/>
        <w:tabs>
          <w:tab w:val="clear" w:pos="540"/>
        </w:tabs>
        <w:adjustRightInd w:val="0"/>
        <w:snapToGrid w:val="0"/>
        <w:spacing w:before="120" w:after="120"/>
        <w:rPr>
          <w:rFonts w:ascii="Arial" w:hAnsi="Arial" w:eastAsia="宋体" w:cs="Arial"/>
          <w:szCs w:val="22"/>
          <w:lang w:eastAsia="zh-CN"/>
        </w:rPr>
      </w:pPr>
      <w:r>
        <w:rPr>
          <w:rFonts w:ascii="Arial" w:hAnsi="Arial" w:eastAsia="宋体" w:cs="Arial"/>
          <w:b/>
          <w:bCs/>
          <w:szCs w:val="22"/>
          <w:lang w:eastAsia="zh-CN"/>
        </w:rPr>
        <w:t>要素11：</w:t>
      </w:r>
      <w:r>
        <w:rPr>
          <w:rFonts w:ascii="Arial" w:hAnsi="Arial" w:eastAsia="宋体" w:cs="Arial"/>
          <w:szCs w:val="22"/>
          <w:lang w:eastAsia="zh-CN"/>
        </w:rPr>
        <w:t>确保少数民族可以利用传统资源或文化，通过项目创造工作机会，其中，使用</w:t>
      </w:r>
      <w:r>
        <w:rPr>
          <w:rFonts w:hint="eastAsia" w:ascii="Arial" w:hAnsi="Arial" w:eastAsia="宋体" w:cs="Arial"/>
          <w:szCs w:val="22"/>
          <w:lang w:eastAsia="zh-CN"/>
        </w:rPr>
        <w:t>民族地区</w:t>
      </w:r>
      <w:r>
        <w:rPr>
          <w:rFonts w:ascii="Arial" w:hAnsi="Arial" w:eastAsia="宋体" w:cs="Arial"/>
          <w:szCs w:val="22"/>
          <w:lang w:eastAsia="zh-CN"/>
        </w:rPr>
        <w:t>文化资源的，应征得相关少数民族的同意。</w:t>
      </w:r>
    </w:p>
    <w:p w14:paraId="4B1192E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在湖北省恩施州和湖南省慈利县的调查表明，当地少数民族跟汉族在语言、习惯、风俗各方面几乎没有差别，在物质文化上未发现特别的内容；但作为少数民族地区，从中央、省和市县，每年都安排了少数民族发展资金，例如2021年湖北省获得的中央民族发展资金共1.3亿元，其中</w:t>
      </w:r>
      <w:bookmarkStart w:id="497" w:name="_Hlk113873427"/>
      <w:r>
        <w:rPr>
          <w:rFonts w:ascii="Arial" w:hAnsi="Arial" w:cs="Arial"/>
          <w:sz w:val="22"/>
          <w:szCs w:val="22"/>
        </w:rPr>
        <w:t>咸丰县获得1268万元，此外，咸丰县还获得湖北省级资金235万元</w:t>
      </w:r>
      <w:bookmarkEnd w:id="497"/>
      <w:r>
        <w:rPr>
          <w:rFonts w:ascii="Arial" w:hAnsi="Arial" w:cs="Arial"/>
          <w:sz w:val="22"/>
          <w:szCs w:val="22"/>
        </w:rPr>
        <w:t>，恩施州资金10万元；湖南省过去仅对被确定为少数民族县/市才有中央少数民族专项财政资金，考虑到慈利县少数民族人口超过总人口一半这一实际情况，自2020年起，每年均单独安排了少数民族发展资金，到2021年资金规模达230万元。这些资金均用于挖掘</w:t>
      </w:r>
      <w:r>
        <w:rPr>
          <w:rFonts w:hint="eastAsia" w:ascii="Arial" w:hAnsi="Arial" w:cs="Arial"/>
          <w:sz w:val="22"/>
          <w:szCs w:val="22"/>
          <w:lang w:eastAsia="zh-CN"/>
        </w:rPr>
        <w:t>民族地区</w:t>
      </w:r>
      <w:r>
        <w:rPr>
          <w:rFonts w:ascii="Arial" w:hAnsi="Arial" w:cs="Arial"/>
          <w:sz w:val="22"/>
          <w:szCs w:val="22"/>
        </w:rPr>
        <w:t xml:space="preserve">特色农产品、特色旅游产品、提升基础设施等项目上，如咸丰县和慈利县都把重点放在民族村道路等基础设施的提升改造上，解决民族地区发展的瓶颈问题，也包括一些民族风情街的建设。 </w:t>
      </w:r>
    </w:p>
    <w:p w14:paraId="7C3E796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b/>
          <w:bCs/>
          <w:sz w:val="22"/>
          <w:szCs w:val="22"/>
        </w:rPr>
        <w:t>评估：</w:t>
      </w:r>
      <w:r>
        <w:rPr>
          <w:rFonts w:ascii="Arial" w:hAnsi="Arial" w:cs="Arial"/>
          <w:sz w:val="22"/>
          <w:szCs w:val="22"/>
        </w:rPr>
        <w:t>各地项目所在地区少数民族文化的物质文化和非物质文化不尽相同，各地均有针对少数民族文化进行保护的规划，并每年都在实施相关项目。本项目的实施是对当地系统性的少数民族发展规划的一种促进和支持，将为</w:t>
      </w:r>
      <w:r>
        <w:rPr>
          <w:rFonts w:hint="eastAsia" w:ascii="Arial" w:hAnsi="Arial" w:cs="Arial"/>
          <w:sz w:val="22"/>
          <w:szCs w:val="22"/>
          <w:lang w:eastAsia="zh-CN"/>
        </w:rPr>
        <w:t>民族地区</w:t>
      </w:r>
      <w:r>
        <w:rPr>
          <w:rFonts w:ascii="Arial" w:hAnsi="Arial" w:cs="Arial"/>
          <w:sz w:val="22"/>
          <w:szCs w:val="22"/>
        </w:rPr>
        <w:t>的居民带来更多发展机会。</w:t>
      </w:r>
    </w:p>
    <w:p w14:paraId="03C3F5BB">
      <w:pPr>
        <w:pStyle w:val="66"/>
        <w:shd w:val="clear" w:color="auto" w:fill="D8D8D8" w:themeFill="background1" w:themeFillShade="D9"/>
        <w:tabs>
          <w:tab w:val="clear" w:pos="540"/>
        </w:tabs>
        <w:adjustRightInd w:val="0"/>
        <w:snapToGrid w:val="0"/>
        <w:spacing w:before="120" w:after="120"/>
        <w:rPr>
          <w:rFonts w:ascii="Arial" w:hAnsi="Arial" w:eastAsia="宋体" w:cs="Arial"/>
          <w:szCs w:val="22"/>
          <w:lang w:eastAsia="zh-CN"/>
        </w:rPr>
      </w:pPr>
      <w:r>
        <w:rPr>
          <w:rFonts w:ascii="Arial" w:hAnsi="Arial" w:eastAsia="宋体" w:cs="Arial"/>
          <w:b/>
          <w:bCs/>
          <w:szCs w:val="22"/>
          <w:lang w:eastAsia="zh-CN"/>
        </w:rPr>
        <w:t>要素12：</w:t>
      </w:r>
      <w:r>
        <w:rPr>
          <w:rFonts w:ascii="Arial" w:hAnsi="Arial" w:eastAsia="宋体" w:cs="Arial"/>
          <w:szCs w:val="22"/>
          <w:lang w:eastAsia="zh-CN"/>
        </w:rPr>
        <w:t>关注困难群体或受到歧视的群体，包括穷人，残疾人，妇女和儿童，老年人或被边缘化的族群；并在必要时采取特殊措施，以促进公平地获得项目收益。</w:t>
      </w:r>
    </w:p>
    <w:p w14:paraId="0FB6B8E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根据法律法规要求，对妇女权益的保护是各部门各单位都在实施的管理内容，其中主要是通过各级妇联组织和企业和单位内部的妇女事务管理部门来实施的。无论是各级政府、妇联组织还是企业单位的内部管理部门，每年都安排有妇女权益保护和妇女发展的项目和资金；同时针对妇女维权、家庭、儿童、发展、健康、男女平等宣传等工作，各地妇联还设置了权益部、家庭和儿童部、妇女发展部、组织建设和联络部、宣传部等。县级妇联还指导各基层妇联机构设置和职责分工，例如湖北省随县基层妇女工作机构的安排包括：镇妇联主席由党委班子成员中的女性兼任，确立一名专职副主席，村妇联主席由村</w:t>
      </w:r>
      <w:r>
        <w:rPr>
          <w:rFonts w:hint="eastAsia" w:ascii="Arial" w:hAnsi="Arial" w:cs="Arial"/>
          <w:sz w:val="22"/>
          <w:szCs w:val="22"/>
          <w:lang w:eastAsia="zh-CN"/>
        </w:rPr>
        <w:t>（</w:t>
      </w:r>
      <w:r>
        <w:rPr>
          <w:rFonts w:ascii="Arial" w:hAnsi="Arial" w:cs="Arial"/>
          <w:sz w:val="22"/>
          <w:szCs w:val="22"/>
        </w:rPr>
        <w:t>社区</w:t>
      </w:r>
      <w:r>
        <w:rPr>
          <w:rFonts w:hint="eastAsia" w:ascii="Arial" w:hAnsi="Arial" w:cs="Arial"/>
          <w:sz w:val="22"/>
          <w:szCs w:val="22"/>
          <w:lang w:eastAsia="zh-CN"/>
        </w:rPr>
        <w:t>）</w:t>
      </w:r>
      <w:r>
        <w:rPr>
          <w:rFonts w:ascii="Arial" w:hAnsi="Arial" w:cs="Arial"/>
          <w:sz w:val="22"/>
          <w:szCs w:val="22"/>
        </w:rPr>
        <w:t>领导班子成员中的女性担任，各镇村妇联执委均不少于11人。据湖南省澧县妇联介绍，2021年该区妇联借助12338妇女维权热线，聘请专业律师坐班，共接访53例，其中家暴类求助8例，且积极调度镇村妇联进行调解，并与公安、法院、司法局等多部门对接，及时帮助妇女群众解决难题，维护权益。通过各地的走访调查确认，支持妇女发展是各地妇联工作的主要内容之一，每年都安排大量的人力、财力投入。以湖北省仙桃市为例，县妇联每年都组织妇女技能培训、妇女就业创业帮扶，2021年就业技能培训超过9场，服务妇女群众900余人次，深入村、社区开展免费育婴员培训11期、养老护理培训班8期，共培训初级学员843人，高级学员120人，培训妇女结业率100%，就业率达90%；实施农村妇女小额担保贷款项目缓解农村妇女干事创业的融资难问题，2020年共为705名农村妇女发放贷款9746万元，2021年共为326名农村妇女发放贷款4687.3万元。例如仙桃市张沟镇红旗村一组的女</w:t>
      </w:r>
      <w:r>
        <w:rPr>
          <w:rFonts w:hint="eastAsia" w:ascii="Arial" w:hAnsi="Arial" w:cs="Arial"/>
          <w:sz w:val="22"/>
          <w:szCs w:val="22"/>
          <w:lang w:eastAsia="zh-CN"/>
        </w:rPr>
        <w:t>西蓝花</w:t>
      </w:r>
      <w:r>
        <w:rPr>
          <w:rFonts w:ascii="Arial" w:hAnsi="Arial" w:cs="Arial"/>
          <w:sz w:val="22"/>
          <w:szCs w:val="22"/>
        </w:rPr>
        <w:t>种植大户陈女士，2021年3月申请的贷款金额20万元，种植规模达120亩，在实现自己增收的同时带动了当地村民就业人数。陈女士获得的是妇女再就业担保贷款，贴息后实际承担的年利率为2.2%，而且她获得的是政策性贷款，且专项用于购买农资化肥种子，可享受物资单价上的优惠。</w:t>
      </w:r>
    </w:p>
    <w:p w14:paraId="6FE0A26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对于孤儿、留守未成年人和老年人、残疾人、低保对象、特困人员，各地主要通过民政部门、残联部门进行管理，负责对本行政区域内的人员进行统计和救助。</w:t>
      </w:r>
      <w:bookmarkStart w:id="498" w:name="_Hlk90216733"/>
      <w:r>
        <w:rPr>
          <w:rFonts w:ascii="Arial" w:hAnsi="Arial" w:cs="Arial"/>
          <w:sz w:val="22"/>
          <w:szCs w:val="22"/>
        </w:rPr>
        <w:t>针对这类人群的工作，政府每年安排了专项财政资金，确保这类人群的权益得到保障。例如湖北省咸宁市崇阳县，</w:t>
      </w:r>
      <w:r>
        <w:rPr>
          <w:rFonts w:hint="eastAsia" w:ascii="Arial" w:hAnsi="Arial" w:cs="Arial"/>
          <w:sz w:val="22"/>
          <w:szCs w:val="22"/>
          <w:lang w:eastAsia="zh-CN"/>
        </w:rPr>
        <w:t>截至</w:t>
      </w:r>
      <w:r>
        <w:rPr>
          <w:rFonts w:ascii="Arial" w:hAnsi="Arial" w:cs="Arial"/>
          <w:sz w:val="22"/>
          <w:szCs w:val="22"/>
        </w:rPr>
        <w:t>2021年12月31日，该县留守儿童2323人，留守老人960人。全县针对留守妇女、留守儿童和留守老年人，形成了农村“三留守”人员关爱保护联席会议制度</w:t>
      </w:r>
      <w:r>
        <w:rPr>
          <w:rFonts w:hint="eastAsia" w:ascii="Arial" w:hAnsi="Arial" w:cs="Arial"/>
          <w:sz w:val="22"/>
          <w:szCs w:val="22"/>
          <w:lang w:eastAsia="zh-CN"/>
        </w:rPr>
        <w:t>，在</w:t>
      </w:r>
      <w:r>
        <w:rPr>
          <w:rFonts w:ascii="Arial" w:hAnsi="Arial" w:cs="Arial"/>
          <w:sz w:val="22"/>
          <w:szCs w:val="22"/>
        </w:rPr>
        <w:t>组织管理上，民政局统筹领导本区范围内相关事务，全县建成农村老年人互助照料中心163个，为留守老人提供日间关爱照料服务，每个乡镇人民政府配备至少1名儿童督导员；预算安排上，每年均安排有专项经费及日常工作经费纳入县、乡镇两级财政预算，确保相关管理工作和支持得以落实。此外，对符合条件的“三留守”人员纳入最低生活保障、残疾人两项补贴、高龄津贴、孤儿生活补助、福彩助学等救助范围，每年定期召开会议对全年的工作进行安排部署，还印发了《崇阳县加强农村留守儿童关爱保护工作实施方案》《崇阳县农村“三留守”人员关爱保护工作实施方案》等文件，完善了“家庭尽责、政府支持、社会参与”的关爱服务体系</w:t>
      </w:r>
      <w:bookmarkEnd w:id="498"/>
      <w:r>
        <w:rPr>
          <w:rFonts w:ascii="Arial" w:hAnsi="Arial" w:cs="Arial"/>
          <w:sz w:val="22"/>
          <w:szCs w:val="22"/>
        </w:rPr>
        <w:t>。</w:t>
      </w:r>
    </w:p>
    <w:p w14:paraId="17C32881">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szCs w:val="22"/>
        </w:rPr>
      </w:pPr>
      <w:r>
        <w:rPr>
          <w:rFonts w:ascii="Arial" w:hAnsi="Arial" w:cs="Arial"/>
          <w:sz w:val="22"/>
          <w:szCs w:val="22"/>
        </w:rPr>
        <w:t>调研显示，各级巩固拓展脱贫攻坚成果同乡村振兴有效衔接工作的主要管理部门是各级乡村振兴部门。在县级层面上，各县乡村振兴局都建立了十分完整的贫困人口及家庭的数据库。虽然2020年各地已陆续脱贫，但地方政府仍然对每个村脱贫人口和家庭姓名，家庭状况等信息进行跟踪监测并记录；同时，政府针对各脱贫户，坚持“四不摘”，即不摘责任、不摘政策、不摘帮扶、不摘监管。以湖南省衡南县为例，针对每个不摘，坚持按照脱贫攻坚的管理体系，1）确保县、乡、村指挥体系不变，由县长为组长，2）落实政策，包括中央、省级资金落实，教育、医疗帮扶政策；3.帮扶，持续选派驻村第一书记和工作队，开展针对性帮扶指导；4.监管，加强对脱贫不稳定户、边缘易致贫户以及突发严重困难户监测，建立台账并安排专人负责，每户情况按期跟踪监管。总体而言，</w:t>
      </w:r>
      <w:r>
        <w:rPr>
          <w:rFonts w:hint="eastAsia" w:ascii="Arial" w:hAnsi="Arial" w:cs="Arial"/>
          <w:sz w:val="22"/>
          <w:szCs w:val="22"/>
          <w:lang w:eastAsia="zh-CN"/>
        </w:rPr>
        <w:t>政府</w:t>
      </w:r>
      <w:r>
        <w:rPr>
          <w:rFonts w:ascii="Arial" w:hAnsi="Arial" w:cs="Arial"/>
          <w:sz w:val="22"/>
          <w:szCs w:val="22"/>
        </w:rPr>
        <w:t>要用五年过渡期来巩固拓展脱贫攻坚成果，通过有序调整、平稳过渡，帮助脱贫农户走向自立自强。</w:t>
      </w:r>
    </w:p>
    <w:p w14:paraId="34F5A3AC">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b/>
          <w:bCs/>
          <w:kern w:val="44"/>
          <w:sz w:val="22"/>
          <w:szCs w:val="22"/>
        </w:rPr>
      </w:pPr>
      <w:r>
        <w:rPr>
          <w:rFonts w:ascii="Arial" w:hAnsi="Arial" w:cs="Arial"/>
          <w:b/>
          <w:bCs/>
          <w:sz w:val="22"/>
          <w:szCs w:val="22"/>
        </w:rPr>
        <w:t>评估：</w:t>
      </w:r>
      <w:r>
        <w:rPr>
          <w:rFonts w:ascii="Arial" w:hAnsi="Arial" w:cs="Arial"/>
          <w:sz w:val="22"/>
          <w:szCs w:val="22"/>
        </w:rPr>
        <w:t>在妇女发展和权益保护方面，通过妇联组织、企业女职工工作机构、基层妇女组织，能够全面保障妇女发展权益。对于留守未成年人和老人，政府主要通过民政建立起相关数据库，并结合各乡镇和村/社区开展及时帮助。国家和地方对贫困家庭的支持，从政策到预算，再到机构安排都已建立</w:t>
      </w:r>
      <w:r>
        <w:rPr>
          <w:rFonts w:hint="eastAsia" w:ascii="Arial" w:hAnsi="Arial" w:cs="Arial"/>
          <w:sz w:val="22"/>
          <w:szCs w:val="22"/>
          <w:lang w:eastAsia="zh-CN"/>
        </w:rPr>
        <w:t>完善</w:t>
      </w:r>
      <w:r>
        <w:rPr>
          <w:rFonts w:ascii="Arial" w:hAnsi="Arial" w:cs="Arial"/>
          <w:sz w:val="22"/>
          <w:szCs w:val="22"/>
        </w:rPr>
        <w:t>的体制机制，不仅能保障贫困户在各类项目中的合法权益，还能够有效管理贫困家庭的扶持与发展问题。</w:t>
      </w:r>
    </w:p>
    <w:p w14:paraId="4E94C9E9">
      <w:pPr>
        <w:rPr>
          <w:rFonts w:ascii="Arial" w:hAnsi="Arial" w:cs="Arial"/>
          <w:b/>
          <w:bCs/>
          <w:kern w:val="44"/>
          <w:sz w:val="22"/>
        </w:rPr>
      </w:pPr>
      <w:r>
        <w:rPr>
          <w:rFonts w:ascii="Arial" w:hAnsi="Arial" w:cs="Arial"/>
          <w:b/>
          <w:bCs/>
          <w:kern w:val="44"/>
          <w:sz w:val="22"/>
        </w:rPr>
        <w:br w:type="page"/>
      </w:r>
    </w:p>
    <w:bookmarkEnd w:id="369"/>
    <w:p w14:paraId="3D12D3F9">
      <w:pPr>
        <w:pStyle w:val="2"/>
        <w:numPr>
          <w:ilvl w:val="0"/>
          <w:numId w:val="4"/>
        </w:numPr>
        <w:tabs>
          <w:tab w:val="left" w:pos="709"/>
        </w:tabs>
        <w:adjustRightInd w:val="0"/>
        <w:snapToGrid w:val="0"/>
        <w:spacing w:before="120" w:after="120" w:line="240" w:lineRule="auto"/>
        <w:rPr>
          <w:rFonts w:ascii="Arial" w:hAnsi="Arial" w:cs="Arial"/>
          <w:color w:val="1F4E79" w:themeColor="accent5" w:themeShade="80"/>
          <w:sz w:val="28"/>
          <w:szCs w:val="28"/>
        </w:rPr>
      </w:pPr>
      <w:r>
        <w:rPr>
          <w:rFonts w:ascii="Arial" w:hAnsi="Arial" w:cs="Arial"/>
          <w:color w:val="1F4E79" w:themeColor="accent5" w:themeShade="80"/>
          <w:sz w:val="28"/>
          <w:szCs w:val="28"/>
        </w:rPr>
        <w:tab/>
      </w:r>
      <w:r>
        <w:rPr>
          <w:rFonts w:ascii="Arial" w:hAnsi="Arial" w:cs="Arial"/>
          <w:color w:val="1F4E79" w:themeColor="accent5" w:themeShade="80"/>
          <w:sz w:val="28"/>
          <w:szCs w:val="28"/>
        </w:rPr>
        <w:tab/>
      </w:r>
      <w:bookmarkStart w:id="499" w:name="_Toc119937319"/>
      <w:r>
        <w:rPr>
          <w:rFonts w:ascii="Arial" w:hAnsi="Arial" w:cs="Arial"/>
          <w:color w:val="1F4E79" w:themeColor="accent5" w:themeShade="80"/>
          <w:sz w:val="28"/>
          <w:szCs w:val="28"/>
        </w:rPr>
        <w:t>公众参与和申诉机制</w:t>
      </w:r>
      <w:bookmarkEnd w:id="367"/>
      <w:bookmarkEnd w:id="499"/>
    </w:p>
    <w:p w14:paraId="165AD99E">
      <w:pPr>
        <w:pStyle w:val="3"/>
        <w:tabs>
          <w:tab w:val="left" w:pos="567"/>
          <w:tab w:val="left" w:pos="709"/>
          <w:tab w:val="left" w:pos="851"/>
        </w:tabs>
        <w:rPr>
          <w:color w:val="1F4E79" w:themeColor="accent5" w:themeShade="80"/>
          <w:sz w:val="24"/>
        </w:rPr>
      </w:pPr>
      <w:bookmarkStart w:id="500" w:name="_Toc90332311"/>
      <w:bookmarkEnd w:id="500"/>
      <w:bookmarkStart w:id="501" w:name="_Toc90332055"/>
      <w:bookmarkEnd w:id="501"/>
      <w:bookmarkStart w:id="502" w:name="_Toc90174159"/>
      <w:bookmarkEnd w:id="502"/>
      <w:bookmarkStart w:id="503" w:name="_Toc91572979"/>
      <w:bookmarkEnd w:id="503"/>
      <w:bookmarkStart w:id="504" w:name="_Toc90855499"/>
      <w:bookmarkEnd w:id="504"/>
      <w:bookmarkStart w:id="505" w:name="_Toc89703129"/>
      <w:bookmarkEnd w:id="505"/>
      <w:bookmarkStart w:id="506" w:name="_Toc91572847"/>
      <w:bookmarkEnd w:id="506"/>
      <w:bookmarkStart w:id="507" w:name="_Toc90180680"/>
      <w:bookmarkEnd w:id="507"/>
      <w:bookmarkStart w:id="508" w:name="_Toc91572913"/>
      <w:bookmarkEnd w:id="508"/>
      <w:bookmarkStart w:id="509" w:name="_Toc90331901"/>
      <w:bookmarkEnd w:id="509"/>
      <w:bookmarkStart w:id="510" w:name="_Toc89425510"/>
      <w:bookmarkEnd w:id="510"/>
      <w:bookmarkStart w:id="511" w:name="_Toc91573045"/>
      <w:bookmarkEnd w:id="511"/>
      <w:bookmarkStart w:id="512" w:name="_Toc90174107"/>
      <w:bookmarkEnd w:id="512"/>
      <w:bookmarkStart w:id="513" w:name="_Toc92727005"/>
      <w:bookmarkEnd w:id="513"/>
      <w:bookmarkStart w:id="514" w:name="_Toc89703059"/>
      <w:bookmarkEnd w:id="514"/>
      <w:bookmarkStart w:id="515" w:name="_Toc90904818"/>
      <w:bookmarkEnd w:id="515"/>
      <w:bookmarkStart w:id="516" w:name="_Toc90855784"/>
      <w:bookmarkEnd w:id="516"/>
      <w:bookmarkStart w:id="517" w:name="_Toc90173930"/>
      <w:bookmarkEnd w:id="517"/>
      <w:bookmarkStart w:id="518" w:name="_Toc89155593"/>
      <w:bookmarkEnd w:id="518"/>
      <w:bookmarkStart w:id="519" w:name="_Toc90590535"/>
      <w:bookmarkEnd w:id="519"/>
      <w:bookmarkStart w:id="520" w:name="_Toc90711524"/>
      <w:bookmarkEnd w:id="520"/>
      <w:bookmarkStart w:id="521" w:name="_Toc90855566"/>
      <w:bookmarkEnd w:id="521"/>
      <w:bookmarkStart w:id="522" w:name="_Toc79402240"/>
      <w:bookmarkEnd w:id="522"/>
      <w:bookmarkStart w:id="523" w:name="_Toc90334685"/>
      <w:bookmarkEnd w:id="523"/>
      <w:bookmarkStart w:id="524" w:name="_Toc90169427"/>
      <w:bookmarkEnd w:id="524"/>
      <w:bookmarkStart w:id="525" w:name="_Toc90310601"/>
      <w:bookmarkEnd w:id="525"/>
      <w:bookmarkStart w:id="526" w:name="_Toc90856401"/>
      <w:bookmarkEnd w:id="526"/>
      <w:bookmarkStart w:id="527" w:name="_Toc90905804"/>
      <w:bookmarkEnd w:id="527"/>
      <w:bookmarkStart w:id="528" w:name="_Toc90551183"/>
      <w:bookmarkEnd w:id="528"/>
      <w:bookmarkStart w:id="529" w:name="_Toc90590580"/>
      <w:bookmarkEnd w:id="529"/>
      <w:bookmarkStart w:id="530" w:name="_Toc90551063"/>
      <w:bookmarkEnd w:id="530"/>
      <w:bookmarkStart w:id="531" w:name="_Toc88858674"/>
      <w:bookmarkEnd w:id="531"/>
      <w:bookmarkStart w:id="532" w:name="_Toc90169523"/>
      <w:bookmarkEnd w:id="532"/>
      <w:bookmarkStart w:id="533" w:name="_Toc89421599"/>
      <w:bookmarkEnd w:id="533"/>
      <w:bookmarkStart w:id="534" w:name="_Toc79939266"/>
      <w:bookmarkEnd w:id="534"/>
      <w:bookmarkStart w:id="535" w:name="_Toc77947867"/>
      <w:bookmarkEnd w:id="535"/>
      <w:bookmarkStart w:id="536" w:name="_Toc90840430"/>
      <w:bookmarkEnd w:id="536"/>
      <w:bookmarkStart w:id="537" w:name="_Toc88861992"/>
      <w:bookmarkEnd w:id="537"/>
      <w:bookmarkStart w:id="538" w:name="_Toc79141964"/>
      <w:bookmarkEnd w:id="538"/>
      <w:bookmarkStart w:id="539" w:name="_Toc89241957"/>
      <w:bookmarkEnd w:id="539"/>
      <w:bookmarkStart w:id="540" w:name="_Toc79736443"/>
      <w:bookmarkEnd w:id="540"/>
      <w:bookmarkStart w:id="541" w:name="_Toc78301192"/>
      <w:bookmarkEnd w:id="541"/>
      <w:bookmarkStart w:id="542" w:name="_Toc77948548"/>
      <w:bookmarkEnd w:id="542"/>
      <w:bookmarkStart w:id="543" w:name="_Toc77947611"/>
      <w:bookmarkEnd w:id="543"/>
      <w:bookmarkStart w:id="544" w:name="_Toc88858435"/>
      <w:bookmarkEnd w:id="544"/>
      <w:bookmarkStart w:id="545" w:name="_Toc88861939"/>
      <w:bookmarkEnd w:id="545"/>
      <w:bookmarkStart w:id="546" w:name="_Toc89016122"/>
      <w:bookmarkEnd w:id="546"/>
      <w:bookmarkStart w:id="547" w:name="_Toc77947555"/>
      <w:bookmarkEnd w:id="547"/>
      <w:bookmarkStart w:id="548" w:name="_Toc88859512"/>
      <w:bookmarkEnd w:id="548"/>
      <w:bookmarkStart w:id="549" w:name="_Toc89155518"/>
      <w:bookmarkEnd w:id="549"/>
      <w:bookmarkStart w:id="550" w:name="_Toc77948011"/>
      <w:bookmarkEnd w:id="550"/>
      <w:bookmarkStart w:id="551" w:name="_Toc79402193"/>
      <w:bookmarkEnd w:id="551"/>
      <w:bookmarkStart w:id="552" w:name="_Toc88857492"/>
      <w:bookmarkEnd w:id="552"/>
      <w:bookmarkStart w:id="553" w:name="_Toc88858785"/>
      <w:bookmarkEnd w:id="553"/>
      <w:bookmarkStart w:id="554" w:name="_Toc88857571"/>
      <w:bookmarkEnd w:id="554"/>
      <w:bookmarkStart w:id="555" w:name="_Toc88862114"/>
      <w:bookmarkEnd w:id="555"/>
      <w:bookmarkStart w:id="556" w:name="_Toc88858587"/>
      <w:bookmarkEnd w:id="556"/>
      <w:bookmarkStart w:id="557" w:name="_Toc88842045"/>
      <w:bookmarkEnd w:id="557"/>
      <w:bookmarkStart w:id="558" w:name="_Toc88858838"/>
      <w:bookmarkEnd w:id="558"/>
      <w:bookmarkStart w:id="559" w:name="_Toc88858345"/>
      <w:bookmarkEnd w:id="559"/>
      <w:bookmarkStart w:id="560" w:name="_Toc77947817"/>
      <w:bookmarkEnd w:id="560"/>
      <w:bookmarkStart w:id="561" w:name="_Toc77948073"/>
      <w:bookmarkEnd w:id="561"/>
      <w:bookmarkStart w:id="562" w:name="_Toc88860769"/>
      <w:bookmarkEnd w:id="562"/>
      <w:bookmarkStart w:id="563" w:name="_Toc79736578"/>
      <w:bookmarkEnd w:id="563"/>
      <w:bookmarkStart w:id="564" w:name="_Toc93944836"/>
      <w:bookmarkEnd w:id="564"/>
      <w:bookmarkStart w:id="565" w:name="_Toc92267156"/>
      <w:bookmarkEnd w:id="565"/>
      <w:bookmarkStart w:id="566" w:name="_Toc91572766"/>
      <w:bookmarkEnd w:id="566"/>
      <w:bookmarkStart w:id="567" w:name="_Toc91572698"/>
      <w:bookmarkEnd w:id="567"/>
      <w:bookmarkStart w:id="568" w:name="_Toc90176475"/>
      <w:bookmarkEnd w:id="568"/>
      <w:bookmarkStart w:id="569" w:name="_Toc90181117"/>
      <w:bookmarkEnd w:id="569"/>
      <w:bookmarkStart w:id="570" w:name="_Toc91190284"/>
      <w:bookmarkEnd w:id="570"/>
      <w:bookmarkStart w:id="571" w:name="_Toc90414833"/>
      <w:bookmarkEnd w:id="571"/>
      <w:bookmarkStart w:id="572" w:name="_Toc92803988"/>
      <w:bookmarkEnd w:id="572"/>
      <w:bookmarkStart w:id="573" w:name="_Toc91573177"/>
      <w:bookmarkEnd w:id="573"/>
      <w:bookmarkStart w:id="574" w:name="_Toc90550992"/>
      <w:bookmarkEnd w:id="574"/>
      <w:bookmarkStart w:id="575" w:name="_Toc90216914"/>
      <w:bookmarkEnd w:id="575"/>
      <w:bookmarkStart w:id="576" w:name="_Toc90173653"/>
      <w:bookmarkEnd w:id="576"/>
      <w:bookmarkStart w:id="577" w:name="_Toc79939267"/>
      <w:bookmarkStart w:id="578" w:name="_Toc114235850"/>
      <w:bookmarkStart w:id="579" w:name="_Toc119937320"/>
      <w:bookmarkStart w:id="580" w:name="_Hlk77948320"/>
      <w:r>
        <w:rPr>
          <w:color w:val="1F4E79" w:themeColor="accent5" w:themeShade="80"/>
          <w:sz w:val="24"/>
        </w:rPr>
        <w:t>6.1</w:t>
      </w:r>
      <w:r>
        <w:rPr>
          <w:color w:val="1F4E79" w:themeColor="accent5" w:themeShade="80"/>
          <w:sz w:val="24"/>
        </w:rPr>
        <w:tab/>
      </w:r>
      <w:r>
        <w:rPr>
          <w:color w:val="1F4E79" w:themeColor="accent5" w:themeShade="80"/>
          <w:sz w:val="24"/>
        </w:rPr>
        <w:tab/>
      </w:r>
      <w:r>
        <w:rPr>
          <w:color w:val="1F4E79" w:themeColor="accent5" w:themeShade="80"/>
          <w:sz w:val="24"/>
        </w:rPr>
        <w:tab/>
      </w:r>
      <w:r>
        <w:rPr>
          <w:color w:val="1F4E79" w:themeColor="accent5" w:themeShade="80"/>
          <w:sz w:val="24"/>
        </w:rPr>
        <w:t>公众参与</w:t>
      </w:r>
      <w:bookmarkEnd w:id="577"/>
      <w:bookmarkEnd w:id="578"/>
      <w:bookmarkEnd w:id="579"/>
    </w:p>
    <w:p w14:paraId="365B33E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利益相关方的参与是本ESSA报告的重要内容，也是世行政策的要求。评价中按照受活动影响、对活动感兴趣、影响活动几个类型，识别了各相关利益方。主要包括各级政府主管机构、乡村及社区、活动实施运行机构、妇联等社会组织、受影响人等。本项目利益相关方识别见</w:t>
      </w:r>
      <w:r>
        <w:rPr>
          <w:rFonts w:ascii="Arial" w:hAnsi="Arial" w:cs="Arial"/>
          <w:b/>
          <w:bCs/>
          <w:sz w:val="22"/>
        </w:rPr>
        <w:t>附件4</w:t>
      </w:r>
      <w:r>
        <w:rPr>
          <w:rFonts w:ascii="Arial" w:hAnsi="Arial" w:cs="Arial"/>
          <w:sz w:val="22"/>
        </w:rPr>
        <w:t>。在评估及报告的编制过程中，在湖</w:t>
      </w:r>
      <w:r>
        <w:rPr>
          <w:rFonts w:hint="eastAsia" w:ascii="Arial" w:hAnsi="Arial" w:cs="Arial"/>
          <w:sz w:val="22"/>
          <w:lang w:eastAsia="zh-CN"/>
        </w:rPr>
        <w:t>北和</w:t>
      </w:r>
      <w:r>
        <w:rPr>
          <w:rFonts w:ascii="Arial" w:hAnsi="Arial" w:cs="Arial"/>
          <w:sz w:val="22"/>
        </w:rPr>
        <w:t>湖南两省及相关县区已经开展了大量的参与协商活动，包括2022年8月对湖北和湖南两省相关政府部门开展座谈，并于2022年10月与湖北和湖南相关政府部门针对ESSA报告召开的咨询会。</w:t>
      </w:r>
    </w:p>
    <w:p w14:paraId="63E3E768">
      <w:pPr>
        <w:pStyle w:val="4"/>
        <w:tabs>
          <w:tab w:val="left" w:pos="709"/>
        </w:tabs>
        <w:adjustRightInd w:val="0"/>
        <w:snapToGrid w:val="0"/>
        <w:spacing w:before="120" w:after="120" w:line="240" w:lineRule="auto"/>
        <w:rPr>
          <w:rFonts w:ascii="Arial" w:hAnsi="Arial" w:cs="Arial"/>
          <w:color w:val="1F4E79" w:themeColor="accent5" w:themeShade="80"/>
          <w:sz w:val="24"/>
          <w:szCs w:val="24"/>
        </w:rPr>
      </w:pPr>
      <w:bookmarkStart w:id="581" w:name="_Toc119937321"/>
      <w:bookmarkStart w:id="582" w:name="_Toc79939268"/>
      <w:bookmarkStart w:id="583" w:name="_Toc114235851"/>
      <w:r>
        <w:rPr>
          <w:rFonts w:ascii="Arial" w:hAnsi="Arial" w:cs="Arial"/>
          <w:color w:val="1F4E79" w:themeColor="accent5" w:themeShade="80"/>
          <w:sz w:val="24"/>
          <w:szCs w:val="24"/>
        </w:rPr>
        <w:t>6.1.1</w:t>
      </w:r>
      <w:r>
        <w:rPr>
          <w:rFonts w:ascii="Arial" w:hAnsi="Arial" w:cs="Arial"/>
          <w:color w:val="1F4E79" w:themeColor="accent5" w:themeShade="80"/>
          <w:sz w:val="24"/>
          <w:szCs w:val="24"/>
        </w:rPr>
        <w:tab/>
      </w:r>
      <w:r>
        <w:rPr>
          <w:rFonts w:ascii="Arial" w:hAnsi="Arial" w:cs="Arial"/>
          <w:color w:val="1F4E79" w:themeColor="accent5" w:themeShade="80"/>
          <w:sz w:val="24"/>
          <w:szCs w:val="24"/>
        </w:rPr>
        <w:tab/>
      </w:r>
      <w:r>
        <w:rPr>
          <w:rFonts w:ascii="Arial" w:hAnsi="Arial" w:cs="Arial"/>
          <w:color w:val="1F4E79" w:themeColor="accent5" w:themeShade="80"/>
          <w:sz w:val="24"/>
          <w:szCs w:val="24"/>
        </w:rPr>
        <w:t>已开展的参与</w:t>
      </w:r>
      <w:bookmarkEnd w:id="581"/>
      <w:bookmarkEnd w:id="582"/>
      <w:bookmarkEnd w:id="583"/>
    </w:p>
    <w:p w14:paraId="3931789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在项目准备阶段，世行项目团队和ESSA咨询团队2022年6</w:t>
      </w:r>
      <w:r>
        <w:rPr>
          <w:rFonts w:hint="eastAsia" w:ascii="Arial" w:hAnsi="Arial" w:cs="Arial"/>
          <w:sz w:val="22"/>
          <w:lang w:eastAsia="zh-CN"/>
        </w:rPr>
        <w:t>—</w:t>
      </w:r>
      <w:r>
        <w:rPr>
          <w:rFonts w:ascii="Arial" w:hAnsi="Arial" w:cs="Arial"/>
          <w:sz w:val="22"/>
        </w:rPr>
        <w:t>8月向湖北和湖南省级及县级政府部门介绍世行PforR贷款工具的相关规定、环境与社会的政策、实施管理方法、操作流程和评价文件准备等。</w:t>
      </w:r>
    </w:p>
    <w:p w14:paraId="39EC23B4">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自2022年8月起，针对本报告的编制与完善，在湖北和湖南两省开展了广泛的公众参与活动（列表见</w:t>
      </w:r>
      <w:r>
        <w:rPr>
          <w:rFonts w:hint="eastAsia" w:ascii="Arial" w:hAnsi="Arial" w:cs="Arial"/>
          <w:sz w:val="22"/>
        </w:rPr>
        <w:t>附件</w:t>
      </w:r>
      <w:r>
        <w:rPr>
          <w:rFonts w:ascii="Arial" w:hAnsi="Arial" w:cs="Arial"/>
          <w:sz w:val="22"/>
        </w:rPr>
        <w:t>5）。分别召开了6次省级政府部门咨询会议，参加的部门包括省发改委、财政厅、农业农村厅、乡村振兴局、住建厅、生态环境厅、自然资源厅、妇联、民宗局等厅局。县级层面现场走访了湖北省仙桃市、随县、洪湖以及湖南省衡南县、慈利县和澧县，开展各区县级政府部门座谈，累计参与座谈人数约100人。同时，还收集了湖北省阳新县、浠水县、崇阳县、咸丰县等7个区县，以及湖南省花垣、江永、临湘、永定、桃江等10县提供的资料数据进一步分析确认。在各种形式的调查座谈中，交流对象包括政府主管部门、相关企业（生活垃圾处置、生活污水处理、农作物种植、畜禽养殖、水产养殖、秸秆处理、农膜回收利用等）、村委会干部及村民代表等，并实地考察了农村生活垃圾收集与转运、垃圾填埋和焚烧、污水处理、畜禽养殖、畜禽粪污资源化利用、秸秆资源化利用、农膜回收利用等典型活动现场。</w:t>
      </w:r>
      <w:r>
        <w:rPr>
          <w:rFonts w:hint="eastAsia" w:ascii="Arial" w:hAnsi="Arial" w:cs="Arial"/>
          <w:sz w:val="22"/>
        </w:rPr>
        <w:t>世行团队于</w:t>
      </w:r>
      <w:r>
        <w:rPr>
          <w:rFonts w:ascii="Arial" w:hAnsi="Arial" w:cs="Arial"/>
          <w:sz w:val="22"/>
        </w:rPr>
        <w:t>2025年7月对</w:t>
      </w:r>
      <w:r>
        <w:rPr>
          <w:rFonts w:hint="eastAsia" w:ascii="Arial" w:hAnsi="Arial" w:cs="Arial"/>
          <w:sz w:val="22"/>
        </w:rPr>
        <w:t>新纳入项目范围的</w:t>
      </w:r>
      <w:r>
        <w:rPr>
          <w:rFonts w:ascii="Arial" w:hAnsi="Arial" w:cs="Arial"/>
          <w:sz w:val="22"/>
        </w:rPr>
        <w:t>湖南新田县和湖北咸安区进行了补充评估，</w:t>
      </w:r>
      <w:r>
        <w:rPr>
          <w:rFonts w:hint="eastAsia" w:ascii="Arial" w:hAnsi="Arial" w:cs="Arial"/>
          <w:sz w:val="22"/>
        </w:rPr>
        <w:t>与</w:t>
      </w:r>
      <w:r>
        <w:rPr>
          <w:rFonts w:ascii="Arial" w:hAnsi="Arial" w:cs="Arial"/>
          <w:sz w:val="22"/>
        </w:rPr>
        <w:t>新纳入本项目的两个县区以及两省政府</w:t>
      </w:r>
      <w:r>
        <w:rPr>
          <w:rFonts w:hint="eastAsia" w:ascii="Arial" w:hAnsi="Arial" w:cs="Arial"/>
          <w:sz w:val="22"/>
        </w:rPr>
        <w:t>相关</w:t>
      </w:r>
      <w:r>
        <w:rPr>
          <w:rFonts w:ascii="Arial" w:hAnsi="Arial" w:cs="Arial"/>
          <w:sz w:val="22"/>
        </w:rPr>
        <w:t>部门座谈、收集资料、</w:t>
      </w:r>
      <w:r>
        <w:rPr>
          <w:rFonts w:hint="eastAsia" w:ascii="Arial" w:hAnsi="Arial" w:cs="Arial"/>
          <w:sz w:val="22"/>
        </w:rPr>
        <w:t>考察</w:t>
      </w:r>
      <w:r>
        <w:rPr>
          <w:rFonts w:ascii="Arial" w:hAnsi="Arial" w:cs="Arial"/>
          <w:sz w:val="22"/>
        </w:rPr>
        <w:t>典型活动现场</w:t>
      </w:r>
      <w:r>
        <w:rPr>
          <w:rFonts w:hint="eastAsia" w:ascii="Arial" w:hAnsi="Arial" w:cs="Arial"/>
          <w:sz w:val="22"/>
        </w:rPr>
        <w:t>等。</w:t>
      </w:r>
      <w:r>
        <w:rPr>
          <w:rFonts w:ascii="Arial" w:hAnsi="Arial" w:cs="Arial"/>
          <w:sz w:val="22"/>
        </w:rPr>
        <w:t>公众参与主要的考察和访谈内容包括：</w:t>
      </w:r>
    </w:p>
    <w:p w14:paraId="33228AFB">
      <w:pPr>
        <w:pStyle w:val="48"/>
        <w:widowControl w:val="0"/>
        <w:numPr>
          <w:ilvl w:val="0"/>
          <w:numId w:val="31"/>
        </w:numPr>
        <w:ind w:firstLineChars="0"/>
        <w:jc w:val="both"/>
        <w:rPr>
          <w:rFonts w:ascii="Arial" w:hAnsi="Arial" w:cs="Arial"/>
          <w:sz w:val="22"/>
        </w:rPr>
      </w:pPr>
      <w:r>
        <w:rPr>
          <w:rFonts w:ascii="Arial" w:hAnsi="Arial" w:cs="Arial"/>
          <w:sz w:val="22"/>
        </w:rPr>
        <w:t>各部门的职责和机构设置</w:t>
      </w:r>
    </w:p>
    <w:p w14:paraId="4F3A89D0">
      <w:pPr>
        <w:pStyle w:val="48"/>
        <w:widowControl w:val="0"/>
        <w:numPr>
          <w:ilvl w:val="0"/>
          <w:numId w:val="31"/>
        </w:numPr>
        <w:ind w:firstLineChars="0"/>
        <w:jc w:val="both"/>
        <w:rPr>
          <w:rFonts w:ascii="Arial" w:hAnsi="Arial" w:cs="Arial"/>
          <w:sz w:val="22"/>
        </w:rPr>
      </w:pPr>
      <w:r>
        <w:rPr>
          <w:rFonts w:ascii="Arial" w:hAnsi="Arial" w:cs="Arial"/>
          <w:sz w:val="22"/>
        </w:rPr>
        <w:t>现行行业主要政策与规定</w:t>
      </w:r>
    </w:p>
    <w:p w14:paraId="13C5C71C">
      <w:pPr>
        <w:pStyle w:val="48"/>
        <w:widowControl w:val="0"/>
        <w:numPr>
          <w:ilvl w:val="0"/>
          <w:numId w:val="31"/>
        </w:numPr>
        <w:ind w:firstLineChars="0"/>
        <w:jc w:val="both"/>
        <w:rPr>
          <w:rFonts w:ascii="Arial" w:hAnsi="Arial" w:cs="Arial"/>
          <w:sz w:val="22"/>
        </w:rPr>
      </w:pPr>
      <w:r>
        <w:rPr>
          <w:rFonts w:ascii="Arial" w:hAnsi="Arial" w:cs="Arial"/>
          <w:sz w:val="22"/>
        </w:rPr>
        <w:t>各部门工作关于污水收集处理、农业面源污染管理和河道治理等活动的具体实施内容、政策要求、实施进展、效果和主要问题</w:t>
      </w:r>
    </w:p>
    <w:p w14:paraId="257428C8">
      <w:pPr>
        <w:pStyle w:val="48"/>
        <w:widowControl w:val="0"/>
        <w:numPr>
          <w:ilvl w:val="0"/>
          <w:numId w:val="31"/>
        </w:numPr>
        <w:ind w:firstLineChars="0"/>
        <w:jc w:val="both"/>
        <w:rPr>
          <w:rFonts w:ascii="Arial" w:hAnsi="Arial" w:cs="Arial"/>
          <w:sz w:val="22"/>
        </w:rPr>
      </w:pPr>
      <w:r>
        <w:rPr>
          <w:rFonts w:ascii="Arial" w:hAnsi="Arial" w:cs="Arial"/>
          <w:sz w:val="22"/>
        </w:rPr>
        <w:t>相关企业规模、工人招聘方式、工人福利待遇、安全和技术培训、主要职业健康危害和检查、安全防护设施设备到位情况、设施用地审批、环评、稳评、安评、地灾以及管理情况等。</w:t>
      </w:r>
    </w:p>
    <w:p w14:paraId="744D4F8E">
      <w:pPr>
        <w:pStyle w:val="48"/>
        <w:widowControl w:val="0"/>
        <w:numPr>
          <w:ilvl w:val="0"/>
          <w:numId w:val="31"/>
        </w:numPr>
        <w:ind w:firstLineChars="0"/>
        <w:jc w:val="both"/>
        <w:rPr>
          <w:rFonts w:ascii="Arial" w:hAnsi="Arial" w:cs="Arial"/>
          <w:sz w:val="22"/>
        </w:rPr>
      </w:pPr>
      <w:r>
        <w:rPr>
          <w:rFonts w:ascii="Arial" w:hAnsi="Arial" w:cs="Arial"/>
          <w:sz w:val="22"/>
        </w:rPr>
        <w:t>农村社区生活垃圾收集、转运、分类和处理（含回收利用）情况</w:t>
      </w:r>
    </w:p>
    <w:p w14:paraId="54F1DEB0">
      <w:pPr>
        <w:pStyle w:val="48"/>
        <w:widowControl w:val="0"/>
        <w:numPr>
          <w:ilvl w:val="0"/>
          <w:numId w:val="31"/>
        </w:numPr>
        <w:ind w:firstLineChars="0"/>
        <w:jc w:val="both"/>
        <w:rPr>
          <w:rFonts w:ascii="Arial" w:hAnsi="Arial" w:cs="Arial"/>
          <w:sz w:val="22"/>
        </w:rPr>
      </w:pPr>
      <w:r>
        <w:rPr>
          <w:rFonts w:ascii="Arial" w:hAnsi="Arial" w:cs="Arial"/>
          <w:sz w:val="22"/>
        </w:rPr>
        <w:t>村民就业务工情况，特别是参与垃圾、污水和河道治理等项目实施的情况</w:t>
      </w:r>
    </w:p>
    <w:p w14:paraId="5DF8F98D">
      <w:pPr>
        <w:pStyle w:val="48"/>
        <w:widowControl w:val="0"/>
        <w:numPr>
          <w:ilvl w:val="0"/>
          <w:numId w:val="31"/>
        </w:numPr>
        <w:ind w:firstLineChars="0"/>
        <w:jc w:val="both"/>
        <w:rPr>
          <w:rFonts w:ascii="Arial" w:hAnsi="Arial" w:cs="Arial"/>
          <w:sz w:val="22"/>
        </w:rPr>
      </w:pPr>
      <w:r>
        <w:rPr>
          <w:rFonts w:ascii="Arial" w:hAnsi="Arial" w:cs="Arial"/>
          <w:sz w:val="22"/>
        </w:rPr>
        <w:t>污水收集处理的状况、接户情况、收费情况、问题和建议</w:t>
      </w:r>
    </w:p>
    <w:p w14:paraId="338A7A7A">
      <w:pPr>
        <w:pStyle w:val="48"/>
        <w:widowControl w:val="0"/>
        <w:numPr>
          <w:ilvl w:val="0"/>
          <w:numId w:val="31"/>
        </w:numPr>
        <w:ind w:firstLineChars="0"/>
        <w:jc w:val="both"/>
        <w:rPr>
          <w:rFonts w:ascii="Arial" w:hAnsi="Arial" w:cs="Arial"/>
          <w:sz w:val="22"/>
        </w:rPr>
      </w:pPr>
      <w:r>
        <w:rPr>
          <w:rFonts w:ascii="Arial" w:hAnsi="Arial" w:cs="Arial"/>
          <w:sz w:val="22"/>
        </w:rPr>
        <w:t>农村化肥和有机肥使用和效果</w:t>
      </w:r>
    </w:p>
    <w:p w14:paraId="62897582">
      <w:pPr>
        <w:pStyle w:val="48"/>
        <w:widowControl w:val="0"/>
        <w:numPr>
          <w:ilvl w:val="0"/>
          <w:numId w:val="31"/>
        </w:numPr>
        <w:ind w:firstLineChars="0"/>
        <w:jc w:val="both"/>
        <w:rPr>
          <w:rFonts w:ascii="Arial" w:hAnsi="Arial" w:cs="Arial"/>
          <w:sz w:val="22"/>
        </w:rPr>
      </w:pPr>
      <w:r>
        <w:rPr>
          <w:rFonts w:ascii="Arial" w:hAnsi="Arial" w:cs="Arial"/>
          <w:sz w:val="22"/>
        </w:rPr>
        <w:t>畜禽粪污资源化利用、秸秆资源化利用、农业废弃物回收情况及效果</w:t>
      </w:r>
    </w:p>
    <w:p w14:paraId="4E6DD83D">
      <w:pPr>
        <w:pStyle w:val="4"/>
        <w:tabs>
          <w:tab w:val="left" w:pos="709"/>
        </w:tabs>
        <w:adjustRightInd w:val="0"/>
        <w:snapToGrid w:val="0"/>
        <w:spacing w:before="120" w:after="120" w:line="240" w:lineRule="auto"/>
        <w:rPr>
          <w:rFonts w:ascii="Arial" w:hAnsi="Arial" w:cs="Arial"/>
          <w:color w:val="1F4E79" w:themeColor="accent5" w:themeShade="80"/>
          <w:sz w:val="24"/>
          <w:szCs w:val="24"/>
        </w:rPr>
      </w:pPr>
      <w:bookmarkStart w:id="584" w:name="_Toc79939269"/>
      <w:bookmarkStart w:id="585" w:name="_Toc114235852"/>
      <w:bookmarkStart w:id="586" w:name="_Toc119937322"/>
      <w:r>
        <w:rPr>
          <w:rFonts w:ascii="Arial" w:hAnsi="Arial" w:cs="Arial"/>
          <w:color w:val="1F4E79" w:themeColor="accent5" w:themeShade="80"/>
          <w:sz w:val="24"/>
          <w:szCs w:val="24"/>
        </w:rPr>
        <w:t xml:space="preserve">6.1.2 </w:t>
      </w:r>
      <w:r>
        <w:rPr>
          <w:rFonts w:ascii="Arial" w:hAnsi="Arial" w:cs="Arial"/>
          <w:color w:val="1F4E79" w:themeColor="accent5" w:themeShade="80"/>
          <w:sz w:val="24"/>
          <w:szCs w:val="24"/>
        </w:rPr>
        <w:tab/>
      </w:r>
      <w:r>
        <w:rPr>
          <w:rFonts w:ascii="Arial" w:hAnsi="Arial" w:cs="Arial"/>
          <w:color w:val="1F4E79" w:themeColor="accent5" w:themeShade="80"/>
          <w:sz w:val="24"/>
          <w:szCs w:val="24"/>
        </w:rPr>
        <w:tab/>
      </w:r>
      <w:r>
        <w:rPr>
          <w:rFonts w:ascii="Arial" w:hAnsi="Arial" w:cs="Arial"/>
          <w:color w:val="1F4E79" w:themeColor="accent5" w:themeShade="80"/>
          <w:sz w:val="24"/>
          <w:szCs w:val="24"/>
        </w:rPr>
        <w:t>本报告的公众</w:t>
      </w:r>
      <w:bookmarkEnd w:id="584"/>
      <w:r>
        <w:rPr>
          <w:rFonts w:ascii="Arial" w:hAnsi="Arial" w:cs="Arial"/>
          <w:color w:val="1F4E79" w:themeColor="accent5" w:themeShade="80"/>
          <w:sz w:val="24"/>
          <w:szCs w:val="24"/>
        </w:rPr>
        <w:t>磋商</w:t>
      </w:r>
      <w:bookmarkEnd w:id="585"/>
      <w:bookmarkEnd w:id="586"/>
    </w:p>
    <w:p w14:paraId="670D7818">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587" w:name="_Hlk79165594"/>
      <w:r>
        <w:rPr>
          <w:rFonts w:ascii="Arial" w:hAnsi="Arial" w:cs="Arial"/>
          <w:sz w:val="22"/>
        </w:rPr>
        <w:t>本报告第一版初稿于2022年10月11日发给湖北和湖南两省项目办。两省项目办又将本报告初稿发给相关的省级部门以及所有项目县市相关部门征求意见。随后湖北和湖南两省项目办分别于2022年10月26日和27日组织省级和县级政府部门与世行团队召开了ESSA协商会议。会议参与方包括两省乡村振兴局、农业农村厅、生态环境厅、住建厅、人社厅、民政厅等省级政府部门，以及湖北省10个项目县市和湖南省13个项目县市的相关部门。会议介绍了本项目内容和ESSA报告摘要，包括环境与社会系统评价的目的、任务、内容、研究方法、结论和建议。会议讨论的主要问题包括：</w:t>
      </w:r>
    </w:p>
    <w:p w14:paraId="0AC52C0E">
      <w:pPr>
        <w:pStyle w:val="48"/>
        <w:widowControl w:val="0"/>
        <w:numPr>
          <w:ilvl w:val="0"/>
          <w:numId w:val="32"/>
        </w:numPr>
        <w:ind w:firstLineChars="0"/>
        <w:jc w:val="both"/>
        <w:rPr>
          <w:rFonts w:ascii="Arial" w:hAnsi="Arial" w:cs="Arial"/>
          <w:sz w:val="22"/>
        </w:rPr>
      </w:pPr>
      <w:r>
        <w:rPr>
          <w:rFonts w:ascii="Arial" w:hAnsi="Arial" w:cs="Arial"/>
          <w:sz w:val="22"/>
        </w:rPr>
        <w:t>报告引用的法律法规是否准确、完整；</w:t>
      </w:r>
    </w:p>
    <w:p w14:paraId="4937C7D0">
      <w:pPr>
        <w:pStyle w:val="48"/>
        <w:widowControl w:val="0"/>
        <w:numPr>
          <w:ilvl w:val="0"/>
          <w:numId w:val="32"/>
        </w:numPr>
        <w:ind w:firstLineChars="0"/>
        <w:jc w:val="both"/>
        <w:rPr>
          <w:rFonts w:ascii="Arial" w:hAnsi="Arial" w:cs="Arial"/>
          <w:sz w:val="22"/>
        </w:rPr>
      </w:pPr>
      <w:r>
        <w:rPr>
          <w:rFonts w:ascii="Arial" w:hAnsi="Arial" w:cs="Arial"/>
          <w:sz w:val="22"/>
        </w:rPr>
        <w:t>报告对法律法规的分析、评价是否符合实际情况；</w:t>
      </w:r>
    </w:p>
    <w:p w14:paraId="7BF94F46">
      <w:pPr>
        <w:pStyle w:val="48"/>
        <w:widowControl w:val="0"/>
        <w:numPr>
          <w:ilvl w:val="0"/>
          <w:numId w:val="32"/>
        </w:numPr>
        <w:ind w:firstLineChars="0"/>
        <w:jc w:val="both"/>
        <w:rPr>
          <w:rFonts w:ascii="Arial" w:hAnsi="Arial" w:cs="Arial"/>
          <w:sz w:val="22"/>
        </w:rPr>
      </w:pPr>
      <w:r>
        <w:rPr>
          <w:rFonts w:ascii="Arial" w:hAnsi="Arial" w:cs="Arial"/>
          <w:sz w:val="22"/>
        </w:rPr>
        <w:t>报告关于机构设置的描述是否准确，关于机构能力的评价是否恰当；</w:t>
      </w:r>
    </w:p>
    <w:p w14:paraId="26633308">
      <w:pPr>
        <w:pStyle w:val="48"/>
        <w:widowControl w:val="0"/>
        <w:numPr>
          <w:ilvl w:val="0"/>
          <w:numId w:val="32"/>
        </w:numPr>
        <w:ind w:firstLineChars="0"/>
        <w:jc w:val="both"/>
        <w:rPr>
          <w:rFonts w:ascii="Arial" w:hAnsi="Arial" w:cs="Arial"/>
          <w:sz w:val="22"/>
        </w:rPr>
      </w:pPr>
      <w:r>
        <w:rPr>
          <w:rFonts w:ascii="Arial" w:hAnsi="Arial" w:cs="Arial"/>
          <w:sz w:val="22"/>
        </w:rPr>
        <w:t>与会代表对于报告的结论，特别是报告中发现的关于国内环境与社会系统与世行PforR政策的差距是否认可，提出的行动建议是否可行。</w:t>
      </w:r>
    </w:p>
    <w:p w14:paraId="46A98476">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咨询参与方对本报告给予了肯定，对拟定的行动建议表示认可，并对报告提出了书面修改意见（如部分政策文件的时效性问题、机构设置的最新调整、机构职能的分配等）。世行ESSA团队认真听取了有关意见，进行了充分记录和研究，并在报告中做出了相应的修改。</w:t>
      </w:r>
      <w:r>
        <w:rPr>
          <w:rFonts w:hint="eastAsia" w:ascii="Arial" w:hAnsi="Arial" w:cs="Arial"/>
          <w:sz w:val="22"/>
        </w:rPr>
        <w:t>2025年7月世行团队</w:t>
      </w:r>
      <w:r>
        <w:rPr>
          <w:rFonts w:ascii="Arial" w:hAnsi="Arial" w:cs="Arial"/>
          <w:sz w:val="22"/>
        </w:rPr>
        <w:t>征询</w:t>
      </w:r>
      <w:r>
        <w:rPr>
          <w:rFonts w:hint="eastAsia" w:ascii="Arial" w:hAnsi="Arial" w:cs="Arial"/>
          <w:sz w:val="22"/>
        </w:rPr>
        <w:t>了</w:t>
      </w:r>
      <w:r>
        <w:rPr>
          <w:rFonts w:ascii="Arial" w:hAnsi="Arial" w:cs="Arial"/>
          <w:sz w:val="22"/>
        </w:rPr>
        <w:t>新田县和咸安区</w:t>
      </w:r>
      <w:r>
        <w:rPr>
          <w:rFonts w:hint="eastAsia" w:ascii="Arial" w:hAnsi="Arial" w:cs="Arial"/>
          <w:sz w:val="22"/>
        </w:rPr>
        <w:t>相关</w:t>
      </w:r>
      <w:r>
        <w:rPr>
          <w:rFonts w:ascii="Arial" w:hAnsi="Arial" w:cs="Arial"/>
          <w:sz w:val="22"/>
        </w:rPr>
        <w:t>政府部门对本报告的意见</w:t>
      </w:r>
      <w:r>
        <w:rPr>
          <w:rFonts w:hint="eastAsia" w:ascii="Arial" w:hAnsi="Arial" w:cs="Arial"/>
          <w:sz w:val="22"/>
        </w:rPr>
        <w:t>，相关部门的意见已经反映在本报告中。</w:t>
      </w:r>
      <w:r>
        <w:rPr>
          <w:rFonts w:ascii="Arial" w:hAnsi="Arial" w:cs="Arial"/>
          <w:sz w:val="22"/>
        </w:rPr>
        <w:t>咨询会议中各方提出的主要意见和ESSA报告进行的相应修改在</w:t>
      </w:r>
      <w:r>
        <w:rPr>
          <w:rFonts w:ascii="Arial" w:hAnsi="Arial" w:cs="Arial"/>
          <w:b/>
          <w:bCs/>
          <w:sz w:val="22"/>
        </w:rPr>
        <w:t>附件6</w:t>
      </w:r>
      <w:r>
        <w:rPr>
          <w:rFonts w:ascii="Arial" w:hAnsi="Arial" w:cs="Arial"/>
          <w:sz w:val="22"/>
        </w:rPr>
        <w:t>进行了详细记录。</w:t>
      </w:r>
      <w:bookmarkEnd w:id="587"/>
    </w:p>
    <w:p w14:paraId="704B7270">
      <w:pPr>
        <w:pStyle w:val="3"/>
        <w:rPr>
          <w:color w:val="1F4E79" w:themeColor="accent5" w:themeShade="80"/>
          <w:sz w:val="24"/>
        </w:rPr>
      </w:pPr>
      <w:bookmarkStart w:id="588" w:name="_Toc119937323"/>
      <w:bookmarkStart w:id="589" w:name="_Toc79939270"/>
      <w:bookmarkStart w:id="590" w:name="_Toc114235853"/>
      <w:r>
        <w:rPr>
          <w:color w:val="1F4E79" w:themeColor="accent5" w:themeShade="80"/>
          <w:sz w:val="24"/>
        </w:rPr>
        <w:t>6.2</w:t>
      </w:r>
      <w:r>
        <w:rPr>
          <w:color w:val="1F4E79" w:themeColor="accent5" w:themeShade="80"/>
          <w:sz w:val="24"/>
        </w:rPr>
        <w:tab/>
      </w:r>
      <w:r>
        <w:rPr>
          <w:color w:val="1F4E79" w:themeColor="accent5" w:themeShade="80"/>
          <w:sz w:val="24"/>
        </w:rPr>
        <w:tab/>
      </w:r>
      <w:r>
        <w:rPr>
          <w:color w:val="1F4E79" w:themeColor="accent5" w:themeShade="80"/>
          <w:sz w:val="24"/>
        </w:rPr>
        <w:t>申诉机制</w:t>
      </w:r>
      <w:bookmarkEnd w:id="588"/>
      <w:bookmarkEnd w:id="589"/>
      <w:bookmarkEnd w:id="590"/>
    </w:p>
    <w:p w14:paraId="19722F25">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现有申诉机制。</w:t>
      </w:r>
      <w:r>
        <w:rPr>
          <w:rFonts w:ascii="Arial" w:hAnsi="Arial" w:cs="Arial"/>
          <w:sz w:val="22"/>
        </w:rPr>
        <w:t>通常包括两种类型，一种是社区申诉机制；二是企业申诉机制。社区申诉机制，包括三个层次：一是向有关实施单位直接反映情况并寻求解决；二是通过村委会或居委会反映，由基层政府负责联络处理，通常在两周内处理完成；三是通过县政府信访部门或县长热线/邮箱等方式投诉处理，流程包括收集、7天内启动，2个月内处理完成并反馈的机制。此外，居民还可以通过法院的民事诉讼来解决争议。企业申诉机制包括两个方面：一是员工申诉。员工申诉主要“三级劳工纠纷解决机制”来处理，分别是企业内部劳工纠纷申诉机制、乡政府劳动纠纷调解中心和县政府劳动调解中心。企业内部申诉机制主要通过信箱/厂长信箱，或者通过企业工会反映诉求，并寻求解决；企业内部无法解决的，通过政府劳动纠纷调解机制来处理。企业员工也可直接提请劳动仲裁来解决问题（详见5.4节原则3下的要素8）。二是企业设置对外联络部门，确定联系人和联系电话，负责接收社会对企业的投诉和建议。</w:t>
      </w:r>
    </w:p>
    <w:p w14:paraId="4C876D0A">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b/>
          <w:bCs/>
          <w:sz w:val="22"/>
        </w:rPr>
        <w:t>申诉机制评估：</w:t>
      </w:r>
      <w:r>
        <w:rPr>
          <w:rFonts w:ascii="Arial" w:hAnsi="Arial" w:cs="Arial"/>
          <w:sz w:val="22"/>
        </w:rPr>
        <w:t>通过对村委会和村民代表的访谈，整体而言，村级申诉机制程序已经比较成熟，绝大部分（村委会反映90％以上）申诉可以在社区层面得到有效解决，极少反映通过民事诉讼解决的。除在村委会得到及时解决及答复的申诉事项外，其他上报至乡镇、县级信访部门或县长热线/邮箱的申诉事项，均建立了清晰的接收、交办、调查、解决和答复程序。企业的员工申诉机制管理规范，能解决员工申诉问题。调查期间也发现部分企业并未建立对外部社区的联络机制，因此需</w:t>
      </w:r>
      <w:r>
        <w:rPr>
          <w:rFonts w:hint="eastAsia" w:ascii="Arial" w:hAnsi="Arial" w:cs="Arial"/>
          <w:sz w:val="22"/>
          <w:lang w:eastAsia="zh-CN"/>
        </w:rPr>
        <w:t>要在</w:t>
      </w:r>
      <w:r>
        <w:rPr>
          <w:rFonts w:ascii="Arial" w:hAnsi="Arial" w:cs="Arial"/>
          <w:sz w:val="22"/>
        </w:rPr>
        <w:t>企</w:t>
      </w:r>
      <w:r>
        <w:rPr>
          <w:rFonts w:hint="eastAsia" w:ascii="Arial" w:hAnsi="Arial" w:cs="Arial"/>
          <w:sz w:val="22"/>
          <w:lang w:eastAsia="zh-CN"/>
        </w:rPr>
        <w:t>业在</w:t>
      </w:r>
      <w:r>
        <w:rPr>
          <w:rFonts w:ascii="Arial" w:hAnsi="Arial" w:cs="Arial"/>
          <w:sz w:val="22"/>
        </w:rPr>
        <w:t>建设和运营期间建立申诉机制，对外应公布社区申诉电话和联络人。</w:t>
      </w:r>
    </w:p>
    <w:p w14:paraId="026F073B">
      <w:pPr>
        <w:pStyle w:val="48"/>
        <w:tabs>
          <w:tab w:val="left" w:pos="851"/>
        </w:tabs>
        <w:adjustRightInd w:val="0"/>
        <w:snapToGrid w:val="0"/>
        <w:spacing w:before="120" w:after="120"/>
        <w:ind w:firstLine="0" w:firstLineChars="0"/>
        <w:rPr>
          <w:rFonts w:ascii="Arial" w:hAnsi="Arial" w:cs="Arial"/>
          <w:sz w:val="22"/>
        </w:rPr>
      </w:pPr>
    </w:p>
    <w:bookmarkEnd w:id="580"/>
    <w:p w14:paraId="787519CD">
      <w:pPr>
        <w:rPr>
          <w:rFonts w:ascii="Arial" w:hAnsi="Arial" w:cs="Arial"/>
          <w:sz w:val="22"/>
        </w:rPr>
      </w:pPr>
      <w:r>
        <w:rPr>
          <w:rFonts w:ascii="Arial" w:hAnsi="Arial" w:cs="Arial"/>
          <w:sz w:val="22"/>
        </w:rPr>
        <w:br w:type="page"/>
      </w:r>
    </w:p>
    <w:p w14:paraId="3F6BD698">
      <w:pPr>
        <w:pStyle w:val="2"/>
        <w:numPr>
          <w:ilvl w:val="0"/>
          <w:numId w:val="4"/>
        </w:numPr>
        <w:adjustRightInd w:val="0"/>
        <w:snapToGrid w:val="0"/>
        <w:spacing w:before="120" w:after="120" w:line="240" w:lineRule="auto"/>
        <w:rPr>
          <w:rFonts w:ascii="Arial" w:hAnsi="Arial" w:cs="Arial"/>
          <w:color w:val="1F4E79" w:themeColor="accent5" w:themeShade="80"/>
          <w:sz w:val="28"/>
          <w:szCs w:val="28"/>
        </w:rPr>
      </w:pPr>
      <w:bookmarkStart w:id="591" w:name="_Toc78301197"/>
      <w:bookmarkStart w:id="592" w:name="_Toc79939271"/>
      <w:bookmarkStart w:id="593" w:name="_Hlk79165670"/>
      <w:bookmarkStart w:id="594" w:name="_Hlk77348573"/>
      <w:r>
        <w:rPr>
          <w:rFonts w:ascii="Arial" w:hAnsi="Arial" w:cs="Arial"/>
          <w:color w:val="1F4E79" w:themeColor="accent5" w:themeShade="80"/>
          <w:sz w:val="28"/>
          <w:szCs w:val="28"/>
        </w:rPr>
        <w:tab/>
      </w:r>
      <w:r>
        <w:rPr>
          <w:rFonts w:ascii="Arial" w:hAnsi="Arial" w:cs="Arial"/>
          <w:color w:val="1F4E79" w:themeColor="accent5" w:themeShade="80"/>
          <w:sz w:val="28"/>
          <w:szCs w:val="28"/>
        </w:rPr>
        <w:tab/>
      </w:r>
      <w:bookmarkStart w:id="595" w:name="_Toc119937324"/>
      <w:r>
        <w:rPr>
          <w:rFonts w:ascii="Arial" w:hAnsi="Arial" w:cs="Arial"/>
          <w:color w:val="1F4E79" w:themeColor="accent5" w:themeShade="80"/>
          <w:sz w:val="28"/>
          <w:szCs w:val="28"/>
        </w:rPr>
        <w:t>结论、建议与行动计划</w:t>
      </w:r>
      <w:bookmarkEnd w:id="591"/>
      <w:bookmarkEnd w:id="592"/>
      <w:bookmarkEnd w:id="595"/>
    </w:p>
    <w:p w14:paraId="27145F36">
      <w:pPr>
        <w:pStyle w:val="3"/>
        <w:tabs>
          <w:tab w:val="left" w:pos="567"/>
          <w:tab w:val="left" w:pos="851"/>
        </w:tabs>
        <w:rPr>
          <w:color w:val="1F4E79" w:themeColor="accent5" w:themeShade="80"/>
          <w:sz w:val="24"/>
        </w:rPr>
      </w:pPr>
      <w:bookmarkStart w:id="596" w:name="_Toc89425516"/>
      <w:bookmarkEnd w:id="596"/>
      <w:bookmarkStart w:id="597" w:name="_Toc88858439"/>
      <w:bookmarkEnd w:id="597"/>
      <w:bookmarkStart w:id="598" w:name="_Toc90169433"/>
      <w:bookmarkEnd w:id="598"/>
      <w:bookmarkStart w:id="599" w:name="_Toc88842049"/>
      <w:bookmarkEnd w:id="599"/>
      <w:bookmarkStart w:id="600" w:name="_Toc79939272"/>
      <w:bookmarkEnd w:id="600"/>
      <w:bookmarkStart w:id="601" w:name="_Toc88862120"/>
      <w:bookmarkEnd w:id="601"/>
      <w:bookmarkStart w:id="602" w:name="_Toc89155599"/>
      <w:bookmarkEnd w:id="602"/>
      <w:bookmarkStart w:id="603" w:name="_Toc89703135"/>
      <w:bookmarkEnd w:id="603"/>
      <w:bookmarkStart w:id="604" w:name="_Toc89016128"/>
      <w:bookmarkEnd w:id="604"/>
      <w:bookmarkStart w:id="605" w:name="_Toc88858844"/>
      <w:bookmarkEnd w:id="605"/>
      <w:bookmarkStart w:id="606" w:name="_Toc89421605"/>
      <w:bookmarkEnd w:id="606"/>
      <w:bookmarkStart w:id="607" w:name="_Toc89703065"/>
      <w:bookmarkEnd w:id="607"/>
      <w:bookmarkStart w:id="608" w:name="_Toc88858791"/>
      <w:bookmarkEnd w:id="608"/>
      <w:bookmarkStart w:id="609" w:name="_Toc88858593"/>
      <w:bookmarkEnd w:id="609"/>
      <w:bookmarkStart w:id="610" w:name="_Toc90169529"/>
      <w:bookmarkEnd w:id="610"/>
      <w:bookmarkStart w:id="611" w:name="_Toc89155524"/>
      <w:bookmarkEnd w:id="611"/>
      <w:bookmarkStart w:id="612" w:name="_Toc89241963"/>
      <w:bookmarkEnd w:id="612"/>
      <w:bookmarkStart w:id="613" w:name="_Toc88861998"/>
      <w:bookmarkEnd w:id="613"/>
      <w:bookmarkStart w:id="614" w:name="_Toc90176481"/>
      <w:bookmarkEnd w:id="614"/>
      <w:bookmarkStart w:id="615" w:name="_Toc90332317"/>
      <w:bookmarkEnd w:id="615"/>
      <w:bookmarkStart w:id="616" w:name="_Toc88860775"/>
      <w:bookmarkEnd w:id="616"/>
      <w:bookmarkStart w:id="617" w:name="_Toc90181123"/>
      <w:bookmarkEnd w:id="617"/>
      <w:bookmarkStart w:id="618" w:name="_Toc90855505"/>
      <w:bookmarkEnd w:id="618"/>
      <w:bookmarkStart w:id="619" w:name="_Toc90551189"/>
      <w:bookmarkEnd w:id="619"/>
      <w:bookmarkStart w:id="620" w:name="_Toc90173936"/>
      <w:bookmarkEnd w:id="620"/>
      <w:bookmarkStart w:id="621" w:name="_Toc90711530"/>
      <w:bookmarkEnd w:id="621"/>
      <w:bookmarkStart w:id="622" w:name="_Toc90180686"/>
      <w:bookmarkEnd w:id="622"/>
      <w:bookmarkStart w:id="623" w:name="_Toc90855572"/>
      <w:bookmarkEnd w:id="623"/>
      <w:bookmarkStart w:id="624" w:name="_Toc90334691"/>
      <w:bookmarkEnd w:id="624"/>
      <w:bookmarkStart w:id="625" w:name="_Toc90590586"/>
      <w:bookmarkEnd w:id="625"/>
      <w:bookmarkStart w:id="626" w:name="_Toc90216920"/>
      <w:bookmarkEnd w:id="626"/>
      <w:bookmarkStart w:id="627" w:name="_Toc88858680"/>
      <w:bookmarkEnd w:id="627"/>
      <w:bookmarkStart w:id="628" w:name="_Toc91572772"/>
      <w:bookmarkEnd w:id="628"/>
      <w:bookmarkStart w:id="629" w:name="_Toc90331907"/>
      <w:bookmarkEnd w:id="629"/>
      <w:bookmarkStart w:id="630" w:name="_Toc90174165"/>
      <w:bookmarkEnd w:id="630"/>
      <w:bookmarkStart w:id="631" w:name="_Toc90551069"/>
      <w:bookmarkEnd w:id="631"/>
      <w:bookmarkStart w:id="632" w:name="_Toc88861945"/>
      <w:bookmarkEnd w:id="632"/>
      <w:bookmarkStart w:id="633" w:name="_Toc90904824"/>
      <w:bookmarkEnd w:id="633"/>
      <w:bookmarkStart w:id="634" w:name="_Toc90590541"/>
      <w:bookmarkEnd w:id="634"/>
      <w:bookmarkStart w:id="635" w:name="_Toc79736584"/>
      <w:bookmarkEnd w:id="635"/>
      <w:bookmarkStart w:id="636" w:name="_Toc90332061"/>
      <w:bookmarkEnd w:id="636"/>
      <w:bookmarkStart w:id="637" w:name="_Toc90414839"/>
      <w:bookmarkEnd w:id="637"/>
      <w:bookmarkStart w:id="638" w:name="_Toc90310607"/>
      <w:bookmarkEnd w:id="638"/>
      <w:bookmarkStart w:id="639" w:name="_Toc93944842"/>
      <w:bookmarkEnd w:id="639"/>
      <w:bookmarkStart w:id="640" w:name="_Toc90174113"/>
      <w:bookmarkEnd w:id="640"/>
      <w:bookmarkStart w:id="641" w:name="_Toc88857496"/>
      <w:bookmarkEnd w:id="641"/>
      <w:bookmarkStart w:id="642" w:name="_Toc90173659"/>
      <w:bookmarkEnd w:id="642"/>
      <w:bookmarkStart w:id="643" w:name="_Toc90855790"/>
      <w:bookmarkEnd w:id="643"/>
      <w:bookmarkStart w:id="644" w:name="_Toc88859518"/>
      <w:bookmarkEnd w:id="644"/>
      <w:bookmarkStart w:id="645" w:name="_Toc91572704"/>
      <w:bookmarkEnd w:id="645"/>
      <w:bookmarkStart w:id="646" w:name="_Toc90550998"/>
      <w:bookmarkEnd w:id="646"/>
      <w:bookmarkStart w:id="647" w:name="_Toc90905810"/>
      <w:bookmarkEnd w:id="647"/>
      <w:bookmarkStart w:id="648" w:name="_Toc90840436"/>
      <w:bookmarkEnd w:id="648"/>
      <w:bookmarkStart w:id="649" w:name="_Toc91573183"/>
      <w:bookmarkEnd w:id="649"/>
      <w:bookmarkStart w:id="650" w:name="_Toc92267162"/>
      <w:bookmarkEnd w:id="650"/>
      <w:bookmarkStart w:id="651" w:name="_Toc92727011"/>
      <w:bookmarkEnd w:id="651"/>
      <w:bookmarkStart w:id="652" w:name="_Toc91572853"/>
      <w:bookmarkEnd w:id="652"/>
      <w:bookmarkStart w:id="653" w:name="_Toc91573051"/>
      <w:bookmarkEnd w:id="653"/>
      <w:bookmarkStart w:id="654" w:name="_Toc88858349"/>
      <w:bookmarkEnd w:id="654"/>
      <w:bookmarkStart w:id="655" w:name="_Toc88857575"/>
      <w:bookmarkEnd w:id="655"/>
      <w:bookmarkStart w:id="656" w:name="_Toc91572985"/>
      <w:bookmarkEnd w:id="656"/>
      <w:bookmarkStart w:id="657" w:name="_Toc92803994"/>
      <w:bookmarkEnd w:id="657"/>
      <w:bookmarkStart w:id="658" w:name="_Toc90856407"/>
      <w:bookmarkEnd w:id="658"/>
      <w:bookmarkStart w:id="659" w:name="_Toc91572919"/>
      <w:bookmarkEnd w:id="659"/>
      <w:bookmarkStart w:id="660" w:name="_Toc91190290"/>
      <w:bookmarkEnd w:id="660"/>
      <w:bookmarkStart w:id="661" w:name="_Toc79939273"/>
      <w:bookmarkStart w:id="662" w:name="_Toc119937325"/>
      <w:r>
        <w:rPr>
          <w:color w:val="1F4E79" w:themeColor="accent5" w:themeShade="80"/>
          <w:sz w:val="24"/>
        </w:rPr>
        <w:t>7.1</w:t>
      </w:r>
      <w:r>
        <w:rPr>
          <w:color w:val="1F4E79" w:themeColor="accent5" w:themeShade="80"/>
          <w:sz w:val="24"/>
        </w:rPr>
        <w:tab/>
      </w:r>
      <w:r>
        <w:rPr>
          <w:color w:val="1F4E79" w:themeColor="accent5" w:themeShade="80"/>
          <w:sz w:val="24"/>
        </w:rPr>
        <w:tab/>
      </w:r>
      <w:r>
        <w:rPr>
          <w:color w:val="1F4E79" w:themeColor="accent5" w:themeShade="80"/>
          <w:sz w:val="24"/>
        </w:rPr>
        <w:t>结论</w:t>
      </w:r>
      <w:bookmarkEnd w:id="661"/>
      <w:bookmarkEnd w:id="662"/>
    </w:p>
    <w:p w14:paraId="539553D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bookmarkStart w:id="663" w:name="_Toc79939274"/>
      <w:r>
        <w:rPr>
          <w:rFonts w:ascii="Arial" w:hAnsi="Arial" w:cs="Arial"/>
          <w:sz w:val="22"/>
        </w:rPr>
        <w:t>本项目旨在</w:t>
      </w:r>
      <w:r>
        <w:rPr>
          <w:rFonts w:ascii="Arial" w:hAnsi="Arial" w:cs="Arial"/>
          <w:bCs/>
          <w:sz w:val="22"/>
        </w:rPr>
        <w:t>促进项目省的绿色与可持续农业和农村发展</w:t>
      </w:r>
      <w:r>
        <w:rPr>
          <w:rFonts w:ascii="Arial" w:hAnsi="Arial" w:cs="Arial"/>
          <w:sz w:val="22"/>
        </w:rPr>
        <w:t>。虽然不可避免地对项目地环境及社区产生一些短暂的、较小规模的、可以减缓的不利影响，但总体上将极大地改善区域环境及社区居民福祉。评价中的环境与社会筛查已经排除了项目中可能有高风险环境与社会的活动</w:t>
      </w:r>
      <w:r>
        <w:rPr>
          <w:rFonts w:hint="eastAsia" w:ascii="Arial" w:hAnsi="Arial" w:cs="Arial"/>
          <w:sz w:val="22"/>
          <w:lang w:eastAsia="zh-CN"/>
        </w:rPr>
        <w:t>，在</w:t>
      </w:r>
      <w:r>
        <w:rPr>
          <w:rFonts w:ascii="Arial" w:hAnsi="Arial" w:cs="Arial"/>
          <w:sz w:val="22"/>
        </w:rPr>
        <w:t>现有的环境与社会管理系统有效实施的情形下，项目不会对环境与社会造成重大的负面影响，鉴于全省性的项目并且项目活动多是由地方政府组织实施，本项目的环境社会风险等级确定为较高。</w:t>
      </w:r>
    </w:p>
    <w:p w14:paraId="22BF166F">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项目环境与社会管理系统评价认为，中国湖北和湖南两省在相关领域已经建立了全面而有效的环境与社会管理系统来识别、评价、减缓、管理和监测相关活动的环境与社会影响及风险，包括：1</w:t>
      </w:r>
      <w:r>
        <w:rPr>
          <w:rFonts w:hint="eastAsia" w:ascii="Arial" w:hAnsi="Arial" w:cs="Arial"/>
          <w:sz w:val="22"/>
          <w:lang w:val="en-GB" w:eastAsia="zh-CN"/>
        </w:rPr>
        <w:t>）</w:t>
      </w:r>
      <w:r>
        <w:rPr>
          <w:rFonts w:ascii="Arial" w:hAnsi="Arial" w:cs="Arial"/>
          <w:sz w:val="22"/>
        </w:rPr>
        <w:t>完备的法规体系：在国家和地方层面都制定和发布了相应的法律法规、政策、标准和技术指南；2</w:t>
      </w:r>
      <w:r>
        <w:rPr>
          <w:rFonts w:hint="eastAsia" w:ascii="Arial" w:hAnsi="Arial" w:cs="Arial"/>
          <w:sz w:val="22"/>
          <w:lang w:eastAsia="zh-CN"/>
        </w:rPr>
        <w:t>）</w:t>
      </w:r>
      <w:r>
        <w:rPr>
          <w:rFonts w:ascii="Arial" w:hAnsi="Arial" w:cs="Arial"/>
          <w:sz w:val="22"/>
        </w:rPr>
        <w:t>清晰的实施机制：针对环境与社会风险及影响管理有明确的行政程序、机构安排和职能划分，各级岗位已配备专业人员和财务资源；3</w:t>
      </w:r>
      <w:r>
        <w:rPr>
          <w:rFonts w:hint="eastAsia" w:ascii="Arial" w:hAnsi="Arial" w:cs="Arial"/>
          <w:sz w:val="22"/>
          <w:lang w:eastAsia="zh-CN"/>
        </w:rPr>
        <w:t>）</w:t>
      </w:r>
      <w:r>
        <w:rPr>
          <w:rFonts w:ascii="Arial" w:hAnsi="Arial" w:cs="Arial"/>
          <w:sz w:val="22"/>
        </w:rPr>
        <w:t>良好的实施管理效果：多个样本县/市过往典型案例的随机考察表明环境与社会风险及影响管理措施能够得到有效落实且实施效果较好。本评价认为，项目适用的环境与社会管理系统总体上符合世行结果导向型贷款的政策要求。</w:t>
      </w:r>
      <w:r>
        <w:rPr>
          <w:rFonts w:hint="eastAsia" w:ascii="Arial" w:hAnsi="Arial" w:cs="Arial"/>
          <w:sz w:val="22"/>
        </w:rPr>
        <w:t>2025年7月对新纳入本项目的湖南新田县和湖北咸安区的补充评估确认这两个县区的环境和社会管理采用与其他项目县区相同的管理体系，现场考察表明环境与社会风险及影响管理措施能够得到有效落实且实施效果较好。</w:t>
      </w:r>
    </w:p>
    <w:p w14:paraId="17CC6F4D">
      <w:pPr>
        <w:pStyle w:val="48"/>
        <w:widowControl w:val="0"/>
        <w:numPr>
          <w:ilvl w:val="0"/>
          <w:numId w:val="5"/>
        </w:numPr>
        <w:tabs>
          <w:tab w:val="left" w:pos="851"/>
        </w:tabs>
        <w:adjustRightInd w:val="0"/>
        <w:snapToGrid w:val="0"/>
        <w:spacing w:before="120" w:after="120"/>
        <w:ind w:left="0" w:firstLine="0" w:firstLineChars="0"/>
        <w:jc w:val="both"/>
        <w:rPr>
          <w:rFonts w:ascii="Arial" w:hAnsi="Arial" w:cs="Arial"/>
          <w:sz w:val="22"/>
        </w:rPr>
      </w:pPr>
      <w:r>
        <w:rPr>
          <w:rFonts w:ascii="Arial" w:hAnsi="Arial" w:cs="Arial"/>
          <w:sz w:val="22"/>
        </w:rPr>
        <w:t>环境与社会系统评价结果也表明，环境与社会管理在以下方面存在提升空间：</w:t>
      </w:r>
    </w:p>
    <w:p w14:paraId="7D057FB3">
      <w:pPr>
        <w:pStyle w:val="48"/>
        <w:widowControl w:val="0"/>
        <w:numPr>
          <w:ilvl w:val="0"/>
          <w:numId w:val="33"/>
        </w:numPr>
        <w:adjustRightInd w:val="0"/>
        <w:snapToGrid w:val="0"/>
        <w:ind w:left="851" w:hanging="851" w:firstLineChars="0"/>
        <w:jc w:val="both"/>
        <w:rPr>
          <w:rFonts w:ascii="Arial" w:hAnsi="Arial" w:cs="Arial"/>
          <w:sz w:val="22"/>
        </w:rPr>
      </w:pPr>
      <w:r>
        <w:rPr>
          <w:rFonts w:ascii="Arial" w:hAnsi="Arial" w:cs="Arial"/>
          <w:sz w:val="22"/>
        </w:rPr>
        <w:t>一些</w:t>
      </w:r>
      <w:r>
        <w:rPr>
          <w:rFonts w:hint="eastAsia" w:ascii="Arial" w:hAnsi="Arial" w:cs="Arial"/>
          <w:sz w:val="22"/>
          <w:lang w:eastAsia="zh-CN"/>
        </w:rPr>
        <w:t>小型</w:t>
      </w:r>
      <w:r>
        <w:rPr>
          <w:rFonts w:ascii="Arial" w:hAnsi="Arial" w:cs="Arial"/>
          <w:sz w:val="22"/>
        </w:rPr>
        <w:t>企业对职业健康与</w:t>
      </w:r>
      <w:r>
        <w:rPr>
          <w:rFonts w:hint="eastAsia" w:ascii="Arial" w:hAnsi="Arial" w:cs="Arial"/>
          <w:sz w:val="22"/>
          <w:lang w:eastAsia="zh-CN"/>
        </w:rPr>
        <w:t>安全</w:t>
      </w:r>
      <w:r>
        <w:rPr>
          <w:rFonts w:ascii="Arial" w:hAnsi="Arial" w:cs="Arial"/>
          <w:sz w:val="22"/>
        </w:rPr>
        <w:t>管理方面的法规要求和认识水平有待提高，同时一些小型设施的员工职业健康管理监管有待加强。</w:t>
      </w:r>
    </w:p>
    <w:p w14:paraId="57010105">
      <w:pPr>
        <w:pStyle w:val="48"/>
        <w:widowControl w:val="0"/>
        <w:numPr>
          <w:ilvl w:val="0"/>
          <w:numId w:val="33"/>
        </w:numPr>
        <w:adjustRightInd w:val="0"/>
        <w:snapToGrid w:val="0"/>
        <w:ind w:left="851" w:hanging="851" w:firstLineChars="0"/>
        <w:jc w:val="both"/>
        <w:rPr>
          <w:rFonts w:ascii="Arial" w:hAnsi="Arial" w:cs="Arial"/>
          <w:sz w:val="22"/>
        </w:rPr>
      </w:pPr>
      <w:r>
        <w:rPr>
          <w:rFonts w:ascii="Arial" w:hAnsi="Arial" w:cs="Arial"/>
          <w:sz w:val="22"/>
        </w:rPr>
        <w:t>传统畜禽养殖场和部分生活垃圾转运站存在恶臭问题。</w:t>
      </w:r>
    </w:p>
    <w:p w14:paraId="4002E053">
      <w:pPr>
        <w:pStyle w:val="3"/>
        <w:tabs>
          <w:tab w:val="left" w:pos="567"/>
          <w:tab w:val="left" w:pos="851"/>
        </w:tabs>
        <w:rPr>
          <w:color w:val="1F4E79" w:themeColor="accent5" w:themeShade="80"/>
          <w:sz w:val="24"/>
        </w:rPr>
      </w:pPr>
      <w:bookmarkStart w:id="664" w:name="_Toc119937326"/>
      <w:r>
        <w:rPr>
          <w:color w:val="1F4E79" w:themeColor="accent5" w:themeShade="80"/>
          <w:sz w:val="24"/>
        </w:rPr>
        <w:t>7.2</w:t>
      </w:r>
      <w:r>
        <w:rPr>
          <w:color w:val="1F4E79" w:themeColor="accent5" w:themeShade="80"/>
          <w:sz w:val="24"/>
        </w:rPr>
        <w:tab/>
      </w:r>
      <w:r>
        <w:rPr>
          <w:color w:val="1F4E79" w:themeColor="accent5" w:themeShade="80"/>
          <w:sz w:val="24"/>
        </w:rPr>
        <w:tab/>
      </w:r>
      <w:r>
        <w:rPr>
          <w:color w:val="1F4E79" w:themeColor="accent5" w:themeShade="80"/>
          <w:sz w:val="24"/>
        </w:rPr>
        <w:t>建议</w:t>
      </w:r>
      <w:bookmarkEnd w:id="663"/>
      <w:bookmarkEnd w:id="664"/>
    </w:p>
    <w:p w14:paraId="4964A9D7">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napToGrid w:val="0"/>
          <w:sz w:val="22"/>
        </w:rPr>
        <w:t>针对以上</w:t>
      </w:r>
      <w:r>
        <w:rPr>
          <w:rFonts w:ascii="Arial" w:hAnsi="Arial" w:cs="Arial"/>
          <w:sz w:val="22"/>
        </w:rPr>
        <w:t>环境与社会问题</w:t>
      </w:r>
      <w:r>
        <w:rPr>
          <w:rFonts w:ascii="Arial" w:hAnsi="Arial" w:cs="Arial"/>
          <w:snapToGrid w:val="0"/>
          <w:sz w:val="22"/>
        </w:rPr>
        <w:t>，本报告</w:t>
      </w:r>
      <w:r>
        <w:rPr>
          <w:rFonts w:ascii="Arial" w:hAnsi="Arial" w:cs="Arial"/>
          <w:sz w:val="22"/>
        </w:rPr>
        <w:t>提出了以下改进建议：</w:t>
      </w:r>
    </w:p>
    <w:p w14:paraId="3553B786">
      <w:pPr>
        <w:pStyle w:val="48"/>
        <w:widowControl w:val="0"/>
        <w:numPr>
          <w:ilvl w:val="0"/>
          <w:numId w:val="34"/>
        </w:numPr>
        <w:adjustRightInd w:val="0"/>
        <w:snapToGrid w:val="0"/>
        <w:ind w:left="851" w:hanging="851" w:firstLineChars="0"/>
        <w:jc w:val="both"/>
        <w:rPr>
          <w:rFonts w:ascii="Arial" w:hAnsi="Arial" w:cs="Arial"/>
          <w:sz w:val="22"/>
        </w:rPr>
      </w:pPr>
      <w:bookmarkStart w:id="665" w:name="_Toc79939275"/>
      <w:r>
        <w:rPr>
          <w:rFonts w:ascii="Arial" w:hAnsi="Arial" w:cs="Arial"/>
          <w:b/>
          <w:bCs/>
          <w:sz w:val="22"/>
        </w:rPr>
        <w:t>建议1：</w:t>
      </w:r>
      <w:r>
        <w:rPr>
          <w:rFonts w:ascii="Arial" w:hAnsi="Arial" w:cs="Arial"/>
          <w:sz w:val="22"/>
        </w:rPr>
        <w:t>建议加强对畜禽养殖和粪污资源化利用企业、秸秆储存和加工企业、垃圾压缩转运设施、城镇污水处理设施等单位管理人员及其员工的职业健康管理培训和指导，同时加强对有关企业员工职业健康管理的监督。</w:t>
      </w:r>
    </w:p>
    <w:p w14:paraId="67B45D27">
      <w:pPr>
        <w:pStyle w:val="48"/>
        <w:widowControl w:val="0"/>
        <w:numPr>
          <w:ilvl w:val="0"/>
          <w:numId w:val="34"/>
        </w:numPr>
        <w:adjustRightInd w:val="0"/>
        <w:snapToGrid w:val="0"/>
        <w:ind w:left="851" w:hanging="851" w:firstLineChars="0"/>
        <w:jc w:val="both"/>
        <w:rPr>
          <w:rFonts w:ascii="Arial" w:hAnsi="Arial" w:cs="Arial"/>
          <w:sz w:val="22"/>
        </w:rPr>
      </w:pPr>
      <w:r>
        <w:rPr>
          <w:rFonts w:ascii="Arial" w:hAnsi="Arial" w:cs="Arial"/>
          <w:b/>
          <w:bCs/>
          <w:sz w:val="22"/>
        </w:rPr>
        <w:t>建议2：</w:t>
      </w:r>
      <w:r>
        <w:rPr>
          <w:rFonts w:ascii="Arial" w:hAnsi="Arial" w:cs="Arial"/>
          <w:sz w:val="22"/>
        </w:rPr>
        <w:t>建议采取措施加强畜禽粪污处理设施和生活垃圾中转站的臭气管理，减少恶臭影响。建议：</w:t>
      </w:r>
      <w:r>
        <w:rPr>
          <w:rFonts w:hint="eastAsia" w:ascii="Arial" w:hAnsi="Arial" w:cs="Arial"/>
          <w:sz w:val="22"/>
          <w:lang w:val="en-GB" w:eastAsia="zh-CN"/>
        </w:rPr>
        <w:t>（</w:t>
      </w:r>
      <w:r>
        <w:rPr>
          <w:rFonts w:ascii="Arial" w:hAnsi="Arial" w:cs="Arial"/>
          <w:sz w:val="22"/>
          <w:lang w:val="en-GB"/>
        </w:rPr>
        <w:t>1</w:t>
      </w:r>
      <w:r>
        <w:rPr>
          <w:rFonts w:hint="eastAsia" w:ascii="Arial" w:hAnsi="Arial" w:cs="Arial"/>
          <w:sz w:val="22"/>
          <w:lang w:val="en-GB" w:eastAsia="zh-CN"/>
        </w:rPr>
        <w:t>）</w:t>
      </w:r>
      <w:r>
        <w:rPr>
          <w:rFonts w:ascii="Arial" w:hAnsi="Arial" w:cs="Arial"/>
          <w:sz w:val="22"/>
          <w:lang w:val="en-GB"/>
        </w:rPr>
        <w:t xml:space="preserve"> 相关政府部门尤其是</w:t>
      </w:r>
      <w:r>
        <w:rPr>
          <w:rFonts w:ascii="Arial" w:hAnsi="Arial" w:cs="Arial"/>
          <w:sz w:val="22"/>
        </w:rPr>
        <w:t>农业农村、住建/城管等部门在畜禽粪污处理设施和生活垃圾中转站的新建或改造中保障臭气处理设施/措施的设计与实施；</w:t>
      </w:r>
      <w:r>
        <w:rPr>
          <w:rFonts w:hint="eastAsia" w:ascii="Arial" w:hAnsi="Arial" w:cs="Arial"/>
          <w:sz w:val="22"/>
          <w:lang w:val="en-GB" w:eastAsia="zh-CN"/>
        </w:rPr>
        <w:t>（</w:t>
      </w:r>
      <w:r>
        <w:rPr>
          <w:rFonts w:ascii="Arial" w:hAnsi="Arial" w:cs="Arial"/>
          <w:sz w:val="22"/>
          <w:lang w:val="en-GB"/>
        </w:rPr>
        <w:t>2</w:t>
      </w:r>
      <w:r>
        <w:rPr>
          <w:rFonts w:hint="eastAsia" w:ascii="Arial" w:hAnsi="Arial" w:cs="Arial"/>
          <w:sz w:val="22"/>
          <w:lang w:val="en-GB" w:eastAsia="zh-CN"/>
        </w:rPr>
        <w:t>）</w:t>
      </w:r>
      <w:r>
        <w:rPr>
          <w:rFonts w:ascii="Arial" w:hAnsi="Arial" w:cs="Arial"/>
          <w:sz w:val="22"/>
          <w:lang w:val="en-GB"/>
        </w:rPr>
        <w:t xml:space="preserve"> 相关政府部门尤其是</w:t>
      </w:r>
      <w:r>
        <w:rPr>
          <w:rFonts w:ascii="Arial" w:hAnsi="Arial" w:cs="Arial"/>
          <w:sz w:val="22"/>
        </w:rPr>
        <w:t>农业农村、住建/城管等部门加强技术指导与培训；</w:t>
      </w:r>
      <w:r>
        <w:rPr>
          <w:rFonts w:hint="eastAsia" w:ascii="Arial" w:hAnsi="Arial" w:cs="Arial"/>
          <w:sz w:val="22"/>
          <w:lang w:eastAsia="zh-CN"/>
        </w:rPr>
        <w:t>（</w:t>
      </w:r>
      <w:r>
        <w:rPr>
          <w:rFonts w:ascii="Arial" w:hAnsi="Arial" w:cs="Arial"/>
          <w:sz w:val="22"/>
        </w:rPr>
        <w:t>3</w:t>
      </w:r>
      <w:r>
        <w:rPr>
          <w:rFonts w:hint="eastAsia" w:ascii="Arial" w:hAnsi="Arial" w:cs="Arial"/>
          <w:sz w:val="22"/>
          <w:lang w:eastAsia="zh-CN"/>
        </w:rPr>
        <w:t>）</w:t>
      </w:r>
      <w:r>
        <w:rPr>
          <w:rFonts w:ascii="Arial" w:hAnsi="Arial" w:cs="Arial"/>
          <w:sz w:val="22"/>
        </w:rPr>
        <w:t xml:space="preserve"> </w:t>
      </w:r>
      <w:r>
        <w:rPr>
          <w:rFonts w:ascii="Arial" w:hAnsi="Arial" w:cs="Arial"/>
          <w:sz w:val="22"/>
          <w:lang w:val="en-GB"/>
        </w:rPr>
        <w:t>相关政府部门</w:t>
      </w:r>
      <w:r>
        <w:rPr>
          <w:rFonts w:hint="eastAsia" w:ascii="Arial" w:hAnsi="Arial" w:cs="Arial"/>
          <w:sz w:val="22"/>
          <w:lang w:val="en-GB" w:eastAsia="zh-CN"/>
        </w:rPr>
        <w:t>和</w:t>
      </w:r>
      <w:r>
        <w:rPr>
          <w:rFonts w:ascii="Arial" w:hAnsi="Arial" w:cs="Arial"/>
          <w:sz w:val="22"/>
        </w:rPr>
        <w:t>生态环境部门加强臭气监测与监管。</w:t>
      </w:r>
    </w:p>
    <w:p w14:paraId="343B5757">
      <w:pPr>
        <w:pStyle w:val="3"/>
        <w:tabs>
          <w:tab w:val="left" w:pos="567"/>
          <w:tab w:val="left" w:pos="851"/>
        </w:tabs>
        <w:rPr>
          <w:color w:val="1F4E79" w:themeColor="accent5" w:themeShade="80"/>
          <w:sz w:val="24"/>
        </w:rPr>
      </w:pPr>
      <w:bookmarkStart w:id="666" w:name="_Toc119937327"/>
      <w:r>
        <w:rPr>
          <w:color w:val="1F4E79" w:themeColor="accent5" w:themeShade="80"/>
          <w:sz w:val="24"/>
        </w:rPr>
        <w:t>7.3</w:t>
      </w:r>
      <w:r>
        <w:rPr>
          <w:color w:val="1F4E79" w:themeColor="accent5" w:themeShade="80"/>
          <w:sz w:val="24"/>
        </w:rPr>
        <w:tab/>
      </w:r>
      <w:r>
        <w:rPr>
          <w:color w:val="1F4E79" w:themeColor="accent5" w:themeShade="80"/>
          <w:sz w:val="24"/>
        </w:rPr>
        <w:tab/>
      </w:r>
      <w:r>
        <w:rPr>
          <w:color w:val="1F4E79" w:themeColor="accent5" w:themeShade="80"/>
          <w:sz w:val="24"/>
        </w:rPr>
        <w:t>行动计划</w:t>
      </w:r>
      <w:bookmarkEnd w:id="665"/>
      <w:bookmarkEnd w:id="666"/>
    </w:p>
    <w:p w14:paraId="639281BD">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为有效实施上述建议，应将下述行动纳入本项目行动计划并在项目实施期间加以落实：</w:t>
      </w:r>
    </w:p>
    <w:p w14:paraId="06882766">
      <w:pPr>
        <w:pStyle w:val="11"/>
        <w:jc w:val="center"/>
        <w:rPr>
          <w:rFonts w:ascii="Arial" w:hAnsi="Arial" w:eastAsia="宋体" w:cs="Arial"/>
          <w:b/>
          <w:bCs/>
          <w:color w:val="1F4E79" w:themeColor="accent5" w:themeShade="80"/>
        </w:rPr>
      </w:pPr>
      <w:r>
        <w:rPr>
          <w:rFonts w:ascii="Arial" w:hAnsi="Arial" w:eastAsia="宋体" w:cs="Arial"/>
          <w:b/>
          <w:bCs/>
          <w:color w:val="1F4E79" w:themeColor="accent5" w:themeShade="80"/>
        </w:rPr>
        <w:t>表 7</w:t>
      </w:r>
      <w:r>
        <w:rPr>
          <w:rFonts w:hint="eastAsia" w:ascii="Arial" w:hAnsi="Arial" w:eastAsia="宋体" w:cs="Arial"/>
          <w:b/>
          <w:bCs/>
          <w:color w:val="1F4E79" w:themeColor="accent5" w:themeShade="80"/>
          <w:lang w:eastAsia="zh-CN"/>
        </w:rPr>
        <w:t>—</w:t>
      </w:r>
      <w:r>
        <w:rPr>
          <w:rFonts w:ascii="Arial" w:hAnsi="Arial" w:eastAsia="宋体" w:cs="Arial"/>
          <w:b/>
          <w:bCs/>
          <w:color w:val="1F4E79" w:themeColor="accent5" w:themeShade="80"/>
        </w:rPr>
        <w:fldChar w:fldCharType="begin"/>
      </w:r>
      <w:r>
        <w:rPr>
          <w:rFonts w:ascii="Arial" w:hAnsi="Arial" w:eastAsia="宋体" w:cs="Arial"/>
          <w:b/>
          <w:bCs/>
          <w:color w:val="1F4E79" w:themeColor="accent5" w:themeShade="80"/>
        </w:rPr>
        <w:instrText xml:space="preserve"> SEQ 表 \* ARABIC \s 1 </w:instrText>
      </w:r>
      <w:r>
        <w:rPr>
          <w:rFonts w:ascii="Arial" w:hAnsi="Arial" w:eastAsia="宋体" w:cs="Arial"/>
          <w:b/>
          <w:bCs/>
          <w:color w:val="1F4E79" w:themeColor="accent5" w:themeShade="80"/>
        </w:rPr>
        <w:fldChar w:fldCharType="separate"/>
      </w:r>
      <w:r>
        <w:rPr>
          <w:rFonts w:ascii="Arial" w:hAnsi="Arial" w:eastAsia="宋体" w:cs="Arial"/>
          <w:b/>
          <w:bCs/>
          <w:color w:val="1F4E79" w:themeColor="accent5" w:themeShade="80"/>
        </w:rPr>
        <w:t>1</w:t>
      </w:r>
      <w:r>
        <w:rPr>
          <w:rFonts w:ascii="Arial" w:hAnsi="Arial" w:eastAsia="宋体" w:cs="Arial"/>
          <w:b/>
          <w:bCs/>
          <w:color w:val="1F4E79" w:themeColor="accent5" w:themeShade="80"/>
        </w:rPr>
        <w:fldChar w:fldCharType="end"/>
      </w:r>
      <w:r>
        <w:rPr>
          <w:rFonts w:ascii="Arial" w:hAnsi="Arial" w:eastAsia="宋体" w:cs="Arial"/>
          <w:b/>
          <w:bCs/>
          <w:color w:val="1F4E79" w:themeColor="accent5" w:themeShade="80"/>
        </w:rPr>
        <w:t xml:space="preserve"> ：环境与社会行动计划</w:t>
      </w:r>
    </w:p>
    <w:tbl>
      <w:tblPr>
        <w:tblStyle w:val="40"/>
        <w:tblW w:w="1012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57" w:type="dxa"/>
          <w:bottom w:w="0" w:type="dxa"/>
          <w:right w:w="57" w:type="dxa"/>
        </w:tblCellMar>
      </w:tblPr>
      <w:tblGrid>
        <w:gridCol w:w="567"/>
        <w:gridCol w:w="491"/>
        <w:gridCol w:w="1919"/>
        <w:gridCol w:w="1985"/>
        <w:gridCol w:w="992"/>
        <w:gridCol w:w="4168"/>
      </w:tblGrid>
      <w:tr w14:paraId="1BAB737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57" w:type="dxa"/>
            <w:bottom w:w="0" w:type="dxa"/>
            <w:right w:w="57" w:type="dxa"/>
          </w:tblCellMar>
        </w:tblPrEx>
        <w:trPr>
          <w:tblHeader/>
        </w:trPr>
        <w:tc>
          <w:tcPr>
            <w:tcW w:w="1058" w:type="dxa"/>
            <w:gridSpan w:val="2"/>
            <w:shd w:val="clear" w:color="auto" w:fill="auto"/>
          </w:tcPr>
          <w:p w14:paraId="305C3192">
            <w:pPr>
              <w:pStyle w:val="48"/>
              <w:widowControl w:val="0"/>
              <w:adjustRightInd w:val="0"/>
              <w:snapToGrid w:val="0"/>
              <w:ind w:firstLine="0" w:firstLineChars="0"/>
              <w:rPr>
                <w:rFonts w:ascii="Arial" w:hAnsi="Arial" w:cs="Arial"/>
                <w:b/>
                <w:bCs/>
                <w:sz w:val="20"/>
                <w:szCs w:val="20"/>
              </w:rPr>
            </w:pPr>
            <w:r>
              <w:rPr>
                <w:rFonts w:ascii="Arial" w:hAnsi="Arial" w:cs="Arial"/>
                <w:b/>
                <w:bCs/>
                <w:sz w:val="20"/>
                <w:szCs w:val="20"/>
              </w:rPr>
              <w:t>序号</w:t>
            </w:r>
          </w:p>
        </w:tc>
        <w:tc>
          <w:tcPr>
            <w:tcW w:w="1919" w:type="dxa"/>
            <w:shd w:val="clear" w:color="auto" w:fill="auto"/>
          </w:tcPr>
          <w:p w14:paraId="5BE68CBF">
            <w:pPr>
              <w:pStyle w:val="48"/>
              <w:widowControl w:val="0"/>
              <w:adjustRightInd w:val="0"/>
              <w:snapToGrid w:val="0"/>
              <w:ind w:firstLine="0" w:firstLineChars="0"/>
              <w:jc w:val="center"/>
              <w:rPr>
                <w:rFonts w:ascii="Arial" w:hAnsi="Arial" w:cs="Arial"/>
                <w:b/>
                <w:bCs/>
                <w:sz w:val="20"/>
                <w:szCs w:val="20"/>
              </w:rPr>
            </w:pPr>
            <w:r>
              <w:rPr>
                <w:rFonts w:ascii="Arial" w:hAnsi="Arial" w:cs="Arial"/>
                <w:b/>
                <w:bCs/>
                <w:sz w:val="20"/>
                <w:szCs w:val="20"/>
              </w:rPr>
              <w:t>行动描述</w:t>
            </w:r>
          </w:p>
        </w:tc>
        <w:tc>
          <w:tcPr>
            <w:tcW w:w="1985" w:type="dxa"/>
            <w:shd w:val="clear" w:color="auto" w:fill="auto"/>
          </w:tcPr>
          <w:p w14:paraId="36B26C01">
            <w:pPr>
              <w:pStyle w:val="48"/>
              <w:widowControl w:val="0"/>
              <w:adjustRightInd w:val="0"/>
              <w:snapToGrid w:val="0"/>
              <w:ind w:firstLine="0" w:firstLineChars="0"/>
              <w:jc w:val="center"/>
              <w:rPr>
                <w:rFonts w:ascii="Arial" w:hAnsi="Arial" w:cs="Arial"/>
                <w:b/>
                <w:bCs/>
                <w:sz w:val="20"/>
                <w:szCs w:val="20"/>
              </w:rPr>
            </w:pPr>
            <w:r>
              <w:rPr>
                <w:rFonts w:ascii="Arial" w:hAnsi="Arial" w:cs="Arial"/>
                <w:b/>
                <w:bCs/>
                <w:sz w:val="20"/>
                <w:szCs w:val="20"/>
              </w:rPr>
              <w:t>责任部门</w:t>
            </w:r>
          </w:p>
        </w:tc>
        <w:tc>
          <w:tcPr>
            <w:tcW w:w="992" w:type="dxa"/>
            <w:shd w:val="clear" w:color="auto" w:fill="auto"/>
          </w:tcPr>
          <w:p w14:paraId="75E63C6D">
            <w:pPr>
              <w:pStyle w:val="48"/>
              <w:widowControl w:val="0"/>
              <w:adjustRightInd w:val="0"/>
              <w:snapToGrid w:val="0"/>
              <w:ind w:firstLine="0" w:firstLineChars="0"/>
              <w:jc w:val="center"/>
              <w:rPr>
                <w:rFonts w:ascii="Arial" w:hAnsi="Arial" w:cs="Arial"/>
                <w:b/>
                <w:bCs/>
                <w:sz w:val="20"/>
                <w:szCs w:val="20"/>
              </w:rPr>
            </w:pPr>
            <w:r>
              <w:rPr>
                <w:rFonts w:ascii="Arial" w:hAnsi="Arial" w:cs="Arial"/>
                <w:b/>
                <w:bCs/>
                <w:sz w:val="20"/>
                <w:szCs w:val="20"/>
              </w:rPr>
              <w:t>时间安排</w:t>
            </w:r>
          </w:p>
        </w:tc>
        <w:tc>
          <w:tcPr>
            <w:tcW w:w="4168" w:type="dxa"/>
            <w:shd w:val="clear" w:color="auto" w:fill="auto"/>
          </w:tcPr>
          <w:p w14:paraId="1CA9082D">
            <w:pPr>
              <w:pStyle w:val="48"/>
              <w:widowControl w:val="0"/>
              <w:adjustRightInd w:val="0"/>
              <w:snapToGrid w:val="0"/>
              <w:ind w:firstLine="0" w:firstLineChars="0"/>
              <w:jc w:val="center"/>
              <w:rPr>
                <w:rFonts w:ascii="Arial" w:hAnsi="Arial" w:cs="Arial"/>
                <w:b/>
                <w:bCs/>
                <w:sz w:val="20"/>
                <w:szCs w:val="20"/>
              </w:rPr>
            </w:pPr>
            <w:r>
              <w:rPr>
                <w:rFonts w:ascii="Arial" w:hAnsi="Arial" w:cs="Arial"/>
                <w:b/>
                <w:bCs/>
                <w:sz w:val="20"/>
                <w:szCs w:val="20"/>
              </w:rPr>
              <w:t>完成标志</w:t>
            </w:r>
          </w:p>
        </w:tc>
      </w:tr>
      <w:tr w14:paraId="4DA0BE2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57" w:type="dxa"/>
            <w:bottom w:w="0" w:type="dxa"/>
            <w:right w:w="57" w:type="dxa"/>
          </w:tblCellMar>
        </w:tblPrEx>
        <w:tc>
          <w:tcPr>
            <w:tcW w:w="567" w:type="dxa"/>
            <w:shd w:val="clear" w:color="auto" w:fill="auto"/>
          </w:tcPr>
          <w:p w14:paraId="7B27AC6A">
            <w:pPr>
              <w:pStyle w:val="48"/>
              <w:widowControl w:val="0"/>
              <w:adjustRightInd w:val="0"/>
              <w:snapToGrid w:val="0"/>
              <w:ind w:firstLine="0" w:firstLineChars="0"/>
              <w:rPr>
                <w:rFonts w:ascii="Arial" w:hAnsi="Arial" w:cs="Arial"/>
                <w:sz w:val="20"/>
                <w:szCs w:val="20"/>
              </w:rPr>
            </w:pPr>
            <w:r>
              <w:rPr>
                <w:rFonts w:ascii="Arial" w:hAnsi="Arial" w:cs="Arial"/>
                <w:sz w:val="20"/>
                <w:szCs w:val="20"/>
              </w:rPr>
              <w:t>1</w:t>
            </w:r>
          </w:p>
        </w:tc>
        <w:tc>
          <w:tcPr>
            <w:tcW w:w="2410" w:type="dxa"/>
            <w:gridSpan w:val="2"/>
            <w:shd w:val="clear" w:color="auto" w:fill="auto"/>
          </w:tcPr>
          <w:p w14:paraId="3C0E48FB">
            <w:pPr>
              <w:pStyle w:val="48"/>
              <w:widowControl w:val="0"/>
              <w:adjustRightInd w:val="0"/>
              <w:snapToGrid w:val="0"/>
              <w:ind w:firstLine="0" w:firstLineChars="0"/>
              <w:rPr>
                <w:rFonts w:ascii="Arial" w:hAnsi="Arial" w:cs="Arial"/>
                <w:sz w:val="20"/>
                <w:szCs w:val="20"/>
              </w:rPr>
            </w:pPr>
            <w:r>
              <w:rPr>
                <w:rFonts w:ascii="Arial" w:hAnsi="Arial" w:cs="Arial"/>
                <w:sz w:val="20"/>
                <w:szCs w:val="20"/>
              </w:rPr>
              <w:t>对畜禽养殖和粪污资源化利用企业、秸秆储存和加工企业、垃圾压缩转运设施、城镇污水处理设施等单位管理人员及其员工，开展职业健康培训和指导，同时加强对有关企业员工职业健康管理的监督</w:t>
            </w:r>
          </w:p>
        </w:tc>
        <w:tc>
          <w:tcPr>
            <w:tcW w:w="1985" w:type="dxa"/>
            <w:shd w:val="clear" w:color="auto" w:fill="auto"/>
          </w:tcPr>
          <w:p w14:paraId="0B12A35F">
            <w:pPr>
              <w:pStyle w:val="48"/>
              <w:widowControl w:val="0"/>
              <w:adjustRightInd w:val="0"/>
              <w:snapToGrid w:val="0"/>
              <w:ind w:firstLine="0" w:firstLineChars="0"/>
              <w:rPr>
                <w:rFonts w:ascii="Arial" w:hAnsi="Arial" w:cs="Arial"/>
                <w:sz w:val="20"/>
                <w:szCs w:val="20"/>
              </w:rPr>
            </w:pPr>
            <w:r>
              <w:rPr>
                <w:rFonts w:ascii="Arial" w:hAnsi="Arial" w:cs="Arial"/>
                <w:sz w:val="20"/>
                <w:szCs w:val="20"/>
              </w:rPr>
              <w:t>省项目办、省卫健委、各项目县卫健局、相关设施企业</w:t>
            </w:r>
          </w:p>
        </w:tc>
        <w:tc>
          <w:tcPr>
            <w:tcW w:w="992" w:type="dxa"/>
            <w:shd w:val="clear" w:color="auto" w:fill="auto"/>
          </w:tcPr>
          <w:p w14:paraId="65123359">
            <w:pPr>
              <w:pStyle w:val="48"/>
              <w:widowControl w:val="0"/>
              <w:adjustRightInd w:val="0"/>
              <w:snapToGrid w:val="0"/>
              <w:ind w:firstLine="0" w:firstLineChars="0"/>
              <w:rPr>
                <w:rFonts w:ascii="Arial" w:hAnsi="Arial" w:cs="Arial"/>
                <w:sz w:val="20"/>
                <w:szCs w:val="20"/>
              </w:rPr>
            </w:pPr>
            <w:r>
              <w:rPr>
                <w:rFonts w:ascii="Arial" w:hAnsi="Arial" w:cs="Arial"/>
                <w:sz w:val="20"/>
                <w:szCs w:val="20"/>
              </w:rPr>
              <w:t>项目建设阶段</w:t>
            </w:r>
          </w:p>
          <w:p w14:paraId="0648D43F">
            <w:pPr>
              <w:pStyle w:val="48"/>
              <w:widowControl w:val="0"/>
              <w:adjustRightInd w:val="0"/>
              <w:snapToGrid w:val="0"/>
              <w:ind w:firstLine="0" w:firstLineChars="0"/>
              <w:rPr>
                <w:rFonts w:ascii="Arial" w:hAnsi="Arial" w:cs="Arial"/>
                <w:sz w:val="20"/>
                <w:szCs w:val="20"/>
              </w:rPr>
            </w:pPr>
            <w:r>
              <w:rPr>
                <w:rFonts w:ascii="Arial" w:hAnsi="Arial" w:cs="Arial"/>
                <w:sz w:val="20"/>
                <w:szCs w:val="20"/>
              </w:rPr>
              <w:t>项目运行阶段持续</w:t>
            </w:r>
          </w:p>
        </w:tc>
        <w:tc>
          <w:tcPr>
            <w:tcW w:w="4168" w:type="dxa"/>
            <w:shd w:val="clear" w:color="auto" w:fill="auto"/>
          </w:tcPr>
          <w:p w14:paraId="3303327B">
            <w:pPr>
              <w:widowControl w:val="0"/>
              <w:adjustRightInd w:val="0"/>
              <w:snapToGrid w:val="0"/>
              <w:rPr>
                <w:rFonts w:ascii="Arial" w:hAnsi="Arial" w:cs="Arial"/>
                <w:sz w:val="20"/>
                <w:szCs w:val="20"/>
              </w:rPr>
            </w:pPr>
            <w:r>
              <w:rPr>
                <w:rFonts w:ascii="Arial" w:hAnsi="Arial" w:cs="Arial"/>
                <w:sz w:val="20"/>
                <w:szCs w:val="20"/>
              </w:rPr>
              <w:t>省级和县级职业健康管理培训计划及执行情况的记录和监测报告中的相关汇报章节，含时间、地点、培训单位登记表、会场照片等；</w:t>
            </w:r>
          </w:p>
          <w:p w14:paraId="1CB45800">
            <w:pPr>
              <w:widowControl w:val="0"/>
              <w:adjustRightInd w:val="0"/>
              <w:snapToGrid w:val="0"/>
              <w:rPr>
                <w:rFonts w:ascii="Arial" w:hAnsi="Arial" w:cs="Arial"/>
                <w:sz w:val="20"/>
                <w:szCs w:val="20"/>
              </w:rPr>
            </w:pPr>
            <w:r>
              <w:rPr>
                <w:rFonts w:ascii="Arial" w:hAnsi="Arial" w:cs="Arial"/>
                <w:sz w:val="20"/>
                <w:szCs w:val="20"/>
              </w:rPr>
              <w:t>县级卫健部门对所述设施或企业的员工职业健康培训计划和执行情况监测，纳入监测报告相应章节。</w:t>
            </w:r>
          </w:p>
        </w:tc>
      </w:tr>
      <w:tr w14:paraId="58C4C08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57" w:type="dxa"/>
            <w:bottom w:w="0" w:type="dxa"/>
            <w:right w:w="57" w:type="dxa"/>
          </w:tblCellMar>
        </w:tblPrEx>
        <w:tc>
          <w:tcPr>
            <w:tcW w:w="567" w:type="dxa"/>
            <w:shd w:val="clear" w:color="auto" w:fill="auto"/>
          </w:tcPr>
          <w:p w14:paraId="2AAAF8CB">
            <w:pPr>
              <w:pStyle w:val="48"/>
              <w:widowControl w:val="0"/>
              <w:adjustRightInd w:val="0"/>
              <w:snapToGrid w:val="0"/>
              <w:ind w:firstLine="0" w:firstLineChars="0"/>
              <w:rPr>
                <w:rFonts w:ascii="Arial" w:hAnsi="Arial" w:cs="Arial"/>
                <w:sz w:val="20"/>
                <w:szCs w:val="20"/>
              </w:rPr>
            </w:pPr>
            <w:r>
              <w:rPr>
                <w:rFonts w:ascii="Arial" w:hAnsi="Arial" w:cs="Arial"/>
                <w:sz w:val="20"/>
                <w:szCs w:val="20"/>
              </w:rPr>
              <w:t>2</w:t>
            </w:r>
          </w:p>
        </w:tc>
        <w:tc>
          <w:tcPr>
            <w:tcW w:w="2410" w:type="dxa"/>
            <w:gridSpan w:val="2"/>
            <w:shd w:val="clear" w:color="auto" w:fill="auto"/>
          </w:tcPr>
          <w:p w14:paraId="7C17406F">
            <w:pPr>
              <w:pStyle w:val="48"/>
              <w:widowControl w:val="0"/>
              <w:adjustRightInd w:val="0"/>
              <w:snapToGrid w:val="0"/>
              <w:ind w:firstLine="0" w:firstLineChars="0"/>
              <w:rPr>
                <w:rFonts w:ascii="Arial" w:hAnsi="Arial" w:cs="Arial"/>
                <w:sz w:val="20"/>
                <w:szCs w:val="21"/>
              </w:rPr>
            </w:pPr>
            <w:r>
              <w:rPr>
                <w:rFonts w:ascii="Arial" w:hAnsi="Arial" w:cs="Arial"/>
                <w:sz w:val="20"/>
                <w:szCs w:val="21"/>
              </w:rPr>
              <w:t>在畜禽粪污处理设施和生活垃圾转运站新建或改造中保障臭气处理与监测设施/措施的设计与实施，加强技术指导与培训，加强监测与监管</w:t>
            </w:r>
          </w:p>
        </w:tc>
        <w:tc>
          <w:tcPr>
            <w:tcW w:w="1985" w:type="dxa"/>
            <w:shd w:val="clear" w:color="auto" w:fill="auto"/>
          </w:tcPr>
          <w:p w14:paraId="1B8A5B89">
            <w:pPr>
              <w:pStyle w:val="48"/>
              <w:widowControl w:val="0"/>
              <w:adjustRightInd w:val="0"/>
              <w:snapToGrid w:val="0"/>
              <w:ind w:firstLine="0" w:firstLineChars="0"/>
              <w:rPr>
                <w:rFonts w:ascii="Arial" w:hAnsi="Arial" w:cs="Arial"/>
                <w:sz w:val="20"/>
                <w:szCs w:val="21"/>
              </w:rPr>
            </w:pPr>
            <w:r>
              <w:rPr>
                <w:rFonts w:ascii="Arial" w:hAnsi="Arial" w:cs="Arial"/>
                <w:sz w:val="20"/>
                <w:szCs w:val="21"/>
              </w:rPr>
              <w:t>省项目办；</w:t>
            </w:r>
          </w:p>
          <w:p w14:paraId="30A66473">
            <w:pPr>
              <w:pStyle w:val="48"/>
              <w:widowControl w:val="0"/>
              <w:adjustRightInd w:val="0"/>
              <w:snapToGrid w:val="0"/>
              <w:ind w:firstLine="0" w:firstLineChars="0"/>
              <w:rPr>
                <w:rFonts w:ascii="Arial" w:hAnsi="Arial" w:cs="Arial"/>
                <w:sz w:val="20"/>
                <w:szCs w:val="21"/>
              </w:rPr>
            </w:pPr>
            <w:r>
              <w:rPr>
                <w:rFonts w:ascii="Arial" w:hAnsi="Arial" w:cs="Arial"/>
                <w:sz w:val="20"/>
                <w:szCs w:val="21"/>
              </w:rPr>
              <w:t>省农业农村厅、项目县/市农业农村局；</w:t>
            </w:r>
          </w:p>
          <w:p w14:paraId="230FE779">
            <w:pPr>
              <w:pStyle w:val="48"/>
              <w:widowControl w:val="0"/>
              <w:adjustRightInd w:val="0"/>
              <w:snapToGrid w:val="0"/>
              <w:ind w:firstLine="0" w:firstLineChars="0"/>
              <w:rPr>
                <w:rFonts w:ascii="Arial" w:hAnsi="Arial" w:cs="Arial"/>
                <w:sz w:val="20"/>
                <w:szCs w:val="21"/>
              </w:rPr>
            </w:pPr>
            <w:r>
              <w:rPr>
                <w:rFonts w:ascii="Arial" w:hAnsi="Arial" w:cs="Arial"/>
                <w:sz w:val="20"/>
                <w:szCs w:val="21"/>
              </w:rPr>
              <w:t>省住建厅、项目县/市住建/城管/环卫局；</w:t>
            </w:r>
          </w:p>
          <w:p w14:paraId="342FDE41">
            <w:pPr>
              <w:pStyle w:val="48"/>
              <w:widowControl w:val="0"/>
              <w:adjustRightInd w:val="0"/>
              <w:snapToGrid w:val="0"/>
              <w:ind w:firstLine="0" w:firstLineChars="0"/>
              <w:rPr>
                <w:rFonts w:ascii="Arial" w:hAnsi="Arial" w:cs="Arial"/>
                <w:sz w:val="20"/>
                <w:szCs w:val="21"/>
              </w:rPr>
            </w:pPr>
            <w:r>
              <w:rPr>
                <w:rFonts w:ascii="Arial" w:hAnsi="Arial" w:cs="Arial"/>
                <w:sz w:val="20"/>
                <w:szCs w:val="21"/>
              </w:rPr>
              <w:t>省生态环境厅、项目县/市生态环境局等</w:t>
            </w:r>
          </w:p>
        </w:tc>
        <w:tc>
          <w:tcPr>
            <w:tcW w:w="992" w:type="dxa"/>
            <w:shd w:val="clear" w:color="auto" w:fill="auto"/>
          </w:tcPr>
          <w:p w14:paraId="2B6E4087">
            <w:pPr>
              <w:pStyle w:val="48"/>
              <w:widowControl w:val="0"/>
              <w:adjustRightInd w:val="0"/>
              <w:snapToGrid w:val="0"/>
              <w:ind w:firstLine="0" w:firstLineChars="0"/>
              <w:rPr>
                <w:rFonts w:ascii="Arial" w:hAnsi="Arial" w:cs="Arial"/>
                <w:sz w:val="20"/>
                <w:szCs w:val="21"/>
              </w:rPr>
            </w:pPr>
            <w:r>
              <w:rPr>
                <w:rFonts w:ascii="Arial" w:hAnsi="Arial" w:cs="Arial"/>
                <w:sz w:val="20"/>
                <w:szCs w:val="21"/>
              </w:rPr>
              <w:t>项目实施全过程</w:t>
            </w:r>
          </w:p>
        </w:tc>
        <w:tc>
          <w:tcPr>
            <w:tcW w:w="4168" w:type="dxa"/>
            <w:shd w:val="clear" w:color="auto" w:fill="auto"/>
          </w:tcPr>
          <w:p w14:paraId="3FAE3783">
            <w:pPr>
              <w:widowControl w:val="0"/>
              <w:adjustRightInd w:val="0"/>
              <w:snapToGrid w:val="0"/>
              <w:rPr>
                <w:rFonts w:ascii="Arial" w:hAnsi="Arial" w:cs="Arial"/>
                <w:sz w:val="20"/>
                <w:szCs w:val="21"/>
              </w:rPr>
            </w:pPr>
            <w:r>
              <w:rPr>
                <w:rFonts w:ascii="Arial" w:hAnsi="Arial" w:cs="Arial"/>
                <w:sz w:val="20"/>
                <w:szCs w:val="21"/>
              </w:rPr>
              <w:t>省项目办向世行提交项目半年度进展报告，内容包括：</w:t>
            </w:r>
          </w:p>
          <w:p w14:paraId="19946679">
            <w:pPr>
              <w:widowControl w:val="0"/>
              <w:numPr>
                <w:ilvl w:val="0"/>
                <w:numId w:val="35"/>
              </w:numPr>
              <w:adjustRightInd w:val="0"/>
              <w:snapToGrid w:val="0"/>
              <w:ind w:left="220" w:leftChars="-1" w:hanging="222" w:hangingChars="111"/>
              <w:rPr>
                <w:rFonts w:ascii="Arial" w:hAnsi="Arial" w:cs="Arial"/>
                <w:sz w:val="20"/>
                <w:szCs w:val="21"/>
              </w:rPr>
            </w:pPr>
            <w:r>
              <w:rPr>
                <w:rFonts w:ascii="Arial" w:hAnsi="Arial" w:cs="Arial"/>
                <w:sz w:val="20"/>
                <w:szCs w:val="21"/>
              </w:rPr>
              <w:t>畜禽养殖场和垃圾转运站臭气处理施工或技改进展情况、竣工验收意见</w:t>
            </w:r>
          </w:p>
          <w:p w14:paraId="6D2BE72D">
            <w:pPr>
              <w:widowControl w:val="0"/>
              <w:numPr>
                <w:ilvl w:val="0"/>
                <w:numId w:val="35"/>
              </w:numPr>
              <w:adjustRightInd w:val="0"/>
              <w:snapToGrid w:val="0"/>
              <w:ind w:left="220" w:leftChars="-1" w:hanging="222" w:hangingChars="111"/>
              <w:rPr>
                <w:rFonts w:ascii="Arial" w:hAnsi="Arial" w:cs="Arial"/>
                <w:sz w:val="20"/>
                <w:szCs w:val="21"/>
              </w:rPr>
            </w:pPr>
            <w:r>
              <w:rPr>
                <w:rFonts w:ascii="Arial" w:hAnsi="Arial" w:cs="Arial"/>
                <w:sz w:val="20"/>
                <w:szCs w:val="21"/>
              </w:rPr>
              <w:t>臭气污染物监测安排与监测资料</w:t>
            </w:r>
          </w:p>
          <w:p w14:paraId="4850A488">
            <w:pPr>
              <w:widowControl w:val="0"/>
              <w:numPr>
                <w:ilvl w:val="0"/>
                <w:numId w:val="35"/>
              </w:numPr>
              <w:adjustRightInd w:val="0"/>
              <w:snapToGrid w:val="0"/>
              <w:ind w:left="220" w:leftChars="-1" w:hanging="222" w:hangingChars="111"/>
              <w:rPr>
                <w:rFonts w:ascii="Arial" w:hAnsi="Arial" w:cs="Arial"/>
                <w:sz w:val="20"/>
                <w:szCs w:val="21"/>
              </w:rPr>
            </w:pPr>
            <w:r>
              <w:rPr>
                <w:rFonts w:ascii="Arial" w:hAnsi="Arial" w:cs="Arial"/>
                <w:sz w:val="20"/>
                <w:szCs w:val="21"/>
              </w:rPr>
              <w:t>臭气管理培训、指导、监管等记录</w:t>
            </w:r>
          </w:p>
        </w:tc>
      </w:tr>
    </w:tbl>
    <w:p w14:paraId="1C8939A6">
      <w:pPr>
        <w:adjustRightInd w:val="0"/>
        <w:snapToGrid w:val="0"/>
        <w:spacing w:before="120" w:after="120"/>
        <w:rPr>
          <w:rFonts w:ascii="Arial" w:hAnsi="Arial" w:cs="Arial"/>
          <w:b/>
          <w:bCs/>
          <w:color w:val="1F4E79" w:themeColor="accent5" w:themeShade="80"/>
        </w:rPr>
      </w:pPr>
    </w:p>
    <w:bookmarkEnd w:id="593"/>
    <w:p w14:paraId="57755E22">
      <w:pPr>
        <w:spacing w:line="276" w:lineRule="auto"/>
        <w:ind w:firstLine="480" w:firstLineChars="200"/>
        <w:rPr>
          <w:rFonts w:ascii="Arial" w:hAnsi="Arial" w:cs="Arial"/>
        </w:rPr>
        <w:sectPr>
          <w:pgSz w:w="11900" w:h="16820"/>
          <w:pgMar w:top="1134" w:right="1134" w:bottom="1134" w:left="1134" w:header="720" w:footer="720" w:gutter="0"/>
          <w:pgNumType w:start="1"/>
          <w:cols w:space="720" w:num="1"/>
          <w:docGrid w:linePitch="360" w:charSpace="0"/>
        </w:sectPr>
      </w:pPr>
    </w:p>
    <w:bookmarkEnd w:id="594"/>
    <w:p w14:paraId="4CA92D78">
      <w:pPr>
        <w:pStyle w:val="2"/>
        <w:numPr>
          <w:ilvl w:val="0"/>
          <w:numId w:val="4"/>
        </w:numPr>
        <w:tabs>
          <w:tab w:val="left" w:pos="851"/>
        </w:tabs>
        <w:adjustRightInd w:val="0"/>
        <w:snapToGrid w:val="0"/>
        <w:spacing w:before="120" w:after="120" w:line="240" w:lineRule="auto"/>
        <w:rPr>
          <w:rFonts w:ascii="Arial" w:hAnsi="Arial" w:cs="Arial"/>
          <w:color w:val="1F4E79" w:themeColor="accent5" w:themeShade="80"/>
          <w:sz w:val="28"/>
          <w:szCs w:val="28"/>
        </w:rPr>
      </w:pPr>
      <w:bookmarkStart w:id="667" w:name="_Toc77865662"/>
      <w:bookmarkStart w:id="668" w:name="_Toc79939276"/>
      <w:r>
        <w:rPr>
          <w:rFonts w:ascii="Arial" w:hAnsi="Arial" w:cs="Arial"/>
          <w:color w:val="1F4E79" w:themeColor="accent5" w:themeShade="80"/>
          <w:sz w:val="28"/>
          <w:szCs w:val="28"/>
        </w:rPr>
        <w:tab/>
      </w:r>
      <w:bookmarkStart w:id="669" w:name="_Toc119937328"/>
      <w:r>
        <w:rPr>
          <w:rFonts w:ascii="Arial" w:hAnsi="Arial" w:cs="Arial"/>
          <w:color w:val="1F4E79" w:themeColor="accent5" w:themeShade="80"/>
          <w:sz w:val="28"/>
          <w:szCs w:val="28"/>
        </w:rPr>
        <w:t>实施管理与监测</w:t>
      </w:r>
      <w:bookmarkEnd w:id="667"/>
      <w:bookmarkEnd w:id="668"/>
      <w:bookmarkEnd w:id="669"/>
    </w:p>
    <w:p w14:paraId="11423CBF">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根据世行相关政策</w:t>
      </w:r>
      <w:r>
        <w:rPr>
          <w:rStyle w:val="46"/>
          <w:rFonts w:ascii="Arial" w:hAnsi="Arial" w:cs="Arial"/>
          <w:sz w:val="22"/>
        </w:rPr>
        <w:footnoteReference w:id="12"/>
      </w:r>
      <w:r>
        <w:rPr>
          <w:rFonts w:ascii="Arial" w:hAnsi="Arial" w:cs="Arial"/>
          <w:sz w:val="22"/>
        </w:rPr>
        <w:t>，以及世行与项目贷款方的约定，在项目实施期间，双方从不同角度管理与监测项目的实施。</w:t>
      </w:r>
    </w:p>
    <w:p w14:paraId="3521314C">
      <w:pPr>
        <w:pStyle w:val="3"/>
        <w:rPr>
          <w:color w:val="1F4E79" w:themeColor="accent5" w:themeShade="80"/>
          <w:sz w:val="24"/>
        </w:rPr>
      </w:pPr>
      <w:bookmarkStart w:id="670" w:name="_Toc91190295"/>
      <w:bookmarkEnd w:id="670"/>
      <w:bookmarkStart w:id="671" w:name="_Toc91573056"/>
      <w:bookmarkEnd w:id="671"/>
      <w:bookmarkStart w:id="672" w:name="_Toc91572858"/>
      <w:bookmarkEnd w:id="672"/>
      <w:bookmarkStart w:id="673" w:name="_Toc91572777"/>
      <w:bookmarkEnd w:id="673"/>
      <w:bookmarkStart w:id="674" w:name="_Toc92267167"/>
      <w:bookmarkEnd w:id="674"/>
      <w:bookmarkStart w:id="675" w:name="_Toc90855795"/>
      <w:bookmarkEnd w:id="675"/>
      <w:bookmarkStart w:id="676" w:name="_Toc93944847"/>
      <w:bookmarkEnd w:id="676"/>
      <w:bookmarkStart w:id="677" w:name="_Toc90855510"/>
      <w:bookmarkEnd w:id="677"/>
      <w:bookmarkStart w:id="678" w:name="_Toc90856412"/>
      <w:bookmarkEnd w:id="678"/>
      <w:bookmarkStart w:id="679" w:name="_Toc91572990"/>
      <w:bookmarkEnd w:id="679"/>
      <w:bookmarkStart w:id="680" w:name="_Toc91572924"/>
      <w:bookmarkEnd w:id="680"/>
      <w:bookmarkStart w:id="681" w:name="_Toc90590546"/>
      <w:bookmarkEnd w:id="681"/>
      <w:bookmarkStart w:id="682" w:name="_Toc90905815"/>
      <w:bookmarkEnd w:id="682"/>
      <w:bookmarkStart w:id="683" w:name="_Toc89421610"/>
      <w:bookmarkEnd w:id="683"/>
      <w:bookmarkStart w:id="684" w:name="_Toc92727016"/>
      <w:bookmarkEnd w:id="684"/>
      <w:bookmarkStart w:id="685" w:name="_Toc91573188"/>
      <w:bookmarkEnd w:id="685"/>
      <w:bookmarkStart w:id="686" w:name="_Toc89155604"/>
      <w:bookmarkEnd w:id="686"/>
      <w:bookmarkStart w:id="687" w:name="_Toc90904829"/>
      <w:bookmarkEnd w:id="687"/>
      <w:bookmarkStart w:id="688" w:name="_Toc90840441"/>
      <w:bookmarkEnd w:id="688"/>
      <w:bookmarkStart w:id="689" w:name="_Toc90331912"/>
      <w:bookmarkEnd w:id="689"/>
      <w:bookmarkStart w:id="690" w:name="_Toc79736589"/>
      <w:bookmarkEnd w:id="690"/>
      <w:bookmarkStart w:id="691" w:name="_Toc90169534"/>
      <w:bookmarkEnd w:id="691"/>
      <w:bookmarkStart w:id="692" w:name="_Toc90332066"/>
      <w:bookmarkEnd w:id="692"/>
      <w:bookmarkStart w:id="693" w:name="_Toc88862003"/>
      <w:bookmarkEnd w:id="693"/>
      <w:bookmarkStart w:id="694" w:name="_Toc89703070"/>
      <w:bookmarkEnd w:id="694"/>
      <w:bookmarkStart w:id="695" w:name="_Toc90414844"/>
      <w:bookmarkEnd w:id="695"/>
      <w:bookmarkStart w:id="696" w:name="_Toc90332322"/>
      <w:bookmarkEnd w:id="696"/>
      <w:bookmarkStart w:id="697" w:name="_Toc88857501"/>
      <w:bookmarkEnd w:id="697"/>
      <w:bookmarkStart w:id="698" w:name="_Toc90174118"/>
      <w:bookmarkEnd w:id="698"/>
      <w:bookmarkStart w:id="699" w:name="_Toc79939277"/>
      <w:bookmarkEnd w:id="699"/>
      <w:bookmarkStart w:id="700" w:name="_Toc88858849"/>
      <w:bookmarkEnd w:id="700"/>
      <w:bookmarkStart w:id="701" w:name="_Toc89241968"/>
      <w:bookmarkEnd w:id="701"/>
      <w:bookmarkStart w:id="702" w:name="_Toc88858796"/>
      <w:bookmarkEnd w:id="702"/>
      <w:bookmarkStart w:id="703" w:name="_Toc88858685"/>
      <w:bookmarkEnd w:id="703"/>
      <w:bookmarkStart w:id="704" w:name="_Toc89016133"/>
      <w:bookmarkEnd w:id="704"/>
      <w:bookmarkStart w:id="705" w:name="_Toc88858444"/>
      <w:bookmarkEnd w:id="705"/>
      <w:bookmarkStart w:id="706" w:name="_Toc90173941"/>
      <w:bookmarkEnd w:id="706"/>
      <w:bookmarkStart w:id="707" w:name="_Toc90590591"/>
      <w:bookmarkEnd w:id="707"/>
      <w:bookmarkStart w:id="708" w:name="_Toc90216925"/>
      <w:bookmarkEnd w:id="708"/>
      <w:bookmarkStart w:id="709" w:name="_Toc90551074"/>
      <w:bookmarkEnd w:id="709"/>
      <w:bookmarkStart w:id="710" w:name="_Toc90169438"/>
      <w:bookmarkEnd w:id="710"/>
      <w:bookmarkStart w:id="711" w:name="_Toc88859523"/>
      <w:bookmarkEnd w:id="711"/>
      <w:bookmarkStart w:id="712" w:name="_Toc88858598"/>
      <w:bookmarkEnd w:id="712"/>
      <w:bookmarkStart w:id="713" w:name="_Toc90551003"/>
      <w:bookmarkEnd w:id="713"/>
      <w:bookmarkStart w:id="714" w:name="_Toc90180691"/>
      <w:bookmarkEnd w:id="714"/>
      <w:bookmarkStart w:id="715" w:name="_Toc90310612"/>
      <w:bookmarkEnd w:id="715"/>
      <w:bookmarkStart w:id="716" w:name="_Toc90181128"/>
      <w:bookmarkEnd w:id="716"/>
      <w:bookmarkStart w:id="717" w:name="_Toc90551194"/>
      <w:bookmarkEnd w:id="717"/>
      <w:bookmarkStart w:id="718" w:name="_Toc90334696"/>
      <w:bookmarkEnd w:id="718"/>
      <w:bookmarkStart w:id="719" w:name="_Toc89155529"/>
      <w:bookmarkEnd w:id="719"/>
      <w:bookmarkStart w:id="720" w:name="_Toc89703140"/>
      <w:bookmarkEnd w:id="720"/>
      <w:bookmarkStart w:id="721" w:name="_Toc88862125"/>
      <w:bookmarkEnd w:id="721"/>
      <w:bookmarkStart w:id="722" w:name="_Toc90174170"/>
      <w:bookmarkEnd w:id="722"/>
      <w:bookmarkStart w:id="723" w:name="_Toc89425521"/>
      <w:bookmarkEnd w:id="723"/>
      <w:bookmarkStart w:id="724" w:name="_Toc90173664"/>
      <w:bookmarkEnd w:id="724"/>
      <w:bookmarkStart w:id="725" w:name="_Toc90176486"/>
      <w:bookmarkEnd w:id="725"/>
      <w:bookmarkStart w:id="726" w:name="_Toc88842054"/>
      <w:bookmarkEnd w:id="726"/>
      <w:bookmarkStart w:id="727" w:name="_Toc91572709"/>
      <w:bookmarkEnd w:id="727"/>
      <w:bookmarkStart w:id="728" w:name="_Toc90711535"/>
      <w:bookmarkEnd w:id="728"/>
      <w:bookmarkStart w:id="729" w:name="_Toc88861950"/>
      <w:bookmarkEnd w:id="729"/>
      <w:bookmarkStart w:id="730" w:name="_Toc88858354"/>
      <w:bookmarkEnd w:id="730"/>
      <w:bookmarkStart w:id="731" w:name="_Toc92803999"/>
      <w:bookmarkEnd w:id="731"/>
      <w:bookmarkStart w:id="732" w:name="_Toc88860780"/>
      <w:bookmarkEnd w:id="732"/>
      <w:bookmarkStart w:id="733" w:name="_Toc88857580"/>
      <w:bookmarkEnd w:id="733"/>
      <w:bookmarkStart w:id="734" w:name="_Toc90855577"/>
      <w:bookmarkEnd w:id="734"/>
      <w:bookmarkStart w:id="735" w:name="_Toc119937329"/>
      <w:bookmarkStart w:id="736" w:name="_Toc79939278"/>
      <w:r>
        <w:rPr>
          <w:color w:val="1F4E79" w:themeColor="accent5" w:themeShade="80"/>
          <w:sz w:val="24"/>
        </w:rPr>
        <w:t>8.1</w:t>
      </w:r>
      <w:r>
        <w:rPr>
          <w:color w:val="1F4E79" w:themeColor="accent5" w:themeShade="80"/>
          <w:sz w:val="24"/>
        </w:rPr>
        <w:tab/>
      </w:r>
      <w:r>
        <w:rPr>
          <w:color w:val="1F4E79" w:themeColor="accent5" w:themeShade="80"/>
          <w:sz w:val="24"/>
        </w:rPr>
        <w:tab/>
      </w:r>
      <w:r>
        <w:rPr>
          <w:color w:val="1F4E79" w:themeColor="accent5" w:themeShade="80"/>
          <w:sz w:val="24"/>
        </w:rPr>
        <w:t>项目实施方</w:t>
      </w:r>
      <w:bookmarkEnd w:id="735"/>
      <w:bookmarkEnd w:id="736"/>
    </w:p>
    <w:p w14:paraId="556CF624">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借款方负责具体实施项目，监测项目进度，评价完成的指标，履行项目法律文件中确定的包括项目行动计划等相关承诺责任。这些责任包括借款方应维持环境与社会管理系统，监测行动计划的实施，发现问题并及时有效地处理问题等。借款方应重点做好以下相关工作：</w:t>
      </w:r>
    </w:p>
    <w:p w14:paraId="502BB27F">
      <w:pPr>
        <w:pStyle w:val="48"/>
        <w:widowControl w:val="0"/>
        <w:numPr>
          <w:ilvl w:val="0"/>
          <w:numId w:val="36"/>
        </w:numPr>
        <w:ind w:left="851" w:hanging="851" w:firstLineChars="0"/>
        <w:jc w:val="both"/>
        <w:rPr>
          <w:rFonts w:ascii="Arial" w:hAnsi="Arial" w:cs="Arial"/>
          <w:sz w:val="22"/>
        </w:rPr>
      </w:pPr>
      <w:r>
        <w:rPr>
          <w:rFonts w:ascii="Arial" w:hAnsi="Arial" w:cs="Arial"/>
          <w:sz w:val="22"/>
        </w:rPr>
        <w:t xml:space="preserve">编制并实施“环境与社会风险管理手册” </w:t>
      </w:r>
    </w:p>
    <w:p w14:paraId="376B8FCC">
      <w:pPr>
        <w:pStyle w:val="48"/>
        <w:widowControl w:val="0"/>
        <w:numPr>
          <w:ilvl w:val="0"/>
          <w:numId w:val="36"/>
        </w:numPr>
        <w:ind w:left="851" w:hanging="851" w:firstLineChars="0"/>
        <w:jc w:val="both"/>
        <w:rPr>
          <w:rFonts w:ascii="Arial" w:hAnsi="Arial" w:cs="Arial"/>
          <w:sz w:val="22"/>
        </w:rPr>
      </w:pPr>
      <w:r>
        <w:rPr>
          <w:rFonts w:ascii="Arial" w:hAnsi="Arial" w:cs="Arial"/>
          <w:sz w:val="22"/>
        </w:rPr>
        <w:t>实施项目行动计划中所有商定的环境与社会行动计划，并将环境与社会管理系统及其能力维持在与本报告评价结论相一致的水平。</w:t>
      </w:r>
    </w:p>
    <w:p w14:paraId="347860E6">
      <w:pPr>
        <w:pStyle w:val="48"/>
        <w:widowControl w:val="0"/>
        <w:numPr>
          <w:ilvl w:val="0"/>
          <w:numId w:val="36"/>
        </w:numPr>
        <w:ind w:left="851" w:hanging="851" w:firstLineChars="0"/>
        <w:jc w:val="both"/>
        <w:rPr>
          <w:rFonts w:ascii="Arial" w:hAnsi="Arial" w:cs="Arial"/>
          <w:sz w:val="22"/>
        </w:rPr>
      </w:pPr>
      <w:r>
        <w:rPr>
          <w:rFonts w:ascii="Arial" w:hAnsi="Arial" w:cs="Arial"/>
          <w:sz w:val="22"/>
        </w:rPr>
        <w:t>每半年提交环境与社会管理监测报告（可作为该县项目总体进度报告的专题章节，也可以作为独立报告提交），其中包含反映项目实施过程中环境与社会影响和风险识别、筛选、管理和记录等的情况，以证明继续遵守了本项目适用的环境与社会管理机制。</w:t>
      </w:r>
    </w:p>
    <w:p w14:paraId="092A1E97">
      <w:pPr>
        <w:pStyle w:val="48"/>
        <w:widowControl w:val="0"/>
        <w:numPr>
          <w:ilvl w:val="0"/>
          <w:numId w:val="36"/>
        </w:numPr>
        <w:ind w:left="851" w:hanging="851" w:firstLineChars="0"/>
        <w:jc w:val="both"/>
        <w:rPr>
          <w:rFonts w:ascii="Arial" w:hAnsi="Arial" w:cs="Arial"/>
          <w:sz w:val="22"/>
        </w:rPr>
      </w:pPr>
      <w:r>
        <w:rPr>
          <w:rFonts w:ascii="Arial" w:hAnsi="Arial" w:cs="Arial"/>
          <w:sz w:val="22"/>
        </w:rPr>
        <w:t>根据需要，对环境与社会管理系统绩效进行评价和审计。</w:t>
      </w:r>
    </w:p>
    <w:p w14:paraId="2FE441D3">
      <w:pPr>
        <w:pStyle w:val="48"/>
        <w:widowControl w:val="0"/>
        <w:numPr>
          <w:ilvl w:val="0"/>
          <w:numId w:val="36"/>
        </w:numPr>
        <w:ind w:left="851" w:hanging="851" w:firstLineChars="0"/>
        <w:jc w:val="both"/>
        <w:rPr>
          <w:rFonts w:ascii="Arial" w:hAnsi="Arial" w:cs="Arial"/>
          <w:sz w:val="22"/>
        </w:rPr>
      </w:pPr>
      <w:r>
        <w:rPr>
          <w:rFonts w:ascii="Arial" w:hAnsi="Arial" w:cs="Arial"/>
          <w:sz w:val="22"/>
        </w:rPr>
        <w:t>实施机构应定期审查申诉机制（包括村级申诉机制和企业申诉机制）的绩效、程序和投诉处理情况，具体申诉案例需要反映在环境与社会管理监测报告中。</w:t>
      </w:r>
    </w:p>
    <w:p w14:paraId="62BE139E">
      <w:pPr>
        <w:pStyle w:val="48"/>
        <w:widowControl w:val="0"/>
        <w:numPr>
          <w:ilvl w:val="0"/>
          <w:numId w:val="36"/>
        </w:numPr>
        <w:ind w:left="851" w:hanging="851" w:firstLineChars="0"/>
        <w:jc w:val="both"/>
        <w:rPr>
          <w:rFonts w:ascii="Arial" w:hAnsi="Arial" w:cs="Arial"/>
          <w:sz w:val="22"/>
        </w:rPr>
      </w:pPr>
      <w:r>
        <w:rPr>
          <w:rFonts w:ascii="Arial" w:hAnsi="Arial" w:cs="Arial"/>
          <w:sz w:val="22"/>
        </w:rPr>
        <w:t>在实施期间对相关的环境与社会管理系统进行任何更改之前，先与世行进行磋商。</w:t>
      </w:r>
    </w:p>
    <w:p w14:paraId="310377AE">
      <w:pPr>
        <w:pStyle w:val="48"/>
        <w:numPr>
          <w:ilvl w:val="0"/>
          <w:numId w:val="5"/>
        </w:numPr>
        <w:tabs>
          <w:tab w:val="left" w:pos="851"/>
        </w:tabs>
        <w:adjustRightInd w:val="0"/>
        <w:snapToGrid w:val="0"/>
        <w:spacing w:before="120" w:after="120"/>
        <w:ind w:left="0" w:firstLine="0" w:firstLineChars="0"/>
        <w:rPr>
          <w:rFonts w:ascii="Arial" w:hAnsi="Arial" w:cs="Arial"/>
          <w:snapToGrid w:val="0"/>
          <w:sz w:val="22"/>
        </w:rPr>
      </w:pPr>
      <w:bookmarkStart w:id="737" w:name="_Toc79939279"/>
      <w:r>
        <w:rPr>
          <w:rFonts w:ascii="Arial" w:hAnsi="Arial" w:cs="Arial"/>
          <w:snapToGrid w:val="0"/>
          <w:sz w:val="22"/>
        </w:rPr>
        <w:t>湖北省项目办和湖南省项目办是省级总体管理机构；同时，各项目县/市乡村振兴局或农业农村局（县/市项目办）负责管理县/市级活动的总体实施。各项目县/市活动的主要实施机构包括乡村振兴局、</w:t>
      </w:r>
      <w:r>
        <w:rPr>
          <w:rFonts w:hint="eastAsia" w:ascii="Arial" w:hAnsi="Arial" w:cs="Arial"/>
          <w:snapToGrid w:val="0"/>
          <w:sz w:val="22"/>
          <w:lang w:eastAsia="zh-CN"/>
        </w:rPr>
        <w:t>农业农村局</w:t>
      </w:r>
      <w:r>
        <w:rPr>
          <w:rFonts w:ascii="Arial" w:hAnsi="Arial" w:cs="Arial"/>
          <w:snapToGrid w:val="0"/>
          <w:sz w:val="22"/>
        </w:rPr>
        <w:t>、生态环境局、住建局、交通局、水利局等，他们负责实施商定的环境与社会行动。县/市级实施机构应当指定专门部门和人员管理环境与社会行动的实施、向县/市项目办报告，并提供机构设置和相关资料，由省项目办和世行进行监督和监测。</w:t>
      </w:r>
    </w:p>
    <w:p w14:paraId="6D131B89">
      <w:pPr>
        <w:pStyle w:val="3"/>
        <w:rPr>
          <w:color w:val="1F4E79" w:themeColor="accent5" w:themeShade="80"/>
          <w:sz w:val="24"/>
          <w:lang w:val="en-GB"/>
        </w:rPr>
      </w:pPr>
      <w:bookmarkStart w:id="738" w:name="_Toc119937330"/>
      <w:r>
        <w:rPr>
          <w:color w:val="1F4E79" w:themeColor="accent5" w:themeShade="80"/>
          <w:sz w:val="24"/>
        </w:rPr>
        <w:t>8.2</w:t>
      </w:r>
      <w:r>
        <w:rPr>
          <w:color w:val="1F4E79" w:themeColor="accent5" w:themeShade="80"/>
          <w:sz w:val="24"/>
        </w:rPr>
        <w:tab/>
      </w:r>
      <w:r>
        <w:rPr>
          <w:color w:val="1F4E79" w:themeColor="accent5" w:themeShade="80"/>
          <w:sz w:val="24"/>
        </w:rPr>
        <w:tab/>
      </w:r>
      <w:r>
        <w:rPr>
          <w:color w:val="1F4E79" w:themeColor="accent5" w:themeShade="80"/>
          <w:sz w:val="24"/>
        </w:rPr>
        <w:t>世行方面</w:t>
      </w:r>
      <w:bookmarkEnd w:id="737"/>
      <w:bookmarkEnd w:id="738"/>
    </w:p>
    <w:p w14:paraId="111441FF">
      <w:pPr>
        <w:pStyle w:val="48"/>
        <w:numPr>
          <w:ilvl w:val="0"/>
          <w:numId w:val="5"/>
        </w:numPr>
        <w:tabs>
          <w:tab w:val="left" w:pos="851"/>
        </w:tabs>
        <w:adjustRightInd w:val="0"/>
        <w:snapToGrid w:val="0"/>
        <w:spacing w:before="120" w:after="120"/>
        <w:ind w:left="0" w:firstLine="0" w:firstLineChars="0"/>
        <w:rPr>
          <w:rFonts w:ascii="Arial" w:hAnsi="Arial" w:cs="Arial"/>
          <w:sz w:val="22"/>
        </w:rPr>
      </w:pPr>
      <w:r>
        <w:rPr>
          <w:rFonts w:ascii="Arial" w:hAnsi="Arial" w:cs="Arial"/>
          <w:sz w:val="22"/>
        </w:rPr>
        <w:t>为项目实施提供支持，关注项目实施的环境与社会管理绩效与本报告要求的一致性，尤其是与项目行动计划要求的一致性。世行将监测借款人遵守环境与社会风险管理的承诺，</w:t>
      </w:r>
      <w:r>
        <w:rPr>
          <w:rFonts w:ascii="Arial" w:hAnsi="Arial" w:cs="Arial"/>
          <w:snapToGrid w:val="0"/>
          <w:sz w:val="22"/>
        </w:rPr>
        <w:t>包括加强机制和能力建设的行动等</w:t>
      </w:r>
      <w:r>
        <w:rPr>
          <w:rFonts w:ascii="Arial" w:hAnsi="Arial" w:cs="Arial"/>
          <w:sz w:val="22"/>
        </w:rPr>
        <w:t>。世行将基于准备阶段确定的风险评价来定期评价整个项目，利用该风险评价响应及帮助借款方处理预知的、新的风险，并对风险评价提出改进建议。世行还会进行实地考察，与利益相关方一道为项目实施方提供适当的支持，审查项目审计报告、进度报告。世行项目团队定期用备忘录的形式向管理层报告项目实施情况，内容包括文件审查、与项目实施方及利益相关者协商情况、现场考察情况等。主要活动如下：</w:t>
      </w:r>
    </w:p>
    <w:p w14:paraId="5134846A">
      <w:pPr>
        <w:pStyle w:val="48"/>
        <w:numPr>
          <w:ilvl w:val="0"/>
          <w:numId w:val="36"/>
        </w:numPr>
        <w:ind w:left="851" w:hanging="851" w:firstLineChars="0"/>
        <w:rPr>
          <w:rFonts w:ascii="Arial" w:hAnsi="Arial" w:cs="Arial"/>
          <w:sz w:val="22"/>
        </w:rPr>
      </w:pPr>
      <w:r>
        <w:rPr>
          <w:rFonts w:ascii="Arial" w:hAnsi="Arial" w:cs="Arial"/>
          <w:sz w:val="22"/>
        </w:rPr>
        <w:t>核实任何商定行动的执行情况，包括任何商定的能力建设活动和任何指定的环境与社会影响缓解措施；</w:t>
      </w:r>
    </w:p>
    <w:p w14:paraId="66C8B9DC">
      <w:pPr>
        <w:pStyle w:val="48"/>
        <w:widowControl w:val="0"/>
        <w:numPr>
          <w:ilvl w:val="0"/>
          <w:numId w:val="36"/>
        </w:numPr>
        <w:ind w:left="851" w:hanging="851" w:firstLineChars="0"/>
        <w:jc w:val="both"/>
        <w:rPr>
          <w:rFonts w:ascii="Arial" w:hAnsi="Arial" w:cs="Arial"/>
          <w:sz w:val="22"/>
        </w:rPr>
      </w:pPr>
      <w:r>
        <w:rPr>
          <w:rFonts w:ascii="Arial" w:hAnsi="Arial" w:cs="Arial"/>
          <w:sz w:val="22"/>
        </w:rPr>
        <w:t>开展定期监测，以确保借款人的环境与社会管理系统在整个实施期间的绩效可被世行接受；</w:t>
      </w:r>
    </w:p>
    <w:p w14:paraId="3D8F2794">
      <w:pPr>
        <w:pStyle w:val="48"/>
        <w:numPr>
          <w:ilvl w:val="0"/>
          <w:numId w:val="36"/>
        </w:numPr>
        <w:ind w:left="851" w:hanging="851" w:firstLineChars="0"/>
        <w:rPr>
          <w:rFonts w:ascii="Arial" w:hAnsi="Arial" w:cs="Arial"/>
          <w:sz w:val="22"/>
        </w:rPr>
      </w:pPr>
      <w:r>
        <w:rPr>
          <w:rFonts w:ascii="Arial" w:hAnsi="Arial" w:cs="Arial"/>
          <w:sz w:val="22"/>
        </w:rPr>
        <w:t>确定可能需要采取的任何额外管理措施，以解决执行中的绩效不佳或意外挑战；</w:t>
      </w:r>
    </w:p>
    <w:p w14:paraId="37EE3FDE">
      <w:pPr>
        <w:pStyle w:val="48"/>
        <w:numPr>
          <w:ilvl w:val="0"/>
          <w:numId w:val="36"/>
        </w:numPr>
        <w:ind w:left="851" w:hanging="851" w:firstLineChars="0"/>
        <w:rPr>
          <w:rFonts w:ascii="Arial" w:hAnsi="Arial" w:cs="Arial"/>
          <w:sz w:val="22"/>
        </w:rPr>
      </w:pPr>
      <w:r>
        <w:rPr>
          <w:rFonts w:ascii="Arial" w:hAnsi="Arial" w:cs="Arial"/>
          <w:sz w:val="22"/>
        </w:rPr>
        <w:t>通过半年监测报告审查申诉机制的运行情况，确认该机制的有效运行；</w:t>
      </w:r>
    </w:p>
    <w:p w14:paraId="4A14FF17">
      <w:pPr>
        <w:pStyle w:val="48"/>
        <w:numPr>
          <w:ilvl w:val="0"/>
          <w:numId w:val="36"/>
        </w:numPr>
        <w:ind w:left="851" w:hanging="851" w:firstLineChars="0"/>
        <w:rPr>
          <w:rFonts w:ascii="Arial" w:hAnsi="Arial" w:cs="Arial"/>
          <w:sz w:val="22"/>
        </w:rPr>
      </w:pPr>
      <w:r>
        <w:rPr>
          <w:rFonts w:ascii="Arial" w:hAnsi="Arial" w:cs="Arial"/>
          <w:sz w:val="22"/>
        </w:rPr>
        <w:t>世行将定期进行现场考察，作为实施方自我监督的补充，还将提供双方同意的其他支持。</w:t>
      </w:r>
    </w:p>
    <w:p w14:paraId="228AEE39">
      <w:pPr>
        <w:rPr>
          <w:rFonts w:ascii="Arial" w:hAnsi="Arial" w:cs="Arial"/>
          <w:sz w:val="22"/>
        </w:rPr>
      </w:pPr>
    </w:p>
    <w:p w14:paraId="46E1C484">
      <w:pPr>
        <w:rPr>
          <w:rFonts w:ascii="Arial" w:hAnsi="Arial" w:cs="Arial"/>
          <w:sz w:val="22"/>
        </w:rPr>
      </w:pPr>
    </w:p>
    <w:p w14:paraId="5E3CE48D">
      <w:pPr>
        <w:pStyle w:val="48"/>
        <w:numPr>
          <w:ilvl w:val="0"/>
          <w:numId w:val="36"/>
        </w:numPr>
        <w:ind w:left="851" w:hanging="851" w:firstLineChars="0"/>
        <w:rPr>
          <w:rFonts w:ascii="Arial" w:hAnsi="Arial" w:cs="Arial"/>
          <w:sz w:val="22"/>
        </w:rPr>
        <w:sectPr>
          <w:pgSz w:w="11906" w:h="16838"/>
          <w:pgMar w:top="1134" w:right="1134" w:bottom="1134" w:left="1134" w:header="720" w:footer="720" w:gutter="0"/>
          <w:cols w:space="720" w:num="1"/>
          <w:docGrid w:linePitch="360" w:charSpace="0"/>
        </w:sectPr>
      </w:pPr>
    </w:p>
    <w:p w14:paraId="6118E4F0">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39" w:name="_Toc107747481"/>
      <w:bookmarkStart w:id="740" w:name="_Toc105680662"/>
      <w:bookmarkStart w:id="741" w:name="_Toc119937331"/>
      <w:bookmarkStart w:id="742" w:name="_Toc79939280"/>
      <w:r>
        <w:rPr>
          <w:rFonts w:ascii="Arial" w:hAnsi="Arial" w:cs="Arial"/>
          <w:color w:val="000000" w:themeColor="text1"/>
          <w:sz w:val="28"/>
          <w:szCs w:val="28"/>
          <w14:textFill>
            <w14:solidFill>
              <w14:schemeClr w14:val="tx1"/>
            </w14:solidFill>
          </w14:textFill>
        </w:rPr>
        <w:t>附件1：政府规划活动筛查及本项目PforR边界确定</w:t>
      </w:r>
      <w:bookmarkEnd w:id="739"/>
      <w:bookmarkEnd w:id="740"/>
      <w:bookmarkEnd w:id="741"/>
    </w:p>
    <w:p w14:paraId="1313C4B9">
      <w:pPr>
        <w:pStyle w:val="48"/>
        <w:numPr>
          <w:ilvl w:val="0"/>
          <w:numId w:val="37"/>
        </w:numPr>
        <w:ind w:firstLineChars="0"/>
        <w:rPr>
          <w:rFonts w:ascii="Arial" w:hAnsi="Arial" w:cs="Arial"/>
          <w:b/>
          <w:bCs/>
          <w:sz w:val="22"/>
          <w:szCs w:val="22"/>
          <w:lang w:val="en-GB"/>
        </w:rPr>
      </w:pPr>
      <w:r>
        <w:rPr>
          <w:rFonts w:ascii="Arial" w:hAnsi="Arial" w:cs="Arial"/>
          <w:b/>
          <w:bCs/>
          <w:sz w:val="22"/>
          <w:szCs w:val="22"/>
        </w:rPr>
        <w:t>湖北省规划活动内容及</w:t>
      </w:r>
      <w:r>
        <w:rPr>
          <w:rFonts w:ascii="Arial" w:hAnsi="Arial" w:cs="Arial"/>
          <w:b/>
          <w:bCs/>
          <w:sz w:val="22"/>
          <w:szCs w:val="22"/>
          <w:lang w:val="en-GB"/>
        </w:rPr>
        <w:t>PforR边界</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5"/>
        <w:gridCol w:w="568"/>
        <w:gridCol w:w="1712"/>
        <w:gridCol w:w="7266"/>
        <w:gridCol w:w="1299"/>
        <w:gridCol w:w="1550"/>
        <w:gridCol w:w="1097"/>
      </w:tblGrid>
      <w:tr w14:paraId="2EC0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3651" w:type="pct"/>
            <w:gridSpan w:val="4"/>
          </w:tcPr>
          <w:p w14:paraId="786EB882">
            <w:pPr>
              <w:adjustRightInd w:val="0"/>
              <w:snapToGrid w:val="0"/>
              <w:jc w:val="center"/>
              <w:rPr>
                <w:rFonts w:ascii="Arial" w:hAnsi="Arial" w:cs="Arial"/>
                <w:b/>
                <w:bCs/>
                <w:sz w:val="20"/>
                <w:szCs w:val="20"/>
              </w:rPr>
            </w:pPr>
            <w:r>
              <w:rPr>
                <w:rFonts w:ascii="Arial" w:hAnsi="Arial" w:cs="Arial"/>
                <w:b/>
                <w:bCs/>
                <w:sz w:val="20"/>
                <w:szCs w:val="20"/>
              </w:rPr>
              <w:t>湖北省推进农业农村现代化“十四五”规划</w:t>
            </w:r>
          </w:p>
        </w:tc>
        <w:tc>
          <w:tcPr>
            <w:tcW w:w="444" w:type="pct"/>
            <w:vMerge w:val="restart"/>
          </w:tcPr>
          <w:p w14:paraId="4AA9421F">
            <w:pPr>
              <w:adjustRightInd w:val="0"/>
              <w:snapToGrid w:val="0"/>
              <w:rPr>
                <w:rFonts w:ascii="Arial" w:hAnsi="Arial" w:cs="Arial"/>
                <w:sz w:val="20"/>
                <w:szCs w:val="20"/>
              </w:rPr>
            </w:pPr>
            <w:r>
              <w:rPr>
                <w:rFonts w:ascii="Arial" w:hAnsi="Arial" w:cs="Arial"/>
                <w:b/>
                <w:bCs/>
                <w:sz w:val="20"/>
                <w:szCs w:val="20"/>
              </w:rPr>
              <w:t>纳入本项目PforR</w:t>
            </w:r>
            <w:r>
              <w:rPr>
                <w:rFonts w:ascii="Arial" w:hAnsi="Arial" w:cs="Arial"/>
                <w:b/>
                <w:bCs/>
                <w:sz w:val="20"/>
                <w:szCs w:val="20"/>
                <w:lang w:val="en-GB"/>
              </w:rPr>
              <w:t>的活动</w:t>
            </w:r>
          </w:p>
        </w:tc>
        <w:tc>
          <w:tcPr>
            <w:tcW w:w="530" w:type="pct"/>
            <w:vMerge w:val="restart"/>
          </w:tcPr>
          <w:p w14:paraId="5A5A7281">
            <w:pPr>
              <w:adjustRightInd w:val="0"/>
              <w:snapToGrid w:val="0"/>
              <w:rPr>
                <w:rFonts w:ascii="Arial" w:hAnsi="Arial" w:cs="Arial"/>
                <w:sz w:val="20"/>
                <w:szCs w:val="20"/>
              </w:rPr>
            </w:pPr>
            <w:r>
              <w:rPr>
                <w:rFonts w:ascii="Arial" w:hAnsi="Arial" w:cs="Arial"/>
                <w:b/>
                <w:bCs/>
                <w:sz w:val="20"/>
                <w:szCs w:val="20"/>
              </w:rPr>
              <w:t>对应本项目PforR的</w:t>
            </w:r>
            <w:r>
              <w:rPr>
                <w:rFonts w:ascii="Arial" w:hAnsi="Arial" w:cs="Arial"/>
                <w:b/>
                <w:bCs/>
                <w:sz w:val="20"/>
                <w:szCs w:val="20"/>
                <w:lang w:val="en-GB"/>
              </w:rPr>
              <w:t>类别</w:t>
            </w:r>
          </w:p>
        </w:tc>
        <w:tc>
          <w:tcPr>
            <w:tcW w:w="375" w:type="pct"/>
            <w:vMerge w:val="restart"/>
          </w:tcPr>
          <w:p w14:paraId="5AE7B77F">
            <w:pPr>
              <w:adjustRightInd w:val="0"/>
              <w:snapToGrid w:val="0"/>
              <w:rPr>
                <w:rFonts w:ascii="Arial" w:hAnsi="Arial" w:cs="Arial"/>
                <w:b/>
                <w:bCs/>
                <w:sz w:val="20"/>
                <w:szCs w:val="20"/>
              </w:rPr>
            </w:pPr>
            <w:r>
              <w:rPr>
                <w:rFonts w:ascii="Arial" w:hAnsi="Arial" w:cs="Arial"/>
                <w:b/>
                <w:bCs/>
                <w:sz w:val="20"/>
                <w:szCs w:val="20"/>
              </w:rPr>
              <w:t>不纳入的</w:t>
            </w:r>
          </w:p>
          <w:p w14:paraId="06776DEA">
            <w:pPr>
              <w:adjustRightInd w:val="0"/>
              <w:snapToGrid w:val="0"/>
              <w:rPr>
                <w:rFonts w:ascii="Arial" w:hAnsi="Arial" w:cs="Arial"/>
                <w:b/>
                <w:bCs/>
                <w:sz w:val="20"/>
                <w:szCs w:val="20"/>
              </w:rPr>
            </w:pPr>
            <w:r>
              <w:rPr>
                <w:rFonts w:ascii="Arial" w:hAnsi="Arial" w:cs="Arial"/>
                <w:b/>
                <w:bCs/>
                <w:sz w:val="20"/>
                <w:szCs w:val="20"/>
              </w:rPr>
              <w:t>原因</w:t>
            </w:r>
          </w:p>
        </w:tc>
      </w:tr>
      <w:tr w14:paraId="53C8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388" w:type="pct"/>
          </w:tcPr>
          <w:p w14:paraId="23E09A74">
            <w:pPr>
              <w:adjustRightInd w:val="0"/>
              <w:snapToGrid w:val="0"/>
              <w:rPr>
                <w:rFonts w:ascii="Arial" w:hAnsi="Arial" w:cs="Arial"/>
                <w:b/>
                <w:bCs/>
                <w:sz w:val="20"/>
                <w:szCs w:val="20"/>
                <w:lang w:val="en-GB"/>
              </w:rPr>
            </w:pPr>
            <w:r>
              <w:rPr>
                <w:rFonts w:ascii="Arial" w:hAnsi="Arial" w:cs="Arial"/>
                <w:b/>
                <w:bCs/>
                <w:sz w:val="20"/>
                <w:szCs w:val="20"/>
              </w:rPr>
              <w:t>规划领域</w:t>
            </w:r>
          </w:p>
        </w:tc>
        <w:tc>
          <w:tcPr>
            <w:tcW w:w="779" w:type="pct"/>
            <w:gridSpan w:val="2"/>
          </w:tcPr>
          <w:p w14:paraId="7A922A4E">
            <w:pPr>
              <w:adjustRightInd w:val="0"/>
              <w:snapToGrid w:val="0"/>
              <w:rPr>
                <w:rFonts w:ascii="Arial" w:hAnsi="Arial" w:cs="Arial"/>
                <w:sz w:val="20"/>
                <w:szCs w:val="20"/>
                <w:lang w:val="en-GB"/>
              </w:rPr>
            </w:pPr>
            <w:r>
              <w:rPr>
                <w:rFonts w:ascii="Arial" w:hAnsi="Arial" w:cs="Arial"/>
                <w:b/>
                <w:bCs/>
                <w:sz w:val="20"/>
                <w:szCs w:val="20"/>
              </w:rPr>
              <w:t>类型</w:t>
            </w:r>
          </w:p>
        </w:tc>
        <w:tc>
          <w:tcPr>
            <w:tcW w:w="2484" w:type="pct"/>
          </w:tcPr>
          <w:p w14:paraId="546DEE31">
            <w:pPr>
              <w:adjustRightInd w:val="0"/>
              <w:snapToGrid w:val="0"/>
              <w:rPr>
                <w:rFonts w:ascii="Arial" w:hAnsi="Arial" w:cs="Arial"/>
                <w:sz w:val="20"/>
                <w:szCs w:val="20"/>
              </w:rPr>
            </w:pPr>
            <w:r>
              <w:rPr>
                <w:rFonts w:ascii="Arial" w:hAnsi="Arial" w:cs="Arial"/>
                <w:b/>
                <w:bCs/>
                <w:sz w:val="20"/>
                <w:szCs w:val="20"/>
              </w:rPr>
              <w:t>省级和县级规划典型活动</w:t>
            </w:r>
          </w:p>
        </w:tc>
        <w:tc>
          <w:tcPr>
            <w:tcW w:w="444" w:type="pct"/>
            <w:vMerge w:val="continue"/>
          </w:tcPr>
          <w:p w14:paraId="1857B162">
            <w:pPr>
              <w:adjustRightInd w:val="0"/>
              <w:snapToGrid w:val="0"/>
              <w:rPr>
                <w:rFonts w:ascii="Arial" w:hAnsi="Arial" w:cs="Arial"/>
                <w:sz w:val="20"/>
                <w:szCs w:val="20"/>
              </w:rPr>
            </w:pPr>
          </w:p>
        </w:tc>
        <w:tc>
          <w:tcPr>
            <w:tcW w:w="530" w:type="pct"/>
            <w:vMerge w:val="continue"/>
          </w:tcPr>
          <w:p w14:paraId="773CBF6F">
            <w:pPr>
              <w:adjustRightInd w:val="0"/>
              <w:snapToGrid w:val="0"/>
              <w:rPr>
                <w:rFonts w:ascii="Arial" w:hAnsi="Arial" w:cs="Arial"/>
                <w:sz w:val="20"/>
                <w:szCs w:val="20"/>
              </w:rPr>
            </w:pPr>
          </w:p>
        </w:tc>
        <w:tc>
          <w:tcPr>
            <w:tcW w:w="375" w:type="pct"/>
            <w:vMerge w:val="continue"/>
          </w:tcPr>
          <w:p w14:paraId="7089066C">
            <w:pPr>
              <w:adjustRightInd w:val="0"/>
              <w:snapToGrid w:val="0"/>
              <w:rPr>
                <w:rFonts w:ascii="Arial" w:hAnsi="Arial" w:cs="Arial"/>
                <w:sz w:val="20"/>
                <w:szCs w:val="20"/>
              </w:rPr>
            </w:pPr>
          </w:p>
        </w:tc>
      </w:tr>
      <w:tr w14:paraId="004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tcPr>
          <w:p w14:paraId="48876581">
            <w:pPr>
              <w:adjustRightInd w:val="0"/>
              <w:snapToGrid w:val="0"/>
              <w:rPr>
                <w:rFonts w:ascii="Arial" w:hAnsi="Arial" w:cs="Arial"/>
                <w:b/>
                <w:bCs/>
                <w:sz w:val="20"/>
                <w:szCs w:val="20"/>
                <w:lang w:val="en-GB"/>
              </w:rPr>
            </w:pPr>
            <w:r>
              <w:rPr>
                <w:rFonts w:ascii="Arial" w:hAnsi="Arial" w:cs="Arial"/>
                <w:b/>
                <w:bCs/>
                <w:sz w:val="20"/>
                <w:szCs w:val="20"/>
                <w:lang w:val="en-GB"/>
              </w:rPr>
              <w:t>1. 巩固拓展脱贫攻坚成果同乡村振兴有效衔接</w:t>
            </w:r>
          </w:p>
        </w:tc>
        <w:tc>
          <w:tcPr>
            <w:tcW w:w="779" w:type="pct"/>
            <w:gridSpan w:val="2"/>
          </w:tcPr>
          <w:p w14:paraId="0D4DDB6F">
            <w:pPr>
              <w:adjustRightInd w:val="0"/>
              <w:snapToGrid w:val="0"/>
              <w:rPr>
                <w:rFonts w:ascii="Arial" w:hAnsi="Arial" w:cs="Arial"/>
                <w:sz w:val="20"/>
                <w:szCs w:val="20"/>
                <w:lang w:val="en-GB"/>
              </w:rPr>
            </w:pPr>
            <w:r>
              <w:rPr>
                <w:rFonts w:ascii="Arial" w:hAnsi="Arial" w:cs="Arial"/>
                <w:sz w:val="20"/>
                <w:szCs w:val="20"/>
              </w:rPr>
              <w:t>支持脱贫地区发展</w:t>
            </w:r>
          </w:p>
        </w:tc>
        <w:tc>
          <w:tcPr>
            <w:tcW w:w="2484" w:type="pct"/>
          </w:tcPr>
          <w:p w14:paraId="7EE7F56E">
            <w:pPr>
              <w:adjustRightInd w:val="0"/>
              <w:snapToGrid w:val="0"/>
              <w:rPr>
                <w:rFonts w:ascii="Arial" w:hAnsi="Arial" w:cs="Arial"/>
                <w:sz w:val="20"/>
                <w:szCs w:val="20"/>
              </w:rPr>
            </w:pPr>
            <w:r>
              <w:rPr>
                <w:rFonts w:ascii="Arial" w:hAnsi="Arial" w:cs="Arial"/>
                <w:sz w:val="20"/>
                <w:szCs w:val="20"/>
              </w:rPr>
              <w:t>巩固拓展脱贫攻坚成果、加快同乡村振兴有效衔接、健全农村低收入人口常态化帮扶机制、支持脱贫地区乡村产业发展壮大、推动城乡融合发展等</w:t>
            </w:r>
          </w:p>
        </w:tc>
        <w:tc>
          <w:tcPr>
            <w:tcW w:w="444" w:type="pct"/>
          </w:tcPr>
          <w:p w14:paraId="23BF8170">
            <w:pPr>
              <w:adjustRightInd w:val="0"/>
              <w:snapToGrid w:val="0"/>
              <w:rPr>
                <w:rFonts w:ascii="Arial" w:hAnsi="Arial" w:cs="Arial"/>
                <w:sz w:val="20"/>
                <w:szCs w:val="20"/>
              </w:rPr>
            </w:pPr>
            <w:r>
              <w:rPr>
                <w:rFonts w:ascii="Arial" w:hAnsi="Arial" w:cs="Arial"/>
                <w:sz w:val="20"/>
                <w:szCs w:val="20"/>
              </w:rPr>
              <w:t>无</w:t>
            </w:r>
          </w:p>
        </w:tc>
        <w:tc>
          <w:tcPr>
            <w:tcW w:w="530" w:type="pct"/>
          </w:tcPr>
          <w:p w14:paraId="04D55E90">
            <w:pPr>
              <w:adjustRightInd w:val="0"/>
              <w:snapToGrid w:val="0"/>
              <w:rPr>
                <w:rFonts w:ascii="Arial" w:hAnsi="Arial" w:cs="Arial"/>
                <w:sz w:val="20"/>
                <w:szCs w:val="20"/>
              </w:rPr>
            </w:pPr>
            <w:r>
              <w:rPr>
                <w:rFonts w:ascii="Arial" w:hAnsi="Arial" w:cs="Arial"/>
                <w:sz w:val="20"/>
                <w:szCs w:val="20"/>
              </w:rPr>
              <w:t>无</w:t>
            </w:r>
          </w:p>
        </w:tc>
        <w:tc>
          <w:tcPr>
            <w:tcW w:w="375" w:type="pct"/>
          </w:tcPr>
          <w:p w14:paraId="0899689F">
            <w:pPr>
              <w:adjustRightInd w:val="0"/>
              <w:snapToGrid w:val="0"/>
              <w:rPr>
                <w:rFonts w:ascii="Arial" w:hAnsi="Arial" w:cs="Arial"/>
                <w:sz w:val="20"/>
                <w:szCs w:val="20"/>
              </w:rPr>
            </w:pPr>
            <w:r>
              <w:rPr>
                <w:rFonts w:ascii="Arial" w:hAnsi="Arial" w:cs="Arial"/>
                <w:sz w:val="20"/>
                <w:szCs w:val="20"/>
              </w:rPr>
              <w:t>非优先领域</w:t>
            </w:r>
          </w:p>
        </w:tc>
      </w:tr>
      <w:tr w14:paraId="5DE9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restart"/>
          </w:tcPr>
          <w:p w14:paraId="7F155804">
            <w:pPr>
              <w:adjustRightInd w:val="0"/>
              <w:snapToGrid w:val="0"/>
              <w:rPr>
                <w:rFonts w:ascii="Arial" w:hAnsi="Arial" w:cs="Arial"/>
                <w:b/>
                <w:bCs/>
                <w:sz w:val="20"/>
                <w:szCs w:val="20"/>
                <w:lang w:val="en-GB"/>
              </w:rPr>
            </w:pPr>
            <w:r>
              <w:rPr>
                <w:rFonts w:ascii="Arial" w:hAnsi="Arial" w:cs="Arial"/>
                <w:b/>
                <w:bCs/>
                <w:sz w:val="20"/>
                <w:szCs w:val="20"/>
                <w:lang w:val="en-GB"/>
              </w:rPr>
              <w:t xml:space="preserve">2. </w:t>
            </w:r>
            <w:r>
              <w:rPr>
                <w:rFonts w:ascii="Arial" w:hAnsi="Arial" w:cs="Arial"/>
                <w:b/>
                <w:bCs/>
                <w:sz w:val="20"/>
                <w:szCs w:val="20"/>
              </w:rPr>
              <w:t>保障重要农产品有效供给</w:t>
            </w:r>
          </w:p>
        </w:tc>
        <w:tc>
          <w:tcPr>
            <w:tcW w:w="779" w:type="pct"/>
            <w:gridSpan w:val="2"/>
          </w:tcPr>
          <w:p w14:paraId="70DE928E">
            <w:pPr>
              <w:adjustRightInd w:val="0"/>
              <w:snapToGrid w:val="0"/>
              <w:rPr>
                <w:rFonts w:ascii="Arial" w:hAnsi="Arial" w:cs="Arial"/>
                <w:sz w:val="20"/>
                <w:szCs w:val="20"/>
              </w:rPr>
            </w:pPr>
            <w:r>
              <w:rPr>
                <w:rFonts w:ascii="Arial" w:hAnsi="Arial" w:cs="Arial"/>
                <w:sz w:val="20"/>
                <w:szCs w:val="20"/>
                <w:lang w:val="en-GB"/>
              </w:rPr>
              <w:t>粮食与农产品生产稳定</w:t>
            </w:r>
          </w:p>
        </w:tc>
        <w:tc>
          <w:tcPr>
            <w:tcW w:w="2484" w:type="pct"/>
          </w:tcPr>
          <w:p w14:paraId="25A9389D">
            <w:pPr>
              <w:adjustRightInd w:val="0"/>
              <w:snapToGrid w:val="0"/>
              <w:rPr>
                <w:rFonts w:ascii="Arial" w:hAnsi="Arial" w:cs="Arial"/>
                <w:sz w:val="20"/>
                <w:szCs w:val="20"/>
              </w:rPr>
            </w:pPr>
            <w:r>
              <w:rPr>
                <w:rFonts w:ascii="Arial" w:hAnsi="Arial" w:cs="Arial"/>
                <w:sz w:val="20"/>
                <w:szCs w:val="20"/>
              </w:rPr>
              <w:t>提升粮食安全保障能力、提升畜禽绿色供给效能、渔业提质增效、优化蔬菜品种结构</w:t>
            </w:r>
          </w:p>
        </w:tc>
        <w:tc>
          <w:tcPr>
            <w:tcW w:w="444" w:type="pct"/>
          </w:tcPr>
          <w:p w14:paraId="67EDAF95">
            <w:pPr>
              <w:adjustRightInd w:val="0"/>
              <w:snapToGrid w:val="0"/>
              <w:rPr>
                <w:rFonts w:ascii="Arial" w:hAnsi="Arial" w:cs="Arial"/>
                <w:sz w:val="20"/>
                <w:szCs w:val="20"/>
              </w:rPr>
            </w:pPr>
            <w:r>
              <w:rPr>
                <w:rFonts w:ascii="Arial" w:hAnsi="Arial" w:cs="Arial"/>
                <w:sz w:val="20"/>
                <w:szCs w:val="20"/>
              </w:rPr>
              <w:t>无</w:t>
            </w:r>
          </w:p>
        </w:tc>
        <w:tc>
          <w:tcPr>
            <w:tcW w:w="530" w:type="pct"/>
          </w:tcPr>
          <w:p w14:paraId="2475CB16">
            <w:pPr>
              <w:adjustRightInd w:val="0"/>
              <w:snapToGrid w:val="0"/>
              <w:rPr>
                <w:rFonts w:ascii="Arial" w:hAnsi="Arial" w:cs="Arial"/>
                <w:sz w:val="20"/>
                <w:szCs w:val="20"/>
              </w:rPr>
            </w:pPr>
            <w:r>
              <w:rPr>
                <w:rFonts w:ascii="Arial" w:hAnsi="Arial" w:cs="Arial"/>
                <w:sz w:val="20"/>
                <w:szCs w:val="20"/>
              </w:rPr>
              <w:t>无</w:t>
            </w:r>
          </w:p>
        </w:tc>
        <w:tc>
          <w:tcPr>
            <w:tcW w:w="375" w:type="pct"/>
          </w:tcPr>
          <w:p w14:paraId="55FCCA4E">
            <w:pPr>
              <w:adjustRightInd w:val="0"/>
              <w:snapToGrid w:val="0"/>
              <w:rPr>
                <w:rFonts w:ascii="Arial" w:hAnsi="Arial" w:cs="Arial"/>
                <w:sz w:val="20"/>
                <w:szCs w:val="20"/>
              </w:rPr>
            </w:pPr>
            <w:r>
              <w:rPr>
                <w:rFonts w:ascii="Arial" w:hAnsi="Arial" w:cs="Arial"/>
                <w:sz w:val="20"/>
                <w:szCs w:val="20"/>
              </w:rPr>
              <w:t>非优先领域</w:t>
            </w:r>
          </w:p>
        </w:tc>
      </w:tr>
      <w:tr w14:paraId="1903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4E20BD0">
            <w:pPr>
              <w:adjustRightInd w:val="0"/>
              <w:snapToGrid w:val="0"/>
              <w:rPr>
                <w:rFonts w:ascii="Arial" w:hAnsi="Arial" w:cs="Arial"/>
                <w:b/>
                <w:bCs/>
                <w:sz w:val="20"/>
                <w:szCs w:val="20"/>
                <w:lang w:val="en-GB"/>
              </w:rPr>
            </w:pPr>
          </w:p>
        </w:tc>
        <w:tc>
          <w:tcPr>
            <w:tcW w:w="779" w:type="pct"/>
            <w:gridSpan w:val="2"/>
          </w:tcPr>
          <w:p w14:paraId="1EEC33FC">
            <w:pPr>
              <w:adjustRightInd w:val="0"/>
              <w:snapToGrid w:val="0"/>
              <w:rPr>
                <w:rFonts w:ascii="Arial" w:hAnsi="Arial" w:cs="Arial"/>
                <w:sz w:val="20"/>
                <w:szCs w:val="20"/>
                <w:lang w:val="en-GB"/>
              </w:rPr>
            </w:pPr>
            <w:r>
              <w:rPr>
                <w:rFonts w:ascii="Arial" w:hAnsi="Arial" w:cs="Arial"/>
                <w:sz w:val="20"/>
                <w:szCs w:val="20"/>
              </w:rPr>
              <w:t>农产品和食品安全</w:t>
            </w:r>
          </w:p>
        </w:tc>
        <w:tc>
          <w:tcPr>
            <w:tcW w:w="2484" w:type="pct"/>
          </w:tcPr>
          <w:p w14:paraId="6693031E">
            <w:pPr>
              <w:adjustRightInd w:val="0"/>
              <w:snapToGrid w:val="0"/>
              <w:rPr>
                <w:rFonts w:ascii="Arial" w:hAnsi="Arial" w:cs="Arial"/>
                <w:sz w:val="20"/>
                <w:szCs w:val="20"/>
              </w:rPr>
            </w:pPr>
            <w:r>
              <w:rPr>
                <w:rFonts w:ascii="Arial" w:hAnsi="Arial" w:cs="Arial"/>
                <w:sz w:val="20"/>
                <w:szCs w:val="20"/>
              </w:rPr>
              <w:t>推进标准化生产、推进安全绿色优质农产品发展、加强农产品质量安全风险防范</w:t>
            </w:r>
          </w:p>
        </w:tc>
        <w:tc>
          <w:tcPr>
            <w:tcW w:w="444" w:type="pct"/>
          </w:tcPr>
          <w:p w14:paraId="30EB750F">
            <w:pPr>
              <w:adjustRightInd w:val="0"/>
              <w:snapToGrid w:val="0"/>
              <w:rPr>
                <w:rFonts w:ascii="Arial" w:hAnsi="Arial" w:cs="Arial"/>
                <w:sz w:val="20"/>
                <w:szCs w:val="20"/>
              </w:rPr>
            </w:pPr>
            <w:r>
              <w:rPr>
                <w:rFonts w:ascii="Arial" w:hAnsi="Arial" w:cs="Arial"/>
                <w:sz w:val="20"/>
                <w:szCs w:val="20"/>
              </w:rPr>
              <w:t>无</w:t>
            </w:r>
          </w:p>
        </w:tc>
        <w:tc>
          <w:tcPr>
            <w:tcW w:w="530" w:type="pct"/>
          </w:tcPr>
          <w:p w14:paraId="53F68E26">
            <w:pPr>
              <w:adjustRightInd w:val="0"/>
              <w:snapToGrid w:val="0"/>
              <w:rPr>
                <w:rFonts w:ascii="Arial" w:hAnsi="Arial" w:cs="Arial"/>
                <w:sz w:val="20"/>
                <w:szCs w:val="20"/>
              </w:rPr>
            </w:pPr>
            <w:r>
              <w:rPr>
                <w:rFonts w:ascii="Arial" w:hAnsi="Arial" w:cs="Arial"/>
                <w:sz w:val="20"/>
                <w:szCs w:val="20"/>
              </w:rPr>
              <w:t>无</w:t>
            </w:r>
          </w:p>
        </w:tc>
        <w:tc>
          <w:tcPr>
            <w:tcW w:w="375" w:type="pct"/>
          </w:tcPr>
          <w:p w14:paraId="34B82F82">
            <w:pPr>
              <w:adjustRightInd w:val="0"/>
              <w:snapToGrid w:val="0"/>
              <w:rPr>
                <w:rFonts w:ascii="Arial" w:hAnsi="Arial" w:cs="Arial"/>
                <w:sz w:val="20"/>
                <w:szCs w:val="20"/>
              </w:rPr>
            </w:pPr>
            <w:r>
              <w:rPr>
                <w:rFonts w:ascii="Arial" w:hAnsi="Arial" w:cs="Arial"/>
                <w:sz w:val="20"/>
                <w:szCs w:val="20"/>
              </w:rPr>
              <w:t>非优先领域</w:t>
            </w:r>
          </w:p>
        </w:tc>
      </w:tr>
      <w:tr w14:paraId="713B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2F3B4E33">
            <w:pPr>
              <w:adjustRightInd w:val="0"/>
              <w:snapToGrid w:val="0"/>
              <w:rPr>
                <w:rFonts w:ascii="Arial" w:hAnsi="Arial" w:cs="Arial"/>
                <w:b/>
                <w:bCs/>
                <w:sz w:val="20"/>
                <w:szCs w:val="20"/>
                <w:lang w:val="en-GB"/>
              </w:rPr>
            </w:pPr>
          </w:p>
        </w:tc>
        <w:tc>
          <w:tcPr>
            <w:tcW w:w="194" w:type="pct"/>
            <w:vMerge w:val="restart"/>
          </w:tcPr>
          <w:p w14:paraId="1133C156">
            <w:pPr>
              <w:adjustRightInd w:val="0"/>
              <w:snapToGrid w:val="0"/>
              <w:rPr>
                <w:rFonts w:ascii="Arial" w:hAnsi="Arial" w:cs="Arial"/>
                <w:sz w:val="20"/>
                <w:szCs w:val="20"/>
              </w:rPr>
            </w:pPr>
            <w:r>
              <w:rPr>
                <w:rFonts w:ascii="Arial" w:hAnsi="Arial" w:cs="Arial"/>
                <w:sz w:val="20"/>
                <w:szCs w:val="20"/>
                <w:lang w:val="en-GB"/>
              </w:rPr>
              <w:t>农业绿色发展</w:t>
            </w:r>
          </w:p>
        </w:tc>
        <w:tc>
          <w:tcPr>
            <w:tcW w:w="585" w:type="pct"/>
            <w:vMerge w:val="restart"/>
          </w:tcPr>
          <w:p w14:paraId="098CCCAC">
            <w:pPr>
              <w:adjustRightInd w:val="0"/>
              <w:snapToGrid w:val="0"/>
              <w:rPr>
                <w:rFonts w:ascii="Arial" w:hAnsi="Arial" w:cs="Arial"/>
                <w:sz w:val="20"/>
                <w:szCs w:val="20"/>
              </w:rPr>
            </w:pPr>
            <w:r>
              <w:rPr>
                <w:rFonts w:ascii="Arial" w:hAnsi="Arial" w:cs="Arial"/>
                <w:sz w:val="20"/>
                <w:szCs w:val="20"/>
              </w:rPr>
              <w:t>推行农业绿色生产方式</w:t>
            </w:r>
          </w:p>
        </w:tc>
        <w:tc>
          <w:tcPr>
            <w:tcW w:w="2484" w:type="pct"/>
          </w:tcPr>
          <w:p w14:paraId="7994A072">
            <w:pPr>
              <w:adjustRightInd w:val="0"/>
              <w:snapToGrid w:val="0"/>
              <w:rPr>
                <w:rFonts w:ascii="Arial" w:hAnsi="Arial" w:cs="Arial"/>
                <w:sz w:val="20"/>
                <w:szCs w:val="20"/>
              </w:rPr>
            </w:pPr>
            <w:r>
              <w:rPr>
                <w:rFonts w:ascii="Arial" w:hAnsi="Arial" w:cs="Arial"/>
                <w:sz w:val="20"/>
                <w:szCs w:val="20"/>
              </w:rPr>
              <w:t>推广稳粮增效、水产健康生态养殖、畜禽标准化养殖等高效生态模式</w:t>
            </w:r>
          </w:p>
        </w:tc>
        <w:tc>
          <w:tcPr>
            <w:tcW w:w="444" w:type="pct"/>
          </w:tcPr>
          <w:p w14:paraId="55DC3DEF">
            <w:pPr>
              <w:adjustRightInd w:val="0"/>
              <w:snapToGrid w:val="0"/>
              <w:rPr>
                <w:rFonts w:ascii="Arial" w:hAnsi="Arial" w:cs="Arial"/>
                <w:sz w:val="20"/>
                <w:szCs w:val="20"/>
              </w:rPr>
            </w:pPr>
            <w:r>
              <w:rPr>
                <w:rFonts w:ascii="Arial" w:hAnsi="Arial" w:cs="Arial"/>
                <w:sz w:val="20"/>
                <w:szCs w:val="20"/>
              </w:rPr>
              <w:t>无</w:t>
            </w:r>
          </w:p>
        </w:tc>
        <w:tc>
          <w:tcPr>
            <w:tcW w:w="530" w:type="pct"/>
          </w:tcPr>
          <w:p w14:paraId="7D40D1DD">
            <w:pPr>
              <w:adjustRightInd w:val="0"/>
              <w:snapToGrid w:val="0"/>
              <w:rPr>
                <w:rFonts w:ascii="Arial" w:hAnsi="Arial" w:cs="Arial"/>
                <w:sz w:val="20"/>
                <w:szCs w:val="20"/>
              </w:rPr>
            </w:pPr>
            <w:r>
              <w:rPr>
                <w:rFonts w:ascii="Arial" w:hAnsi="Arial" w:cs="Arial"/>
                <w:sz w:val="20"/>
                <w:szCs w:val="20"/>
              </w:rPr>
              <w:t>无</w:t>
            </w:r>
          </w:p>
        </w:tc>
        <w:tc>
          <w:tcPr>
            <w:tcW w:w="375" w:type="pct"/>
          </w:tcPr>
          <w:p w14:paraId="3ABFF589">
            <w:pPr>
              <w:adjustRightInd w:val="0"/>
              <w:snapToGrid w:val="0"/>
              <w:rPr>
                <w:rFonts w:ascii="Arial" w:hAnsi="Arial" w:cs="Arial"/>
                <w:sz w:val="20"/>
                <w:szCs w:val="20"/>
              </w:rPr>
            </w:pPr>
            <w:r>
              <w:rPr>
                <w:rFonts w:ascii="Arial" w:hAnsi="Arial" w:cs="Arial"/>
                <w:sz w:val="20"/>
                <w:szCs w:val="20"/>
              </w:rPr>
              <w:t>非优先领域</w:t>
            </w:r>
          </w:p>
        </w:tc>
      </w:tr>
      <w:tr w14:paraId="7F69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0BCA68CD">
            <w:pPr>
              <w:adjustRightInd w:val="0"/>
              <w:snapToGrid w:val="0"/>
              <w:rPr>
                <w:rFonts w:ascii="Arial" w:hAnsi="Arial" w:cs="Arial"/>
                <w:b/>
                <w:bCs/>
                <w:sz w:val="20"/>
                <w:szCs w:val="20"/>
                <w:lang w:val="en-GB"/>
              </w:rPr>
            </w:pPr>
          </w:p>
        </w:tc>
        <w:tc>
          <w:tcPr>
            <w:tcW w:w="194" w:type="pct"/>
            <w:vMerge w:val="continue"/>
          </w:tcPr>
          <w:p w14:paraId="6F23258F">
            <w:pPr>
              <w:adjustRightInd w:val="0"/>
              <w:snapToGrid w:val="0"/>
              <w:rPr>
                <w:rFonts w:ascii="Arial" w:hAnsi="Arial" w:cs="Arial"/>
                <w:sz w:val="20"/>
                <w:szCs w:val="20"/>
              </w:rPr>
            </w:pPr>
          </w:p>
        </w:tc>
        <w:tc>
          <w:tcPr>
            <w:tcW w:w="585" w:type="pct"/>
            <w:vMerge w:val="continue"/>
          </w:tcPr>
          <w:p w14:paraId="3264DBC8">
            <w:pPr>
              <w:adjustRightInd w:val="0"/>
              <w:snapToGrid w:val="0"/>
              <w:rPr>
                <w:rFonts w:ascii="Arial" w:hAnsi="Arial" w:cs="Arial"/>
                <w:sz w:val="20"/>
                <w:szCs w:val="20"/>
              </w:rPr>
            </w:pPr>
          </w:p>
        </w:tc>
        <w:tc>
          <w:tcPr>
            <w:tcW w:w="2484" w:type="pct"/>
          </w:tcPr>
          <w:p w14:paraId="625052CF">
            <w:pPr>
              <w:adjustRightInd w:val="0"/>
              <w:snapToGrid w:val="0"/>
              <w:rPr>
                <w:rFonts w:ascii="Arial" w:hAnsi="Arial" w:cs="Arial"/>
                <w:sz w:val="20"/>
                <w:szCs w:val="20"/>
              </w:rPr>
            </w:pPr>
            <w:r>
              <w:rPr>
                <w:rFonts w:ascii="Arial" w:hAnsi="Arial" w:cs="Arial"/>
                <w:sz w:val="20"/>
                <w:szCs w:val="20"/>
              </w:rPr>
              <w:t>推行农业灌溉用水总量控制和节水农业</w:t>
            </w:r>
          </w:p>
        </w:tc>
        <w:tc>
          <w:tcPr>
            <w:tcW w:w="444" w:type="pct"/>
          </w:tcPr>
          <w:p w14:paraId="3E85B028">
            <w:pPr>
              <w:adjustRightInd w:val="0"/>
              <w:snapToGrid w:val="0"/>
              <w:rPr>
                <w:rFonts w:ascii="Arial" w:hAnsi="Arial" w:cs="Arial"/>
                <w:sz w:val="20"/>
                <w:szCs w:val="20"/>
              </w:rPr>
            </w:pPr>
            <w:r>
              <w:rPr>
                <w:rFonts w:ascii="Arial" w:hAnsi="Arial" w:cs="Arial"/>
                <w:sz w:val="20"/>
                <w:szCs w:val="20"/>
              </w:rPr>
              <w:t>无</w:t>
            </w:r>
          </w:p>
        </w:tc>
        <w:tc>
          <w:tcPr>
            <w:tcW w:w="530" w:type="pct"/>
          </w:tcPr>
          <w:p w14:paraId="29C3CA05">
            <w:pPr>
              <w:adjustRightInd w:val="0"/>
              <w:snapToGrid w:val="0"/>
              <w:rPr>
                <w:rFonts w:ascii="Arial" w:hAnsi="Arial" w:cs="Arial"/>
                <w:sz w:val="20"/>
                <w:szCs w:val="20"/>
              </w:rPr>
            </w:pPr>
            <w:r>
              <w:rPr>
                <w:rFonts w:ascii="Arial" w:hAnsi="Arial" w:cs="Arial"/>
                <w:sz w:val="20"/>
                <w:szCs w:val="20"/>
              </w:rPr>
              <w:t>无</w:t>
            </w:r>
          </w:p>
        </w:tc>
        <w:tc>
          <w:tcPr>
            <w:tcW w:w="375" w:type="pct"/>
          </w:tcPr>
          <w:p w14:paraId="5729F356">
            <w:pPr>
              <w:adjustRightInd w:val="0"/>
              <w:snapToGrid w:val="0"/>
              <w:rPr>
                <w:rFonts w:ascii="Arial" w:hAnsi="Arial" w:cs="Arial"/>
                <w:sz w:val="20"/>
                <w:szCs w:val="20"/>
              </w:rPr>
            </w:pPr>
            <w:r>
              <w:rPr>
                <w:rFonts w:ascii="Arial" w:hAnsi="Arial" w:cs="Arial"/>
                <w:sz w:val="20"/>
                <w:szCs w:val="20"/>
              </w:rPr>
              <w:t>非优先领域</w:t>
            </w:r>
          </w:p>
        </w:tc>
      </w:tr>
      <w:tr w14:paraId="5384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E6641EA">
            <w:pPr>
              <w:adjustRightInd w:val="0"/>
              <w:snapToGrid w:val="0"/>
              <w:rPr>
                <w:rFonts w:ascii="Arial" w:hAnsi="Arial" w:cs="Arial"/>
                <w:b/>
                <w:bCs/>
                <w:sz w:val="20"/>
                <w:szCs w:val="20"/>
                <w:lang w:val="en-GB"/>
              </w:rPr>
            </w:pPr>
          </w:p>
        </w:tc>
        <w:tc>
          <w:tcPr>
            <w:tcW w:w="194" w:type="pct"/>
            <w:vMerge w:val="continue"/>
          </w:tcPr>
          <w:p w14:paraId="33FB9F86">
            <w:pPr>
              <w:adjustRightInd w:val="0"/>
              <w:snapToGrid w:val="0"/>
              <w:rPr>
                <w:rFonts w:ascii="Arial" w:hAnsi="Arial" w:cs="Arial"/>
                <w:sz w:val="20"/>
                <w:szCs w:val="20"/>
              </w:rPr>
            </w:pPr>
          </w:p>
        </w:tc>
        <w:tc>
          <w:tcPr>
            <w:tcW w:w="585" w:type="pct"/>
            <w:vMerge w:val="continue"/>
          </w:tcPr>
          <w:p w14:paraId="5723B8B6">
            <w:pPr>
              <w:adjustRightInd w:val="0"/>
              <w:snapToGrid w:val="0"/>
              <w:rPr>
                <w:rFonts w:ascii="Arial" w:hAnsi="Arial" w:cs="Arial"/>
                <w:sz w:val="20"/>
                <w:szCs w:val="20"/>
              </w:rPr>
            </w:pPr>
          </w:p>
        </w:tc>
        <w:tc>
          <w:tcPr>
            <w:tcW w:w="2484" w:type="pct"/>
          </w:tcPr>
          <w:p w14:paraId="10720094">
            <w:pPr>
              <w:adjustRightInd w:val="0"/>
              <w:snapToGrid w:val="0"/>
              <w:rPr>
                <w:rFonts w:ascii="Arial" w:hAnsi="Arial" w:cs="Arial"/>
                <w:sz w:val="20"/>
                <w:szCs w:val="20"/>
              </w:rPr>
            </w:pPr>
            <w:r>
              <w:rPr>
                <w:rFonts w:ascii="Arial" w:hAnsi="Arial" w:cs="Arial"/>
                <w:sz w:val="20"/>
                <w:szCs w:val="20"/>
              </w:rPr>
              <w:t>推进化肥使用量零增长行动；推广有机肥替代化肥、测土配方施肥，比如仙桃市在各镇场</w:t>
            </w:r>
            <w:r>
              <w:rPr>
                <w:rFonts w:hint="eastAsia" w:ascii="Arial" w:hAnsi="Arial" w:cs="Arial"/>
                <w:sz w:val="20"/>
                <w:szCs w:val="20"/>
                <w:lang w:eastAsia="zh-CN"/>
              </w:rPr>
              <w:t>区实</w:t>
            </w:r>
            <w:r>
              <w:rPr>
                <w:rFonts w:ascii="Arial" w:hAnsi="Arial" w:cs="Arial"/>
                <w:sz w:val="20"/>
                <w:szCs w:val="20"/>
              </w:rPr>
              <w:t>施化肥减量项目，每年控减面积160万亩</w:t>
            </w:r>
          </w:p>
        </w:tc>
        <w:tc>
          <w:tcPr>
            <w:tcW w:w="444" w:type="pct"/>
          </w:tcPr>
          <w:p w14:paraId="008CD4CF">
            <w:pPr>
              <w:adjustRightInd w:val="0"/>
              <w:snapToGrid w:val="0"/>
              <w:rPr>
                <w:rFonts w:ascii="Arial" w:hAnsi="Arial" w:cs="Arial"/>
                <w:sz w:val="20"/>
                <w:szCs w:val="20"/>
              </w:rPr>
            </w:pPr>
            <w:r>
              <w:rPr>
                <w:rFonts w:ascii="Arial" w:hAnsi="Arial" w:cs="Arial"/>
                <w:sz w:val="20"/>
                <w:szCs w:val="20"/>
              </w:rPr>
              <w:t>同左列</w:t>
            </w:r>
          </w:p>
        </w:tc>
        <w:tc>
          <w:tcPr>
            <w:tcW w:w="530" w:type="pct"/>
          </w:tcPr>
          <w:p w14:paraId="35CCAEAA">
            <w:pPr>
              <w:adjustRightInd w:val="0"/>
              <w:snapToGrid w:val="0"/>
              <w:rPr>
                <w:rFonts w:ascii="Arial" w:hAnsi="Arial" w:cs="Arial"/>
                <w:sz w:val="20"/>
                <w:szCs w:val="20"/>
              </w:rPr>
            </w:pPr>
            <w:r>
              <w:rPr>
                <w:rFonts w:ascii="Arial" w:hAnsi="Arial" w:cs="Arial"/>
                <w:sz w:val="20"/>
                <w:szCs w:val="20"/>
              </w:rPr>
              <w:t>RA2：农业产业链绿色发展</w:t>
            </w:r>
          </w:p>
        </w:tc>
        <w:tc>
          <w:tcPr>
            <w:tcW w:w="375" w:type="pct"/>
          </w:tcPr>
          <w:p w14:paraId="085582B5">
            <w:pPr>
              <w:adjustRightInd w:val="0"/>
              <w:snapToGrid w:val="0"/>
              <w:rPr>
                <w:rFonts w:ascii="Arial" w:hAnsi="Arial" w:cs="Arial"/>
                <w:sz w:val="20"/>
                <w:szCs w:val="20"/>
              </w:rPr>
            </w:pPr>
          </w:p>
        </w:tc>
      </w:tr>
      <w:tr w14:paraId="6373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0E244947">
            <w:pPr>
              <w:adjustRightInd w:val="0"/>
              <w:snapToGrid w:val="0"/>
              <w:rPr>
                <w:rFonts w:ascii="Arial" w:hAnsi="Arial" w:cs="Arial"/>
                <w:b/>
                <w:bCs/>
                <w:sz w:val="20"/>
                <w:szCs w:val="20"/>
                <w:lang w:val="en-GB"/>
              </w:rPr>
            </w:pPr>
          </w:p>
        </w:tc>
        <w:tc>
          <w:tcPr>
            <w:tcW w:w="194" w:type="pct"/>
            <w:vMerge w:val="continue"/>
          </w:tcPr>
          <w:p w14:paraId="211BEA35">
            <w:pPr>
              <w:adjustRightInd w:val="0"/>
              <w:snapToGrid w:val="0"/>
              <w:rPr>
                <w:rFonts w:ascii="Arial" w:hAnsi="Arial" w:cs="Arial"/>
                <w:sz w:val="20"/>
                <w:szCs w:val="20"/>
              </w:rPr>
            </w:pPr>
          </w:p>
        </w:tc>
        <w:tc>
          <w:tcPr>
            <w:tcW w:w="585" w:type="pct"/>
            <w:vMerge w:val="continue"/>
          </w:tcPr>
          <w:p w14:paraId="46F4BCAF">
            <w:pPr>
              <w:adjustRightInd w:val="0"/>
              <w:snapToGrid w:val="0"/>
              <w:rPr>
                <w:rFonts w:ascii="Arial" w:hAnsi="Arial" w:cs="Arial"/>
                <w:sz w:val="20"/>
                <w:szCs w:val="20"/>
              </w:rPr>
            </w:pPr>
          </w:p>
        </w:tc>
        <w:tc>
          <w:tcPr>
            <w:tcW w:w="2484" w:type="pct"/>
          </w:tcPr>
          <w:p w14:paraId="35F75FB7">
            <w:pPr>
              <w:adjustRightInd w:val="0"/>
              <w:snapToGrid w:val="0"/>
              <w:jc w:val="both"/>
              <w:rPr>
                <w:rFonts w:ascii="Arial" w:hAnsi="Arial" w:cs="Arial"/>
                <w:sz w:val="20"/>
                <w:szCs w:val="20"/>
              </w:rPr>
            </w:pPr>
            <w:r>
              <w:rPr>
                <w:rFonts w:ascii="Arial" w:hAnsi="Arial" w:cs="Arial"/>
                <w:sz w:val="20"/>
                <w:szCs w:val="20"/>
              </w:rPr>
              <w:t>推进农药使用量零增长行动，强化病虫害统防统治和全程绿色防控，比如仙桃市在各镇场区实施绿色防控100万亩</w:t>
            </w:r>
          </w:p>
        </w:tc>
        <w:tc>
          <w:tcPr>
            <w:tcW w:w="444" w:type="pct"/>
          </w:tcPr>
          <w:p w14:paraId="6E1FB6A9">
            <w:pPr>
              <w:adjustRightInd w:val="0"/>
              <w:snapToGrid w:val="0"/>
              <w:rPr>
                <w:rFonts w:ascii="Arial" w:hAnsi="Arial" w:cs="Arial"/>
                <w:sz w:val="20"/>
                <w:szCs w:val="20"/>
              </w:rPr>
            </w:pPr>
            <w:r>
              <w:rPr>
                <w:rFonts w:ascii="Arial" w:hAnsi="Arial" w:cs="Arial"/>
                <w:sz w:val="20"/>
                <w:szCs w:val="20"/>
              </w:rPr>
              <w:t>同左列</w:t>
            </w:r>
          </w:p>
        </w:tc>
        <w:tc>
          <w:tcPr>
            <w:tcW w:w="530" w:type="pct"/>
          </w:tcPr>
          <w:p w14:paraId="51AF60AA">
            <w:pPr>
              <w:adjustRightInd w:val="0"/>
              <w:snapToGrid w:val="0"/>
              <w:rPr>
                <w:rFonts w:ascii="Arial" w:hAnsi="Arial" w:cs="Arial"/>
                <w:sz w:val="20"/>
                <w:szCs w:val="20"/>
              </w:rPr>
            </w:pPr>
            <w:r>
              <w:rPr>
                <w:rFonts w:ascii="Arial" w:hAnsi="Arial" w:cs="Arial"/>
                <w:sz w:val="20"/>
                <w:szCs w:val="20"/>
              </w:rPr>
              <w:t xml:space="preserve">RA2：农业产业链绿色发展 </w:t>
            </w:r>
          </w:p>
        </w:tc>
        <w:tc>
          <w:tcPr>
            <w:tcW w:w="375" w:type="pct"/>
          </w:tcPr>
          <w:p w14:paraId="501C298E">
            <w:pPr>
              <w:adjustRightInd w:val="0"/>
              <w:snapToGrid w:val="0"/>
              <w:rPr>
                <w:rFonts w:ascii="Arial" w:hAnsi="Arial" w:cs="Arial"/>
                <w:sz w:val="20"/>
                <w:szCs w:val="20"/>
              </w:rPr>
            </w:pPr>
          </w:p>
        </w:tc>
      </w:tr>
      <w:tr w14:paraId="40CC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515C97A7">
            <w:pPr>
              <w:adjustRightInd w:val="0"/>
              <w:snapToGrid w:val="0"/>
              <w:rPr>
                <w:rFonts w:ascii="Arial" w:hAnsi="Arial" w:cs="Arial"/>
                <w:b/>
                <w:bCs/>
                <w:sz w:val="20"/>
                <w:szCs w:val="20"/>
              </w:rPr>
            </w:pPr>
          </w:p>
        </w:tc>
        <w:tc>
          <w:tcPr>
            <w:tcW w:w="194" w:type="pct"/>
            <w:vMerge w:val="continue"/>
          </w:tcPr>
          <w:p w14:paraId="6832CA6A">
            <w:pPr>
              <w:adjustRightInd w:val="0"/>
              <w:snapToGrid w:val="0"/>
              <w:rPr>
                <w:rFonts w:ascii="Arial" w:hAnsi="Arial" w:cs="Arial"/>
                <w:sz w:val="20"/>
                <w:szCs w:val="20"/>
              </w:rPr>
            </w:pPr>
          </w:p>
        </w:tc>
        <w:tc>
          <w:tcPr>
            <w:tcW w:w="585" w:type="pct"/>
            <w:vMerge w:val="restart"/>
          </w:tcPr>
          <w:p w14:paraId="7F8C4229">
            <w:pPr>
              <w:adjustRightInd w:val="0"/>
              <w:snapToGrid w:val="0"/>
              <w:rPr>
                <w:rFonts w:ascii="Arial" w:hAnsi="Arial" w:cs="Arial"/>
                <w:sz w:val="20"/>
                <w:szCs w:val="20"/>
              </w:rPr>
            </w:pPr>
            <w:r>
              <w:rPr>
                <w:rFonts w:ascii="Arial" w:hAnsi="Arial" w:cs="Arial"/>
                <w:sz w:val="20"/>
                <w:szCs w:val="20"/>
              </w:rPr>
              <w:t>农业废弃物资源化利用</w:t>
            </w:r>
          </w:p>
        </w:tc>
        <w:tc>
          <w:tcPr>
            <w:tcW w:w="2484" w:type="pct"/>
          </w:tcPr>
          <w:p w14:paraId="42D31030">
            <w:pPr>
              <w:adjustRightInd w:val="0"/>
              <w:snapToGrid w:val="0"/>
              <w:rPr>
                <w:rFonts w:ascii="Arial" w:hAnsi="Arial" w:cs="Arial"/>
                <w:sz w:val="20"/>
                <w:szCs w:val="20"/>
              </w:rPr>
            </w:pPr>
            <w:r>
              <w:rPr>
                <w:rFonts w:ascii="Arial" w:hAnsi="Arial" w:cs="Arial"/>
                <w:sz w:val="20"/>
                <w:szCs w:val="20"/>
              </w:rPr>
              <w:t>整县推进畜禽粪污资源化利用，比如仙桃市计划投资15亿元在全县各场区推进畜禽粪污资源化利用项目</w:t>
            </w:r>
          </w:p>
        </w:tc>
        <w:tc>
          <w:tcPr>
            <w:tcW w:w="444" w:type="pct"/>
          </w:tcPr>
          <w:p w14:paraId="3620CD7E">
            <w:pPr>
              <w:adjustRightInd w:val="0"/>
              <w:snapToGrid w:val="0"/>
              <w:rPr>
                <w:rFonts w:ascii="Arial" w:hAnsi="Arial" w:cs="Arial"/>
                <w:sz w:val="20"/>
                <w:szCs w:val="20"/>
              </w:rPr>
            </w:pPr>
            <w:r>
              <w:rPr>
                <w:rFonts w:ascii="Arial" w:hAnsi="Arial" w:cs="Arial"/>
                <w:sz w:val="20"/>
                <w:szCs w:val="20"/>
              </w:rPr>
              <w:t>同左列</w:t>
            </w:r>
          </w:p>
        </w:tc>
        <w:tc>
          <w:tcPr>
            <w:tcW w:w="530" w:type="pct"/>
          </w:tcPr>
          <w:p w14:paraId="23781C43">
            <w:pPr>
              <w:adjustRightInd w:val="0"/>
              <w:snapToGrid w:val="0"/>
              <w:rPr>
                <w:rFonts w:ascii="Arial" w:hAnsi="Arial" w:cs="Arial"/>
                <w:sz w:val="20"/>
                <w:szCs w:val="20"/>
              </w:rPr>
            </w:pPr>
            <w:r>
              <w:rPr>
                <w:rFonts w:ascii="Arial" w:hAnsi="Arial" w:cs="Arial"/>
                <w:sz w:val="20"/>
                <w:szCs w:val="20"/>
              </w:rPr>
              <w:t xml:space="preserve">RA2：农业产业链绿色发展 </w:t>
            </w:r>
          </w:p>
        </w:tc>
        <w:tc>
          <w:tcPr>
            <w:tcW w:w="375" w:type="pct"/>
          </w:tcPr>
          <w:p w14:paraId="51E106BD">
            <w:pPr>
              <w:adjustRightInd w:val="0"/>
              <w:snapToGrid w:val="0"/>
              <w:rPr>
                <w:rFonts w:ascii="Arial" w:hAnsi="Arial" w:cs="Arial"/>
                <w:sz w:val="20"/>
                <w:szCs w:val="20"/>
              </w:rPr>
            </w:pPr>
          </w:p>
        </w:tc>
      </w:tr>
      <w:tr w14:paraId="35FC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A2618C4">
            <w:pPr>
              <w:adjustRightInd w:val="0"/>
              <w:snapToGrid w:val="0"/>
              <w:rPr>
                <w:rFonts w:ascii="Arial" w:hAnsi="Arial" w:cs="Arial"/>
                <w:b/>
                <w:bCs/>
                <w:sz w:val="20"/>
                <w:szCs w:val="20"/>
              </w:rPr>
            </w:pPr>
          </w:p>
        </w:tc>
        <w:tc>
          <w:tcPr>
            <w:tcW w:w="194" w:type="pct"/>
            <w:vMerge w:val="continue"/>
          </w:tcPr>
          <w:p w14:paraId="229102F4">
            <w:pPr>
              <w:adjustRightInd w:val="0"/>
              <w:snapToGrid w:val="0"/>
              <w:rPr>
                <w:rFonts w:ascii="Arial" w:hAnsi="Arial" w:cs="Arial"/>
                <w:sz w:val="20"/>
                <w:szCs w:val="20"/>
              </w:rPr>
            </w:pPr>
          </w:p>
        </w:tc>
        <w:tc>
          <w:tcPr>
            <w:tcW w:w="585" w:type="pct"/>
            <w:vMerge w:val="continue"/>
          </w:tcPr>
          <w:p w14:paraId="302B05E9">
            <w:pPr>
              <w:adjustRightInd w:val="0"/>
              <w:snapToGrid w:val="0"/>
              <w:rPr>
                <w:rFonts w:ascii="Arial" w:hAnsi="Arial" w:cs="Arial"/>
                <w:sz w:val="20"/>
                <w:szCs w:val="20"/>
              </w:rPr>
            </w:pPr>
          </w:p>
        </w:tc>
        <w:tc>
          <w:tcPr>
            <w:tcW w:w="2484" w:type="pct"/>
          </w:tcPr>
          <w:p w14:paraId="7D8E891E">
            <w:pPr>
              <w:adjustRightInd w:val="0"/>
              <w:snapToGrid w:val="0"/>
              <w:rPr>
                <w:rFonts w:ascii="Arial" w:hAnsi="Arial" w:cs="Arial"/>
                <w:sz w:val="20"/>
                <w:szCs w:val="20"/>
              </w:rPr>
            </w:pPr>
            <w:r>
              <w:rPr>
                <w:rFonts w:ascii="Arial" w:hAnsi="Arial" w:cs="Arial"/>
                <w:sz w:val="20"/>
                <w:szCs w:val="20"/>
              </w:rPr>
              <w:t>加强养殖尾水治理，比如仙桃市计划投资5亿元在全县各场区采用“两坝三池”、分离塔+人工湿地等模式，降低尾水中氮、磷物质的含量，使池塘尾水达标排放</w:t>
            </w:r>
          </w:p>
        </w:tc>
        <w:tc>
          <w:tcPr>
            <w:tcW w:w="444" w:type="pct"/>
          </w:tcPr>
          <w:p w14:paraId="602F3D0E">
            <w:pPr>
              <w:adjustRightInd w:val="0"/>
              <w:snapToGrid w:val="0"/>
              <w:rPr>
                <w:rFonts w:ascii="Arial" w:hAnsi="Arial" w:cs="Arial"/>
                <w:sz w:val="20"/>
                <w:szCs w:val="20"/>
              </w:rPr>
            </w:pPr>
            <w:r>
              <w:rPr>
                <w:rFonts w:ascii="Arial" w:hAnsi="Arial" w:cs="Arial"/>
                <w:sz w:val="20"/>
                <w:szCs w:val="20"/>
              </w:rPr>
              <w:t>同左列</w:t>
            </w:r>
          </w:p>
        </w:tc>
        <w:tc>
          <w:tcPr>
            <w:tcW w:w="530" w:type="pct"/>
          </w:tcPr>
          <w:p w14:paraId="0F46375A">
            <w:pPr>
              <w:adjustRightInd w:val="0"/>
              <w:snapToGrid w:val="0"/>
              <w:rPr>
                <w:rFonts w:ascii="Arial" w:hAnsi="Arial" w:cs="Arial"/>
                <w:sz w:val="20"/>
                <w:szCs w:val="20"/>
              </w:rPr>
            </w:pPr>
            <w:r>
              <w:rPr>
                <w:rFonts w:ascii="Arial" w:hAnsi="Arial" w:cs="Arial"/>
                <w:sz w:val="20"/>
                <w:szCs w:val="20"/>
              </w:rPr>
              <w:t xml:space="preserve">RA4：恢复和保护农业生态系统 </w:t>
            </w:r>
          </w:p>
        </w:tc>
        <w:tc>
          <w:tcPr>
            <w:tcW w:w="375" w:type="pct"/>
          </w:tcPr>
          <w:p w14:paraId="13C63570">
            <w:pPr>
              <w:adjustRightInd w:val="0"/>
              <w:snapToGrid w:val="0"/>
              <w:rPr>
                <w:rFonts w:ascii="Arial" w:hAnsi="Arial" w:cs="Arial"/>
                <w:sz w:val="20"/>
                <w:szCs w:val="20"/>
                <w:highlight w:val="yellow"/>
              </w:rPr>
            </w:pPr>
          </w:p>
        </w:tc>
      </w:tr>
      <w:tr w14:paraId="1497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3FCE9971">
            <w:pPr>
              <w:adjustRightInd w:val="0"/>
              <w:snapToGrid w:val="0"/>
              <w:rPr>
                <w:rFonts w:ascii="Arial" w:hAnsi="Arial" w:cs="Arial"/>
                <w:b/>
                <w:bCs/>
                <w:sz w:val="20"/>
                <w:szCs w:val="20"/>
              </w:rPr>
            </w:pPr>
          </w:p>
        </w:tc>
        <w:tc>
          <w:tcPr>
            <w:tcW w:w="194" w:type="pct"/>
            <w:vMerge w:val="continue"/>
          </w:tcPr>
          <w:p w14:paraId="73E15F3C">
            <w:pPr>
              <w:adjustRightInd w:val="0"/>
              <w:snapToGrid w:val="0"/>
              <w:rPr>
                <w:rFonts w:ascii="Arial" w:hAnsi="Arial" w:cs="Arial"/>
                <w:sz w:val="20"/>
                <w:szCs w:val="20"/>
              </w:rPr>
            </w:pPr>
          </w:p>
        </w:tc>
        <w:tc>
          <w:tcPr>
            <w:tcW w:w="585" w:type="pct"/>
            <w:vMerge w:val="continue"/>
          </w:tcPr>
          <w:p w14:paraId="280F832D">
            <w:pPr>
              <w:adjustRightInd w:val="0"/>
              <w:snapToGrid w:val="0"/>
              <w:rPr>
                <w:rFonts w:ascii="Arial" w:hAnsi="Arial" w:cs="Arial"/>
                <w:sz w:val="20"/>
                <w:szCs w:val="20"/>
              </w:rPr>
            </w:pPr>
          </w:p>
        </w:tc>
        <w:tc>
          <w:tcPr>
            <w:tcW w:w="2484" w:type="pct"/>
          </w:tcPr>
          <w:p w14:paraId="76280AEB">
            <w:pPr>
              <w:adjustRightInd w:val="0"/>
              <w:snapToGrid w:val="0"/>
              <w:rPr>
                <w:rFonts w:ascii="Arial" w:hAnsi="Arial" w:cs="Arial"/>
                <w:sz w:val="20"/>
                <w:szCs w:val="20"/>
              </w:rPr>
            </w:pPr>
            <w:r>
              <w:rPr>
                <w:rFonts w:ascii="Arial" w:hAnsi="Arial" w:cs="Arial"/>
                <w:sz w:val="20"/>
                <w:szCs w:val="20"/>
              </w:rPr>
              <w:t>普及标准地膜，研发可降解农膜，推广废旧农膜机械化捡拾和专业化回收等</w:t>
            </w:r>
          </w:p>
        </w:tc>
        <w:tc>
          <w:tcPr>
            <w:tcW w:w="444" w:type="pct"/>
          </w:tcPr>
          <w:p w14:paraId="7937D4B3">
            <w:pPr>
              <w:adjustRightInd w:val="0"/>
              <w:snapToGrid w:val="0"/>
              <w:rPr>
                <w:rFonts w:ascii="Arial" w:hAnsi="Arial" w:cs="Arial"/>
                <w:sz w:val="20"/>
                <w:szCs w:val="20"/>
                <w:highlight w:val="yellow"/>
              </w:rPr>
            </w:pPr>
            <w:r>
              <w:rPr>
                <w:rFonts w:ascii="Arial" w:hAnsi="Arial" w:cs="Arial"/>
                <w:sz w:val="20"/>
                <w:szCs w:val="20"/>
              </w:rPr>
              <w:t>无</w:t>
            </w:r>
          </w:p>
        </w:tc>
        <w:tc>
          <w:tcPr>
            <w:tcW w:w="530" w:type="pct"/>
          </w:tcPr>
          <w:p w14:paraId="6DE7D6A1">
            <w:pPr>
              <w:adjustRightInd w:val="0"/>
              <w:snapToGrid w:val="0"/>
              <w:rPr>
                <w:rFonts w:ascii="Arial" w:hAnsi="Arial" w:cs="Arial"/>
                <w:sz w:val="20"/>
                <w:szCs w:val="20"/>
                <w:highlight w:val="yellow"/>
              </w:rPr>
            </w:pPr>
            <w:r>
              <w:rPr>
                <w:rFonts w:ascii="Arial" w:hAnsi="Arial" w:cs="Arial"/>
                <w:sz w:val="20"/>
                <w:szCs w:val="20"/>
              </w:rPr>
              <w:t>无</w:t>
            </w:r>
          </w:p>
        </w:tc>
        <w:tc>
          <w:tcPr>
            <w:tcW w:w="375" w:type="pct"/>
          </w:tcPr>
          <w:p w14:paraId="7221C536">
            <w:pPr>
              <w:adjustRightInd w:val="0"/>
              <w:snapToGrid w:val="0"/>
              <w:rPr>
                <w:rFonts w:ascii="Arial" w:hAnsi="Arial" w:cs="Arial"/>
                <w:sz w:val="20"/>
                <w:szCs w:val="20"/>
                <w:highlight w:val="yellow"/>
              </w:rPr>
            </w:pPr>
            <w:r>
              <w:rPr>
                <w:rFonts w:ascii="Arial" w:hAnsi="Arial" w:cs="Arial"/>
                <w:sz w:val="20"/>
                <w:szCs w:val="20"/>
              </w:rPr>
              <w:t>非优先领域</w:t>
            </w:r>
          </w:p>
        </w:tc>
      </w:tr>
      <w:tr w14:paraId="4E60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19624FF8">
            <w:pPr>
              <w:adjustRightInd w:val="0"/>
              <w:snapToGrid w:val="0"/>
              <w:rPr>
                <w:rFonts w:ascii="Arial" w:hAnsi="Arial" w:cs="Arial"/>
                <w:b/>
                <w:bCs/>
                <w:sz w:val="20"/>
                <w:szCs w:val="20"/>
              </w:rPr>
            </w:pPr>
          </w:p>
        </w:tc>
        <w:tc>
          <w:tcPr>
            <w:tcW w:w="194" w:type="pct"/>
            <w:vMerge w:val="continue"/>
          </w:tcPr>
          <w:p w14:paraId="6BA2A1E0">
            <w:pPr>
              <w:adjustRightInd w:val="0"/>
              <w:snapToGrid w:val="0"/>
              <w:rPr>
                <w:rFonts w:ascii="Arial" w:hAnsi="Arial" w:cs="Arial"/>
                <w:sz w:val="20"/>
                <w:szCs w:val="20"/>
              </w:rPr>
            </w:pPr>
          </w:p>
        </w:tc>
        <w:tc>
          <w:tcPr>
            <w:tcW w:w="585" w:type="pct"/>
          </w:tcPr>
          <w:p w14:paraId="592904D6">
            <w:pPr>
              <w:adjustRightInd w:val="0"/>
              <w:snapToGrid w:val="0"/>
              <w:rPr>
                <w:rFonts w:ascii="Arial" w:hAnsi="Arial" w:cs="Arial"/>
                <w:sz w:val="20"/>
                <w:szCs w:val="20"/>
              </w:rPr>
            </w:pPr>
            <w:r>
              <w:rPr>
                <w:rFonts w:ascii="Arial" w:hAnsi="Arial" w:cs="Arial"/>
                <w:sz w:val="20"/>
                <w:szCs w:val="20"/>
              </w:rPr>
              <w:t>农业生态保护</w:t>
            </w:r>
          </w:p>
        </w:tc>
        <w:tc>
          <w:tcPr>
            <w:tcW w:w="2484" w:type="pct"/>
          </w:tcPr>
          <w:p w14:paraId="15AB6654">
            <w:pPr>
              <w:adjustRightInd w:val="0"/>
              <w:snapToGrid w:val="0"/>
              <w:rPr>
                <w:rFonts w:ascii="Arial" w:hAnsi="Arial" w:cs="Arial"/>
                <w:sz w:val="20"/>
                <w:szCs w:val="20"/>
              </w:rPr>
            </w:pPr>
            <w:r>
              <w:rPr>
                <w:rFonts w:ascii="Arial" w:hAnsi="Arial" w:cs="Arial"/>
                <w:sz w:val="20"/>
                <w:szCs w:val="20"/>
              </w:rPr>
              <w:t>推进农业野生植物资源保护，开展外来入侵物种普查，</w:t>
            </w:r>
            <w:r>
              <w:rPr>
                <w:rFonts w:hint="eastAsia" w:ascii="Arial" w:hAnsi="Arial" w:cs="Arial"/>
                <w:sz w:val="20"/>
                <w:szCs w:val="20"/>
                <w:lang w:eastAsia="zh-CN"/>
              </w:rPr>
              <w:t>长江十年禁渔</w:t>
            </w:r>
            <w:r>
              <w:rPr>
                <w:rFonts w:ascii="Arial" w:hAnsi="Arial" w:cs="Arial"/>
                <w:sz w:val="20"/>
                <w:szCs w:val="20"/>
              </w:rPr>
              <w:t>等</w:t>
            </w:r>
          </w:p>
        </w:tc>
        <w:tc>
          <w:tcPr>
            <w:tcW w:w="444" w:type="pct"/>
          </w:tcPr>
          <w:p w14:paraId="6B815D29">
            <w:pPr>
              <w:adjustRightInd w:val="0"/>
              <w:snapToGrid w:val="0"/>
              <w:rPr>
                <w:rFonts w:ascii="Arial" w:hAnsi="Arial" w:cs="Arial"/>
                <w:sz w:val="20"/>
                <w:szCs w:val="20"/>
              </w:rPr>
            </w:pPr>
            <w:r>
              <w:rPr>
                <w:rFonts w:ascii="Arial" w:hAnsi="Arial" w:cs="Arial"/>
                <w:sz w:val="20"/>
                <w:szCs w:val="20"/>
              </w:rPr>
              <w:t>无</w:t>
            </w:r>
          </w:p>
        </w:tc>
        <w:tc>
          <w:tcPr>
            <w:tcW w:w="530" w:type="pct"/>
          </w:tcPr>
          <w:p w14:paraId="5CDFD405">
            <w:pPr>
              <w:adjustRightInd w:val="0"/>
              <w:snapToGrid w:val="0"/>
              <w:rPr>
                <w:rFonts w:ascii="Arial" w:hAnsi="Arial" w:cs="Arial"/>
                <w:sz w:val="20"/>
                <w:szCs w:val="20"/>
              </w:rPr>
            </w:pPr>
            <w:r>
              <w:rPr>
                <w:rFonts w:ascii="Arial" w:hAnsi="Arial" w:cs="Arial"/>
                <w:sz w:val="20"/>
                <w:szCs w:val="20"/>
              </w:rPr>
              <w:t>无</w:t>
            </w:r>
          </w:p>
        </w:tc>
        <w:tc>
          <w:tcPr>
            <w:tcW w:w="375" w:type="pct"/>
          </w:tcPr>
          <w:p w14:paraId="11D5B3D6">
            <w:pPr>
              <w:adjustRightInd w:val="0"/>
              <w:snapToGrid w:val="0"/>
              <w:rPr>
                <w:rFonts w:ascii="Arial" w:hAnsi="Arial" w:cs="Arial"/>
                <w:sz w:val="20"/>
                <w:szCs w:val="20"/>
              </w:rPr>
            </w:pPr>
            <w:r>
              <w:rPr>
                <w:rFonts w:ascii="Arial" w:hAnsi="Arial" w:cs="Arial"/>
                <w:sz w:val="20"/>
                <w:szCs w:val="20"/>
              </w:rPr>
              <w:t>非优先领域</w:t>
            </w:r>
          </w:p>
        </w:tc>
      </w:tr>
      <w:tr w14:paraId="1B64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5B4CD6A">
            <w:pPr>
              <w:adjustRightInd w:val="0"/>
              <w:snapToGrid w:val="0"/>
              <w:rPr>
                <w:rFonts w:ascii="Arial" w:hAnsi="Arial" w:cs="Arial"/>
                <w:b/>
                <w:bCs/>
                <w:sz w:val="20"/>
                <w:szCs w:val="20"/>
              </w:rPr>
            </w:pPr>
          </w:p>
        </w:tc>
        <w:tc>
          <w:tcPr>
            <w:tcW w:w="194" w:type="pct"/>
            <w:vMerge w:val="restart"/>
          </w:tcPr>
          <w:p w14:paraId="34394BE7">
            <w:pPr>
              <w:adjustRightInd w:val="0"/>
              <w:snapToGrid w:val="0"/>
              <w:rPr>
                <w:rFonts w:ascii="Arial" w:hAnsi="Arial" w:cs="Arial"/>
                <w:sz w:val="20"/>
                <w:szCs w:val="20"/>
              </w:rPr>
            </w:pPr>
            <w:r>
              <w:rPr>
                <w:rFonts w:ascii="Arial" w:hAnsi="Arial" w:cs="Arial"/>
                <w:sz w:val="20"/>
                <w:szCs w:val="20"/>
                <w:lang w:val="en-GB"/>
              </w:rPr>
              <w:t>耕地保护</w:t>
            </w:r>
          </w:p>
        </w:tc>
        <w:tc>
          <w:tcPr>
            <w:tcW w:w="585" w:type="pct"/>
          </w:tcPr>
          <w:p w14:paraId="1521A214">
            <w:pPr>
              <w:adjustRightInd w:val="0"/>
              <w:snapToGrid w:val="0"/>
              <w:rPr>
                <w:rFonts w:ascii="Arial" w:hAnsi="Arial" w:cs="Arial"/>
                <w:sz w:val="20"/>
                <w:szCs w:val="20"/>
              </w:rPr>
            </w:pPr>
            <w:r>
              <w:rPr>
                <w:rFonts w:ascii="Arial" w:hAnsi="Arial" w:cs="Arial"/>
                <w:sz w:val="20"/>
                <w:szCs w:val="20"/>
              </w:rPr>
              <w:t>耕地保护与利用</w:t>
            </w:r>
          </w:p>
        </w:tc>
        <w:tc>
          <w:tcPr>
            <w:tcW w:w="2484" w:type="pct"/>
          </w:tcPr>
          <w:p w14:paraId="4653A5D8">
            <w:pPr>
              <w:adjustRightInd w:val="0"/>
              <w:snapToGrid w:val="0"/>
              <w:rPr>
                <w:rFonts w:ascii="Arial" w:hAnsi="Arial" w:cs="Arial"/>
                <w:sz w:val="20"/>
                <w:szCs w:val="20"/>
              </w:rPr>
            </w:pPr>
            <w:r>
              <w:rPr>
                <w:rFonts w:ascii="Arial" w:hAnsi="Arial" w:cs="Arial"/>
                <w:sz w:val="20"/>
                <w:szCs w:val="20"/>
              </w:rPr>
              <w:t>严禁违规占用耕地，严格控制非农建设占用耕地，规范发展稻田综合种养等</w:t>
            </w:r>
          </w:p>
        </w:tc>
        <w:tc>
          <w:tcPr>
            <w:tcW w:w="444" w:type="pct"/>
          </w:tcPr>
          <w:p w14:paraId="120E1B60">
            <w:pPr>
              <w:adjustRightInd w:val="0"/>
              <w:snapToGrid w:val="0"/>
              <w:rPr>
                <w:rFonts w:ascii="Arial" w:hAnsi="Arial" w:cs="Arial"/>
                <w:sz w:val="20"/>
                <w:szCs w:val="20"/>
              </w:rPr>
            </w:pPr>
            <w:r>
              <w:rPr>
                <w:rFonts w:ascii="Arial" w:hAnsi="Arial" w:cs="Arial"/>
                <w:sz w:val="20"/>
                <w:szCs w:val="20"/>
              </w:rPr>
              <w:t>无</w:t>
            </w:r>
          </w:p>
        </w:tc>
        <w:tc>
          <w:tcPr>
            <w:tcW w:w="530" w:type="pct"/>
          </w:tcPr>
          <w:p w14:paraId="423CE56D">
            <w:pPr>
              <w:adjustRightInd w:val="0"/>
              <w:snapToGrid w:val="0"/>
              <w:rPr>
                <w:rFonts w:ascii="Arial" w:hAnsi="Arial" w:cs="Arial"/>
                <w:sz w:val="20"/>
                <w:szCs w:val="20"/>
              </w:rPr>
            </w:pPr>
            <w:r>
              <w:rPr>
                <w:rFonts w:ascii="Arial" w:hAnsi="Arial" w:cs="Arial"/>
                <w:sz w:val="20"/>
                <w:szCs w:val="20"/>
              </w:rPr>
              <w:t>无</w:t>
            </w:r>
          </w:p>
        </w:tc>
        <w:tc>
          <w:tcPr>
            <w:tcW w:w="375" w:type="pct"/>
          </w:tcPr>
          <w:p w14:paraId="353A5F3D">
            <w:pPr>
              <w:adjustRightInd w:val="0"/>
              <w:snapToGrid w:val="0"/>
              <w:rPr>
                <w:rFonts w:ascii="Arial" w:hAnsi="Arial" w:cs="Arial"/>
                <w:sz w:val="20"/>
                <w:szCs w:val="20"/>
              </w:rPr>
            </w:pPr>
            <w:r>
              <w:rPr>
                <w:rFonts w:ascii="Arial" w:hAnsi="Arial" w:cs="Arial"/>
                <w:sz w:val="20"/>
                <w:szCs w:val="20"/>
              </w:rPr>
              <w:t>非优先领域</w:t>
            </w:r>
          </w:p>
        </w:tc>
      </w:tr>
      <w:tr w14:paraId="660E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906568F">
            <w:pPr>
              <w:adjustRightInd w:val="0"/>
              <w:snapToGrid w:val="0"/>
              <w:rPr>
                <w:rFonts w:ascii="Arial" w:hAnsi="Arial" w:cs="Arial"/>
                <w:b/>
                <w:bCs/>
                <w:sz w:val="20"/>
                <w:szCs w:val="20"/>
              </w:rPr>
            </w:pPr>
          </w:p>
        </w:tc>
        <w:tc>
          <w:tcPr>
            <w:tcW w:w="194" w:type="pct"/>
            <w:vMerge w:val="continue"/>
          </w:tcPr>
          <w:p w14:paraId="03339A8C">
            <w:pPr>
              <w:adjustRightInd w:val="0"/>
              <w:snapToGrid w:val="0"/>
              <w:rPr>
                <w:rFonts w:ascii="Arial" w:hAnsi="Arial" w:cs="Arial"/>
                <w:sz w:val="20"/>
                <w:szCs w:val="20"/>
              </w:rPr>
            </w:pPr>
          </w:p>
        </w:tc>
        <w:tc>
          <w:tcPr>
            <w:tcW w:w="585" w:type="pct"/>
          </w:tcPr>
          <w:p w14:paraId="6DBCA43B">
            <w:pPr>
              <w:adjustRightInd w:val="0"/>
              <w:snapToGrid w:val="0"/>
              <w:rPr>
                <w:rFonts w:ascii="Arial" w:hAnsi="Arial" w:cs="Arial"/>
                <w:sz w:val="20"/>
                <w:szCs w:val="20"/>
              </w:rPr>
            </w:pPr>
            <w:r>
              <w:rPr>
                <w:rFonts w:ascii="Arial" w:hAnsi="Arial" w:cs="Arial"/>
                <w:sz w:val="20"/>
                <w:szCs w:val="20"/>
              </w:rPr>
              <w:t>高标准农田建设</w:t>
            </w:r>
          </w:p>
        </w:tc>
        <w:tc>
          <w:tcPr>
            <w:tcW w:w="2484" w:type="pct"/>
          </w:tcPr>
          <w:p w14:paraId="78F54E30">
            <w:pPr>
              <w:adjustRightInd w:val="0"/>
              <w:snapToGrid w:val="0"/>
              <w:rPr>
                <w:rFonts w:ascii="Arial" w:hAnsi="Arial" w:cs="Arial"/>
                <w:sz w:val="20"/>
                <w:szCs w:val="20"/>
              </w:rPr>
            </w:pPr>
            <w:r>
              <w:rPr>
                <w:rFonts w:ascii="Arial" w:hAnsi="Arial" w:cs="Arial"/>
                <w:sz w:val="20"/>
                <w:szCs w:val="20"/>
              </w:rPr>
              <w:t>按“田、土、水、路、林、电、技、管”方针完成1119万亩高标准农田建设任务</w:t>
            </w:r>
          </w:p>
        </w:tc>
        <w:tc>
          <w:tcPr>
            <w:tcW w:w="444" w:type="pct"/>
          </w:tcPr>
          <w:p w14:paraId="75C587C9">
            <w:pPr>
              <w:adjustRightInd w:val="0"/>
              <w:snapToGrid w:val="0"/>
              <w:rPr>
                <w:rFonts w:ascii="Arial" w:hAnsi="Arial" w:cs="Arial"/>
                <w:sz w:val="20"/>
                <w:szCs w:val="20"/>
              </w:rPr>
            </w:pPr>
            <w:r>
              <w:rPr>
                <w:rFonts w:ascii="Arial" w:hAnsi="Arial" w:cs="Arial"/>
                <w:sz w:val="20"/>
                <w:szCs w:val="20"/>
              </w:rPr>
              <w:t>无</w:t>
            </w:r>
          </w:p>
        </w:tc>
        <w:tc>
          <w:tcPr>
            <w:tcW w:w="530" w:type="pct"/>
          </w:tcPr>
          <w:p w14:paraId="35F73011">
            <w:pPr>
              <w:adjustRightInd w:val="0"/>
              <w:snapToGrid w:val="0"/>
              <w:rPr>
                <w:rFonts w:ascii="Arial" w:hAnsi="Arial" w:cs="Arial"/>
                <w:sz w:val="20"/>
                <w:szCs w:val="20"/>
              </w:rPr>
            </w:pPr>
            <w:r>
              <w:rPr>
                <w:rFonts w:ascii="Arial" w:hAnsi="Arial" w:cs="Arial"/>
                <w:sz w:val="20"/>
                <w:szCs w:val="20"/>
              </w:rPr>
              <w:t>无</w:t>
            </w:r>
          </w:p>
        </w:tc>
        <w:tc>
          <w:tcPr>
            <w:tcW w:w="375" w:type="pct"/>
          </w:tcPr>
          <w:p w14:paraId="66FBD45D">
            <w:pPr>
              <w:adjustRightInd w:val="0"/>
              <w:snapToGrid w:val="0"/>
              <w:rPr>
                <w:rFonts w:ascii="Arial" w:hAnsi="Arial" w:cs="Arial"/>
                <w:sz w:val="20"/>
                <w:szCs w:val="20"/>
              </w:rPr>
            </w:pPr>
            <w:r>
              <w:rPr>
                <w:rFonts w:ascii="Arial" w:hAnsi="Arial" w:cs="Arial"/>
                <w:sz w:val="20"/>
                <w:szCs w:val="20"/>
              </w:rPr>
              <w:t>非优先领域</w:t>
            </w:r>
          </w:p>
        </w:tc>
      </w:tr>
      <w:tr w14:paraId="0270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657F706B">
            <w:pPr>
              <w:adjustRightInd w:val="0"/>
              <w:snapToGrid w:val="0"/>
              <w:rPr>
                <w:rFonts w:ascii="Arial" w:hAnsi="Arial" w:cs="Arial"/>
                <w:b/>
                <w:bCs/>
                <w:sz w:val="20"/>
                <w:szCs w:val="20"/>
              </w:rPr>
            </w:pPr>
          </w:p>
        </w:tc>
        <w:tc>
          <w:tcPr>
            <w:tcW w:w="194" w:type="pct"/>
            <w:vMerge w:val="continue"/>
          </w:tcPr>
          <w:p w14:paraId="6508A537">
            <w:pPr>
              <w:adjustRightInd w:val="0"/>
              <w:snapToGrid w:val="0"/>
              <w:rPr>
                <w:rFonts w:ascii="Arial" w:hAnsi="Arial" w:cs="Arial"/>
                <w:sz w:val="20"/>
                <w:szCs w:val="20"/>
              </w:rPr>
            </w:pPr>
          </w:p>
        </w:tc>
        <w:tc>
          <w:tcPr>
            <w:tcW w:w="585" w:type="pct"/>
            <w:vMerge w:val="restart"/>
          </w:tcPr>
          <w:p w14:paraId="17B721D9">
            <w:pPr>
              <w:adjustRightInd w:val="0"/>
              <w:snapToGrid w:val="0"/>
              <w:rPr>
                <w:rFonts w:ascii="Arial" w:hAnsi="Arial" w:cs="Arial"/>
                <w:sz w:val="20"/>
                <w:szCs w:val="20"/>
              </w:rPr>
            </w:pPr>
            <w:r>
              <w:rPr>
                <w:rFonts w:ascii="Arial" w:hAnsi="Arial" w:cs="Arial"/>
                <w:sz w:val="20"/>
                <w:szCs w:val="20"/>
              </w:rPr>
              <w:t>提升耕地地力</w:t>
            </w:r>
          </w:p>
        </w:tc>
        <w:tc>
          <w:tcPr>
            <w:tcW w:w="2484" w:type="pct"/>
          </w:tcPr>
          <w:p w14:paraId="679A46C4">
            <w:pPr>
              <w:adjustRightInd w:val="0"/>
              <w:snapToGrid w:val="0"/>
              <w:jc w:val="both"/>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完善耕地质量监测网络和大数据平台，开展年度县域耕地质量等级调查评价等</w:t>
            </w:r>
          </w:p>
        </w:tc>
        <w:tc>
          <w:tcPr>
            <w:tcW w:w="444" w:type="pct"/>
          </w:tcPr>
          <w:p w14:paraId="2499AB3D">
            <w:pPr>
              <w:adjustRightInd w:val="0"/>
              <w:snapToGrid w:val="0"/>
              <w:rPr>
                <w:rFonts w:ascii="Arial" w:hAnsi="Arial" w:cs="Arial"/>
                <w:sz w:val="20"/>
                <w:szCs w:val="20"/>
                <w:highlight w:val="cyan"/>
              </w:rPr>
            </w:pPr>
            <w:r>
              <w:rPr>
                <w:rFonts w:ascii="Arial" w:hAnsi="Arial" w:cs="Arial"/>
                <w:sz w:val="20"/>
                <w:szCs w:val="20"/>
              </w:rPr>
              <w:t>无</w:t>
            </w:r>
          </w:p>
        </w:tc>
        <w:tc>
          <w:tcPr>
            <w:tcW w:w="530" w:type="pct"/>
          </w:tcPr>
          <w:p w14:paraId="364B1B6D">
            <w:pPr>
              <w:adjustRightInd w:val="0"/>
              <w:snapToGrid w:val="0"/>
              <w:rPr>
                <w:rFonts w:ascii="Arial" w:hAnsi="Arial" w:cs="Arial"/>
                <w:sz w:val="20"/>
                <w:szCs w:val="20"/>
                <w:highlight w:val="cyan"/>
              </w:rPr>
            </w:pPr>
            <w:r>
              <w:rPr>
                <w:rFonts w:ascii="Arial" w:hAnsi="Arial" w:cs="Arial"/>
                <w:sz w:val="20"/>
                <w:szCs w:val="20"/>
              </w:rPr>
              <w:t>无</w:t>
            </w:r>
          </w:p>
        </w:tc>
        <w:tc>
          <w:tcPr>
            <w:tcW w:w="375" w:type="pct"/>
          </w:tcPr>
          <w:p w14:paraId="7A67FD62">
            <w:pPr>
              <w:adjustRightInd w:val="0"/>
              <w:snapToGrid w:val="0"/>
              <w:rPr>
                <w:rFonts w:ascii="Arial" w:hAnsi="Arial" w:cs="Arial"/>
                <w:sz w:val="20"/>
                <w:szCs w:val="20"/>
              </w:rPr>
            </w:pPr>
            <w:r>
              <w:rPr>
                <w:rFonts w:ascii="Arial" w:hAnsi="Arial" w:cs="Arial"/>
                <w:sz w:val="20"/>
                <w:szCs w:val="20"/>
              </w:rPr>
              <w:t>非优先领域</w:t>
            </w:r>
          </w:p>
        </w:tc>
      </w:tr>
      <w:tr w14:paraId="1DF1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360A3858">
            <w:pPr>
              <w:adjustRightInd w:val="0"/>
              <w:snapToGrid w:val="0"/>
              <w:rPr>
                <w:rFonts w:ascii="Arial" w:hAnsi="Arial" w:cs="Arial"/>
                <w:b/>
                <w:bCs/>
                <w:sz w:val="20"/>
                <w:szCs w:val="20"/>
              </w:rPr>
            </w:pPr>
          </w:p>
        </w:tc>
        <w:tc>
          <w:tcPr>
            <w:tcW w:w="194" w:type="pct"/>
            <w:vMerge w:val="continue"/>
          </w:tcPr>
          <w:p w14:paraId="412050F4">
            <w:pPr>
              <w:adjustRightInd w:val="0"/>
              <w:snapToGrid w:val="0"/>
              <w:rPr>
                <w:rFonts w:ascii="Arial" w:hAnsi="Arial" w:cs="Arial"/>
                <w:sz w:val="20"/>
                <w:szCs w:val="20"/>
              </w:rPr>
            </w:pPr>
          </w:p>
        </w:tc>
        <w:tc>
          <w:tcPr>
            <w:tcW w:w="585" w:type="pct"/>
            <w:vMerge w:val="continue"/>
          </w:tcPr>
          <w:p w14:paraId="0FCE67FA">
            <w:pPr>
              <w:adjustRightInd w:val="0"/>
              <w:snapToGrid w:val="0"/>
              <w:rPr>
                <w:rFonts w:ascii="Arial" w:hAnsi="Arial" w:cs="Arial"/>
                <w:sz w:val="20"/>
                <w:szCs w:val="20"/>
              </w:rPr>
            </w:pPr>
          </w:p>
        </w:tc>
        <w:tc>
          <w:tcPr>
            <w:tcW w:w="2484" w:type="pct"/>
          </w:tcPr>
          <w:p w14:paraId="7C77924C">
            <w:pPr>
              <w:adjustRightInd w:val="0"/>
              <w:snapToGrid w:val="0"/>
              <w:jc w:val="both"/>
              <w:rPr>
                <w:rFonts w:ascii="Arial" w:hAnsi="Arial" w:cs="Arial"/>
                <w:sz w:val="20"/>
                <w:szCs w:val="20"/>
              </w:rPr>
            </w:pPr>
            <w:r>
              <w:rPr>
                <w:rFonts w:ascii="Arial" w:hAnsi="Arial" w:cs="Arial"/>
                <w:sz w:val="20"/>
                <w:szCs w:val="20"/>
              </w:rPr>
              <w:t>酸化土壤治理和重金属污染耕地治理</w:t>
            </w:r>
          </w:p>
        </w:tc>
        <w:tc>
          <w:tcPr>
            <w:tcW w:w="444" w:type="pct"/>
          </w:tcPr>
          <w:p w14:paraId="12345B75">
            <w:pPr>
              <w:adjustRightInd w:val="0"/>
              <w:snapToGrid w:val="0"/>
              <w:rPr>
                <w:rFonts w:ascii="Arial" w:hAnsi="Arial" w:cs="Arial"/>
                <w:sz w:val="20"/>
                <w:szCs w:val="20"/>
                <w:highlight w:val="cyan"/>
              </w:rPr>
            </w:pPr>
            <w:r>
              <w:rPr>
                <w:rFonts w:ascii="Arial" w:hAnsi="Arial" w:cs="Arial"/>
                <w:sz w:val="20"/>
                <w:szCs w:val="20"/>
              </w:rPr>
              <w:t>无</w:t>
            </w:r>
          </w:p>
        </w:tc>
        <w:tc>
          <w:tcPr>
            <w:tcW w:w="530" w:type="pct"/>
          </w:tcPr>
          <w:p w14:paraId="7DA55611">
            <w:pPr>
              <w:adjustRightInd w:val="0"/>
              <w:snapToGrid w:val="0"/>
              <w:rPr>
                <w:rFonts w:ascii="Arial" w:hAnsi="Arial" w:cs="Arial"/>
                <w:sz w:val="20"/>
                <w:szCs w:val="20"/>
                <w:highlight w:val="cyan"/>
              </w:rPr>
            </w:pPr>
            <w:r>
              <w:rPr>
                <w:rFonts w:ascii="Arial" w:hAnsi="Arial" w:cs="Arial"/>
                <w:sz w:val="20"/>
                <w:szCs w:val="20"/>
              </w:rPr>
              <w:t>无</w:t>
            </w:r>
          </w:p>
        </w:tc>
        <w:tc>
          <w:tcPr>
            <w:tcW w:w="375" w:type="pct"/>
          </w:tcPr>
          <w:p w14:paraId="4AE3BDB7">
            <w:pPr>
              <w:adjustRightInd w:val="0"/>
              <w:snapToGrid w:val="0"/>
              <w:rPr>
                <w:rFonts w:ascii="Arial" w:hAnsi="Arial" w:cs="Arial"/>
                <w:sz w:val="20"/>
                <w:szCs w:val="20"/>
              </w:rPr>
            </w:pPr>
            <w:r>
              <w:rPr>
                <w:rFonts w:ascii="Arial" w:hAnsi="Arial" w:cs="Arial"/>
                <w:sz w:val="20"/>
                <w:szCs w:val="20"/>
              </w:rPr>
              <w:t>非优先领域</w:t>
            </w:r>
          </w:p>
        </w:tc>
      </w:tr>
      <w:tr w14:paraId="5599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restart"/>
          </w:tcPr>
          <w:p w14:paraId="6600E840">
            <w:pPr>
              <w:adjustRightInd w:val="0"/>
              <w:snapToGrid w:val="0"/>
              <w:rPr>
                <w:rFonts w:ascii="Arial" w:hAnsi="Arial" w:cs="Arial"/>
                <w:b/>
                <w:bCs/>
                <w:sz w:val="20"/>
                <w:szCs w:val="20"/>
              </w:rPr>
            </w:pPr>
            <w:r>
              <w:rPr>
                <w:rFonts w:ascii="Arial" w:hAnsi="Arial" w:cs="Arial"/>
                <w:b/>
                <w:bCs/>
                <w:sz w:val="20"/>
                <w:szCs w:val="20"/>
                <w:lang w:val="en-GB"/>
              </w:rPr>
              <w:t xml:space="preserve">3. </w:t>
            </w:r>
            <w:r>
              <w:rPr>
                <w:rFonts w:ascii="Arial" w:hAnsi="Arial" w:cs="Arial"/>
                <w:b/>
                <w:bCs/>
                <w:sz w:val="20"/>
                <w:szCs w:val="20"/>
              </w:rPr>
              <w:t>打造现代农业全产业链</w:t>
            </w:r>
          </w:p>
        </w:tc>
        <w:tc>
          <w:tcPr>
            <w:tcW w:w="779" w:type="pct"/>
            <w:gridSpan w:val="2"/>
          </w:tcPr>
          <w:p w14:paraId="4BDAD902">
            <w:pPr>
              <w:adjustRightInd w:val="0"/>
              <w:snapToGrid w:val="0"/>
              <w:rPr>
                <w:rFonts w:ascii="Arial" w:hAnsi="Arial" w:cs="Arial"/>
                <w:sz w:val="20"/>
                <w:szCs w:val="20"/>
              </w:rPr>
            </w:pPr>
            <w:r>
              <w:rPr>
                <w:rFonts w:ascii="Arial" w:hAnsi="Arial" w:cs="Arial"/>
                <w:sz w:val="20"/>
                <w:szCs w:val="20"/>
              </w:rPr>
              <w:t>优化农业产业布局</w:t>
            </w:r>
          </w:p>
        </w:tc>
        <w:tc>
          <w:tcPr>
            <w:tcW w:w="2484" w:type="pct"/>
          </w:tcPr>
          <w:p w14:paraId="25C401F0">
            <w:pPr>
              <w:adjustRightInd w:val="0"/>
              <w:snapToGrid w:val="0"/>
              <w:rPr>
                <w:rFonts w:ascii="Arial" w:hAnsi="Arial" w:cs="Arial"/>
                <w:sz w:val="20"/>
                <w:szCs w:val="20"/>
              </w:rPr>
            </w:pPr>
            <w:r>
              <w:rPr>
                <w:rFonts w:ascii="Arial" w:hAnsi="Arial" w:cs="Arial"/>
                <w:sz w:val="20"/>
                <w:szCs w:val="20"/>
              </w:rPr>
              <w:t>优化种植业、养殖业、农产品加工业、乡村旅游业等布局</w:t>
            </w:r>
          </w:p>
        </w:tc>
        <w:tc>
          <w:tcPr>
            <w:tcW w:w="444" w:type="pct"/>
          </w:tcPr>
          <w:p w14:paraId="6B8B105A">
            <w:pPr>
              <w:adjustRightInd w:val="0"/>
              <w:snapToGrid w:val="0"/>
              <w:rPr>
                <w:rFonts w:ascii="Arial" w:hAnsi="Arial" w:cs="Arial"/>
                <w:sz w:val="20"/>
                <w:szCs w:val="20"/>
              </w:rPr>
            </w:pPr>
            <w:r>
              <w:rPr>
                <w:rFonts w:ascii="Arial" w:hAnsi="Arial" w:cs="Arial"/>
                <w:sz w:val="20"/>
                <w:szCs w:val="20"/>
              </w:rPr>
              <w:t>无</w:t>
            </w:r>
          </w:p>
        </w:tc>
        <w:tc>
          <w:tcPr>
            <w:tcW w:w="530" w:type="pct"/>
          </w:tcPr>
          <w:p w14:paraId="50FF476D">
            <w:pPr>
              <w:adjustRightInd w:val="0"/>
              <w:snapToGrid w:val="0"/>
              <w:rPr>
                <w:rFonts w:ascii="Arial" w:hAnsi="Arial" w:cs="Arial"/>
                <w:sz w:val="20"/>
                <w:szCs w:val="20"/>
              </w:rPr>
            </w:pPr>
            <w:r>
              <w:rPr>
                <w:rFonts w:ascii="Arial" w:hAnsi="Arial" w:cs="Arial"/>
                <w:sz w:val="20"/>
                <w:szCs w:val="20"/>
              </w:rPr>
              <w:t>无</w:t>
            </w:r>
          </w:p>
        </w:tc>
        <w:tc>
          <w:tcPr>
            <w:tcW w:w="375" w:type="pct"/>
          </w:tcPr>
          <w:p w14:paraId="6C640ED1">
            <w:pPr>
              <w:adjustRightInd w:val="0"/>
              <w:snapToGrid w:val="0"/>
              <w:rPr>
                <w:rFonts w:ascii="Arial" w:hAnsi="Arial" w:cs="Arial"/>
                <w:sz w:val="20"/>
                <w:szCs w:val="20"/>
              </w:rPr>
            </w:pPr>
            <w:r>
              <w:rPr>
                <w:rFonts w:ascii="Arial" w:hAnsi="Arial" w:cs="Arial"/>
                <w:sz w:val="20"/>
                <w:szCs w:val="20"/>
              </w:rPr>
              <w:t>非优先领域</w:t>
            </w:r>
          </w:p>
        </w:tc>
      </w:tr>
      <w:tr w14:paraId="7B49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4996138">
            <w:pPr>
              <w:adjustRightInd w:val="0"/>
              <w:snapToGrid w:val="0"/>
              <w:rPr>
                <w:rFonts w:ascii="Arial" w:hAnsi="Arial" w:cs="Arial"/>
                <w:b/>
                <w:bCs/>
                <w:sz w:val="20"/>
                <w:szCs w:val="20"/>
              </w:rPr>
            </w:pPr>
          </w:p>
        </w:tc>
        <w:tc>
          <w:tcPr>
            <w:tcW w:w="779" w:type="pct"/>
            <w:gridSpan w:val="2"/>
          </w:tcPr>
          <w:p w14:paraId="3B3396AF">
            <w:pPr>
              <w:adjustRightInd w:val="0"/>
              <w:snapToGrid w:val="0"/>
              <w:rPr>
                <w:rFonts w:ascii="Arial" w:hAnsi="Arial" w:cs="Arial"/>
                <w:sz w:val="20"/>
                <w:szCs w:val="20"/>
              </w:rPr>
            </w:pPr>
            <w:r>
              <w:rPr>
                <w:rFonts w:ascii="Arial" w:hAnsi="Arial" w:cs="Arial"/>
                <w:sz w:val="20"/>
                <w:szCs w:val="20"/>
              </w:rPr>
              <w:t>构建现代农业产业体系</w:t>
            </w:r>
          </w:p>
        </w:tc>
        <w:tc>
          <w:tcPr>
            <w:tcW w:w="2484" w:type="pct"/>
          </w:tcPr>
          <w:p w14:paraId="45287C6F">
            <w:pPr>
              <w:adjustRightInd w:val="0"/>
              <w:snapToGrid w:val="0"/>
              <w:rPr>
                <w:rFonts w:ascii="Arial" w:hAnsi="Arial" w:cs="Arial"/>
                <w:sz w:val="20"/>
                <w:szCs w:val="20"/>
              </w:rPr>
            </w:pPr>
            <w:r>
              <w:rPr>
                <w:rFonts w:ascii="Arial" w:hAnsi="Arial" w:cs="Arial"/>
                <w:sz w:val="20"/>
                <w:szCs w:val="20"/>
              </w:rPr>
              <w:t>发展稻米、生猪、小龙虾、蔬菜等十大重点农业产业链；壮大农业产业化龙头企业；打造国内外知名农业品牌</w:t>
            </w:r>
          </w:p>
        </w:tc>
        <w:tc>
          <w:tcPr>
            <w:tcW w:w="444" w:type="pct"/>
          </w:tcPr>
          <w:p w14:paraId="3D3A8564">
            <w:pPr>
              <w:adjustRightInd w:val="0"/>
              <w:snapToGrid w:val="0"/>
              <w:rPr>
                <w:rFonts w:ascii="Arial" w:hAnsi="Arial" w:cs="Arial"/>
                <w:sz w:val="20"/>
                <w:szCs w:val="20"/>
              </w:rPr>
            </w:pPr>
            <w:r>
              <w:rPr>
                <w:rFonts w:ascii="Arial" w:hAnsi="Arial" w:cs="Arial"/>
                <w:sz w:val="20"/>
                <w:szCs w:val="20"/>
              </w:rPr>
              <w:t>无</w:t>
            </w:r>
          </w:p>
        </w:tc>
        <w:tc>
          <w:tcPr>
            <w:tcW w:w="530" w:type="pct"/>
          </w:tcPr>
          <w:p w14:paraId="091C29B8">
            <w:pPr>
              <w:adjustRightInd w:val="0"/>
              <w:snapToGrid w:val="0"/>
              <w:rPr>
                <w:rFonts w:ascii="Arial" w:hAnsi="Arial" w:cs="Arial"/>
                <w:sz w:val="20"/>
                <w:szCs w:val="20"/>
              </w:rPr>
            </w:pPr>
            <w:r>
              <w:rPr>
                <w:rFonts w:ascii="Arial" w:hAnsi="Arial" w:cs="Arial"/>
                <w:sz w:val="20"/>
                <w:szCs w:val="20"/>
              </w:rPr>
              <w:t>无</w:t>
            </w:r>
          </w:p>
        </w:tc>
        <w:tc>
          <w:tcPr>
            <w:tcW w:w="375" w:type="pct"/>
          </w:tcPr>
          <w:p w14:paraId="187929E6">
            <w:pPr>
              <w:adjustRightInd w:val="0"/>
              <w:snapToGrid w:val="0"/>
              <w:rPr>
                <w:rFonts w:ascii="Arial" w:hAnsi="Arial" w:cs="Arial"/>
                <w:sz w:val="20"/>
                <w:szCs w:val="20"/>
              </w:rPr>
            </w:pPr>
            <w:r>
              <w:rPr>
                <w:rFonts w:ascii="Arial" w:hAnsi="Arial" w:cs="Arial"/>
                <w:sz w:val="20"/>
                <w:szCs w:val="20"/>
              </w:rPr>
              <w:t>非优先领域</w:t>
            </w:r>
          </w:p>
        </w:tc>
      </w:tr>
      <w:tr w14:paraId="4E35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3EE73E56">
            <w:pPr>
              <w:adjustRightInd w:val="0"/>
              <w:snapToGrid w:val="0"/>
              <w:rPr>
                <w:rFonts w:ascii="Arial" w:hAnsi="Arial" w:cs="Arial"/>
                <w:b/>
                <w:bCs/>
                <w:sz w:val="20"/>
                <w:szCs w:val="20"/>
              </w:rPr>
            </w:pPr>
          </w:p>
        </w:tc>
        <w:tc>
          <w:tcPr>
            <w:tcW w:w="779" w:type="pct"/>
            <w:gridSpan w:val="2"/>
          </w:tcPr>
          <w:p w14:paraId="484F3080">
            <w:pPr>
              <w:adjustRightInd w:val="0"/>
              <w:snapToGrid w:val="0"/>
              <w:rPr>
                <w:rFonts w:ascii="Arial" w:hAnsi="Arial" w:cs="Arial"/>
                <w:sz w:val="20"/>
                <w:szCs w:val="20"/>
              </w:rPr>
            </w:pPr>
            <w:r>
              <w:rPr>
                <w:rFonts w:ascii="Arial" w:hAnsi="Arial" w:cs="Arial"/>
                <w:sz w:val="20"/>
                <w:szCs w:val="20"/>
              </w:rPr>
              <w:t>完善现代农业经营体系</w:t>
            </w:r>
          </w:p>
        </w:tc>
        <w:tc>
          <w:tcPr>
            <w:tcW w:w="2484" w:type="pct"/>
          </w:tcPr>
          <w:p w14:paraId="21046E60">
            <w:pPr>
              <w:adjustRightInd w:val="0"/>
              <w:snapToGrid w:val="0"/>
              <w:rPr>
                <w:rFonts w:ascii="Arial" w:hAnsi="Arial" w:cs="Arial"/>
                <w:sz w:val="20"/>
                <w:szCs w:val="20"/>
              </w:rPr>
            </w:pPr>
            <w:r>
              <w:rPr>
                <w:rFonts w:ascii="Arial" w:hAnsi="Arial" w:cs="Arial"/>
                <w:sz w:val="20"/>
                <w:szCs w:val="20"/>
              </w:rPr>
              <w:t>培育提升农业合作社和家庭农场、健全专业化社会化服务体系、推进农村一二三产业融合发展、深化农业对外开放合作</w:t>
            </w:r>
          </w:p>
        </w:tc>
        <w:tc>
          <w:tcPr>
            <w:tcW w:w="444" w:type="pct"/>
          </w:tcPr>
          <w:p w14:paraId="420B247A">
            <w:pPr>
              <w:adjustRightInd w:val="0"/>
              <w:snapToGrid w:val="0"/>
              <w:rPr>
                <w:rFonts w:ascii="Arial" w:hAnsi="Arial" w:cs="Arial"/>
                <w:sz w:val="20"/>
                <w:szCs w:val="20"/>
              </w:rPr>
            </w:pPr>
            <w:r>
              <w:rPr>
                <w:rFonts w:ascii="Arial" w:hAnsi="Arial" w:cs="Arial"/>
                <w:sz w:val="20"/>
                <w:szCs w:val="20"/>
              </w:rPr>
              <w:t>无</w:t>
            </w:r>
          </w:p>
        </w:tc>
        <w:tc>
          <w:tcPr>
            <w:tcW w:w="530" w:type="pct"/>
          </w:tcPr>
          <w:p w14:paraId="408340B9">
            <w:pPr>
              <w:adjustRightInd w:val="0"/>
              <w:snapToGrid w:val="0"/>
              <w:rPr>
                <w:rFonts w:ascii="Arial" w:hAnsi="Arial" w:cs="Arial"/>
                <w:sz w:val="20"/>
                <w:szCs w:val="20"/>
              </w:rPr>
            </w:pPr>
            <w:r>
              <w:rPr>
                <w:rFonts w:ascii="Arial" w:hAnsi="Arial" w:cs="Arial"/>
                <w:sz w:val="20"/>
                <w:szCs w:val="20"/>
              </w:rPr>
              <w:t>无</w:t>
            </w:r>
          </w:p>
        </w:tc>
        <w:tc>
          <w:tcPr>
            <w:tcW w:w="375" w:type="pct"/>
          </w:tcPr>
          <w:p w14:paraId="0656E256">
            <w:pPr>
              <w:adjustRightInd w:val="0"/>
              <w:snapToGrid w:val="0"/>
              <w:rPr>
                <w:rFonts w:ascii="Arial" w:hAnsi="Arial" w:cs="Arial"/>
                <w:sz w:val="20"/>
                <w:szCs w:val="20"/>
              </w:rPr>
            </w:pPr>
            <w:r>
              <w:rPr>
                <w:rFonts w:ascii="Arial" w:hAnsi="Arial" w:cs="Arial"/>
                <w:sz w:val="20"/>
                <w:szCs w:val="20"/>
              </w:rPr>
              <w:t>非优先领域</w:t>
            </w:r>
          </w:p>
        </w:tc>
      </w:tr>
      <w:tr w14:paraId="6D37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tcPr>
          <w:p w14:paraId="7BE07EFD">
            <w:pPr>
              <w:adjustRightInd w:val="0"/>
              <w:snapToGrid w:val="0"/>
              <w:rPr>
                <w:rFonts w:ascii="Arial" w:hAnsi="Arial" w:cs="Arial"/>
              </w:rPr>
            </w:pPr>
            <w:r>
              <w:rPr>
                <w:rFonts w:ascii="Arial" w:hAnsi="Arial" w:cs="Arial"/>
                <w:b/>
                <w:bCs/>
                <w:sz w:val="20"/>
                <w:szCs w:val="20"/>
                <w:lang w:val="en-GB"/>
              </w:rPr>
              <w:t>4.</w:t>
            </w:r>
            <w:r>
              <w:rPr>
                <w:rFonts w:ascii="Arial" w:hAnsi="Arial" w:cs="Arial"/>
                <w:b/>
                <w:bCs/>
                <w:sz w:val="20"/>
                <w:szCs w:val="20"/>
              </w:rPr>
              <w:t xml:space="preserve"> 强化农业科技创新</w:t>
            </w:r>
          </w:p>
        </w:tc>
        <w:tc>
          <w:tcPr>
            <w:tcW w:w="779" w:type="pct"/>
            <w:gridSpan w:val="2"/>
          </w:tcPr>
          <w:p w14:paraId="6E74A432">
            <w:pPr>
              <w:adjustRightInd w:val="0"/>
              <w:snapToGrid w:val="0"/>
              <w:rPr>
                <w:rFonts w:ascii="Arial" w:hAnsi="Arial" w:cs="Arial"/>
                <w:sz w:val="20"/>
                <w:szCs w:val="20"/>
                <w:lang w:val="en-GB"/>
              </w:rPr>
            </w:pPr>
            <w:r>
              <w:rPr>
                <w:rFonts w:ascii="Arial" w:hAnsi="Arial" w:cs="Arial"/>
                <w:sz w:val="20"/>
                <w:szCs w:val="20"/>
                <w:lang w:val="en-GB"/>
              </w:rPr>
              <w:t>农业科技创新</w:t>
            </w:r>
          </w:p>
        </w:tc>
        <w:tc>
          <w:tcPr>
            <w:tcW w:w="2484" w:type="pct"/>
          </w:tcPr>
          <w:p w14:paraId="0BCC0EC6">
            <w:pPr>
              <w:adjustRightInd w:val="0"/>
              <w:snapToGrid w:val="0"/>
              <w:rPr>
                <w:rFonts w:ascii="Arial" w:hAnsi="Arial" w:cs="Arial"/>
                <w:sz w:val="20"/>
                <w:szCs w:val="20"/>
              </w:rPr>
            </w:pPr>
            <w:r>
              <w:rPr>
                <w:rFonts w:ascii="Arial" w:hAnsi="Arial" w:cs="Arial"/>
                <w:sz w:val="20"/>
                <w:szCs w:val="20"/>
              </w:rPr>
              <w:t>加强农业科技创新平台建设、加快农业关键核心技术攻关、推动农业科技成果转化、提升农业机械化水平、加快推进农业信息化等</w:t>
            </w:r>
          </w:p>
        </w:tc>
        <w:tc>
          <w:tcPr>
            <w:tcW w:w="444" w:type="pct"/>
          </w:tcPr>
          <w:p w14:paraId="2E5F781B">
            <w:pPr>
              <w:adjustRightInd w:val="0"/>
              <w:snapToGrid w:val="0"/>
              <w:rPr>
                <w:rFonts w:ascii="Arial" w:hAnsi="Arial" w:cs="Arial"/>
                <w:sz w:val="20"/>
                <w:szCs w:val="20"/>
              </w:rPr>
            </w:pPr>
            <w:r>
              <w:rPr>
                <w:rFonts w:ascii="Arial" w:hAnsi="Arial" w:cs="Arial"/>
                <w:sz w:val="20"/>
                <w:szCs w:val="20"/>
              </w:rPr>
              <w:t>无</w:t>
            </w:r>
          </w:p>
        </w:tc>
        <w:tc>
          <w:tcPr>
            <w:tcW w:w="530" w:type="pct"/>
          </w:tcPr>
          <w:p w14:paraId="1F8F63CD">
            <w:pPr>
              <w:adjustRightInd w:val="0"/>
              <w:snapToGrid w:val="0"/>
              <w:rPr>
                <w:rFonts w:ascii="Arial" w:hAnsi="Arial" w:cs="Arial"/>
                <w:sz w:val="20"/>
                <w:szCs w:val="20"/>
              </w:rPr>
            </w:pPr>
            <w:r>
              <w:rPr>
                <w:rFonts w:ascii="Arial" w:hAnsi="Arial" w:cs="Arial"/>
                <w:sz w:val="20"/>
                <w:szCs w:val="20"/>
              </w:rPr>
              <w:t>无</w:t>
            </w:r>
          </w:p>
        </w:tc>
        <w:tc>
          <w:tcPr>
            <w:tcW w:w="375" w:type="pct"/>
          </w:tcPr>
          <w:p w14:paraId="5AF46798">
            <w:pPr>
              <w:adjustRightInd w:val="0"/>
              <w:snapToGrid w:val="0"/>
              <w:rPr>
                <w:rFonts w:ascii="Arial" w:hAnsi="Arial" w:cs="Arial"/>
                <w:sz w:val="20"/>
                <w:szCs w:val="20"/>
              </w:rPr>
            </w:pPr>
            <w:r>
              <w:rPr>
                <w:rFonts w:ascii="Arial" w:hAnsi="Arial" w:cs="Arial"/>
                <w:sz w:val="20"/>
                <w:szCs w:val="20"/>
              </w:rPr>
              <w:t>非优先领域</w:t>
            </w:r>
          </w:p>
        </w:tc>
      </w:tr>
      <w:tr w14:paraId="2B7C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restart"/>
          </w:tcPr>
          <w:p w14:paraId="741E49E3">
            <w:pPr>
              <w:adjustRightInd w:val="0"/>
              <w:snapToGrid w:val="0"/>
              <w:rPr>
                <w:rFonts w:ascii="Arial" w:hAnsi="Arial" w:cs="Arial"/>
                <w:b/>
                <w:bCs/>
                <w:sz w:val="20"/>
                <w:szCs w:val="20"/>
                <w:lang w:val="en-GB"/>
              </w:rPr>
            </w:pPr>
            <w:r>
              <w:rPr>
                <w:rFonts w:ascii="Arial" w:hAnsi="Arial" w:cs="Arial"/>
                <w:b/>
                <w:bCs/>
                <w:sz w:val="20"/>
                <w:szCs w:val="20"/>
              </w:rPr>
              <w:t>5. 实施乡村建设行动</w:t>
            </w:r>
          </w:p>
        </w:tc>
        <w:tc>
          <w:tcPr>
            <w:tcW w:w="194" w:type="pct"/>
            <w:vMerge w:val="restart"/>
          </w:tcPr>
          <w:p w14:paraId="49056EFE">
            <w:pPr>
              <w:adjustRightInd w:val="0"/>
              <w:snapToGrid w:val="0"/>
              <w:rPr>
                <w:rFonts w:ascii="Arial" w:hAnsi="Arial" w:cs="Arial"/>
                <w:sz w:val="20"/>
                <w:szCs w:val="20"/>
              </w:rPr>
            </w:pPr>
            <w:r>
              <w:rPr>
                <w:rFonts w:ascii="Arial" w:hAnsi="Arial" w:cs="Arial"/>
                <w:sz w:val="20"/>
                <w:szCs w:val="20"/>
              </w:rPr>
              <w:t>乡村规划</w:t>
            </w:r>
          </w:p>
        </w:tc>
        <w:tc>
          <w:tcPr>
            <w:tcW w:w="585" w:type="pct"/>
          </w:tcPr>
          <w:p w14:paraId="707FE4E8">
            <w:pPr>
              <w:adjustRightInd w:val="0"/>
              <w:snapToGrid w:val="0"/>
              <w:rPr>
                <w:rFonts w:ascii="Arial" w:hAnsi="Arial" w:cs="Arial"/>
                <w:sz w:val="20"/>
                <w:szCs w:val="20"/>
              </w:rPr>
            </w:pPr>
            <w:r>
              <w:rPr>
                <w:rFonts w:ascii="Arial" w:hAnsi="Arial" w:cs="Arial"/>
                <w:sz w:val="20"/>
                <w:szCs w:val="20"/>
              </w:rPr>
              <w:t>完善乡村规划体系</w:t>
            </w:r>
          </w:p>
        </w:tc>
        <w:tc>
          <w:tcPr>
            <w:tcW w:w="2484" w:type="pct"/>
          </w:tcPr>
          <w:p w14:paraId="757D81E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有序推进“多规合一”实用性村庄规划编制，到“十四五”末，有条件、有需求的村实现“多规合一”实用性村庄规划编制全覆盖</w:t>
            </w:r>
          </w:p>
        </w:tc>
        <w:tc>
          <w:tcPr>
            <w:tcW w:w="444" w:type="pct"/>
          </w:tcPr>
          <w:p w14:paraId="6AEE65CB">
            <w:pPr>
              <w:adjustRightInd w:val="0"/>
              <w:snapToGrid w:val="0"/>
              <w:rPr>
                <w:rFonts w:ascii="Arial" w:hAnsi="Arial" w:cs="Arial"/>
                <w:sz w:val="20"/>
                <w:szCs w:val="20"/>
              </w:rPr>
            </w:pPr>
            <w:r>
              <w:rPr>
                <w:rFonts w:ascii="Arial" w:hAnsi="Arial" w:cs="Arial"/>
                <w:sz w:val="20"/>
                <w:szCs w:val="20"/>
              </w:rPr>
              <w:t>同左列</w:t>
            </w:r>
          </w:p>
        </w:tc>
        <w:tc>
          <w:tcPr>
            <w:tcW w:w="530" w:type="pct"/>
          </w:tcPr>
          <w:p w14:paraId="56C410F5">
            <w:pPr>
              <w:adjustRightInd w:val="0"/>
              <w:snapToGrid w:val="0"/>
              <w:rPr>
                <w:rFonts w:ascii="Arial" w:hAnsi="Arial" w:cs="Arial"/>
                <w:sz w:val="20"/>
                <w:szCs w:val="20"/>
              </w:rPr>
            </w:pPr>
            <w:r>
              <w:rPr>
                <w:rFonts w:ascii="Arial" w:hAnsi="Arial" w:cs="Arial"/>
                <w:sz w:val="20"/>
                <w:szCs w:val="20"/>
              </w:rPr>
              <w:t xml:space="preserve">RA3 </w:t>
            </w:r>
            <w:r>
              <w:rPr>
                <w:rFonts w:hint="eastAsia" w:ascii="Arial" w:hAnsi="Arial" w:cs="Arial"/>
                <w:sz w:val="20"/>
                <w:szCs w:val="20"/>
                <w:lang w:eastAsia="zh-CN"/>
              </w:rPr>
              <w:t>—</w:t>
            </w:r>
            <w:r>
              <w:rPr>
                <w:rFonts w:ascii="Arial" w:hAnsi="Arial" w:cs="Arial"/>
                <w:sz w:val="20"/>
                <w:szCs w:val="20"/>
              </w:rPr>
              <w:t xml:space="preserve"> 改善农村生活垃圾和生活污水服务</w:t>
            </w:r>
          </w:p>
        </w:tc>
        <w:tc>
          <w:tcPr>
            <w:tcW w:w="375" w:type="pct"/>
          </w:tcPr>
          <w:p w14:paraId="3ACB7CB8">
            <w:pPr>
              <w:adjustRightInd w:val="0"/>
              <w:snapToGrid w:val="0"/>
              <w:rPr>
                <w:rFonts w:ascii="Arial" w:hAnsi="Arial" w:cs="Arial"/>
                <w:sz w:val="20"/>
                <w:szCs w:val="20"/>
              </w:rPr>
            </w:pPr>
          </w:p>
        </w:tc>
      </w:tr>
      <w:tr w14:paraId="2399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5D7CEDCB">
            <w:pPr>
              <w:adjustRightInd w:val="0"/>
              <w:snapToGrid w:val="0"/>
              <w:rPr>
                <w:rFonts w:ascii="Arial" w:hAnsi="Arial" w:cs="Arial"/>
                <w:b/>
                <w:bCs/>
                <w:sz w:val="20"/>
                <w:szCs w:val="20"/>
              </w:rPr>
            </w:pPr>
          </w:p>
        </w:tc>
        <w:tc>
          <w:tcPr>
            <w:tcW w:w="194" w:type="pct"/>
            <w:vMerge w:val="continue"/>
          </w:tcPr>
          <w:p w14:paraId="1CBB6B40">
            <w:pPr>
              <w:adjustRightInd w:val="0"/>
              <w:snapToGrid w:val="0"/>
              <w:rPr>
                <w:rFonts w:ascii="Arial" w:hAnsi="Arial" w:cs="Arial"/>
                <w:sz w:val="20"/>
                <w:szCs w:val="20"/>
              </w:rPr>
            </w:pPr>
          </w:p>
        </w:tc>
        <w:tc>
          <w:tcPr>
            <w:tcW w:w="585" w:type="pct"/>
          </w:tcPr>
          <w:p w14:paraId="5D0E3C4E">
            <w:pPr>
              <w:adjustRightInd w:val="0"/>
              <w:snapToGrid w:val="0"/>
              <w:rPr>
                <w:rFonts w:ascii="Arial" w:hAnsi="Arial" w:cs="Arial"/>
                <w:sz w:val="20"/>
                <w:szCs w:val="20"/>
              </w:rPr>
            </w:pPr>
            <w:r>
              <w:rPr>
                <w:rFonts w:ascii="Arial" w:hAnsi="Arial" w:cs="Arial"/>
                <w:sz w:val="20"/>
                <w:szCs w:val="20"/>
              </w:rPr>
              <w:t>科学规范村庄建设</w:t>
            </w:r>
          </w:p>
        </w:tc>
        <w:tc>
          <w:tcPr>
            <w:tcW w:w="2484" w:type="pct"/>
          </w:tcPr>
          <w:p w14:paraId="062C762C">
            <w:pPr>
              <w:adjustRightInd w:val="0"/>
              <w:snapToGrid w:val="0"/>
              <w:rPr>
                <w:rFonts w:ascii="Arial" w:hAnsi="Arial" w:cs="Arial"/>
                <w:sz w:val="20"/>
                <w:szCs w:val="20"/>
              </w:rPr>
            </w:pPr>
            <w:r>
              <w:rPr>
                <w:rFonts w:ascii="Arial" w:hAnsi="Arial" w:cs="Arial"/>
                <w:sz w:val="20"/>
                <w:szCs w:val="20"/>
              </w:rPr>
              <w:t>分类推进村庄建设；实施乡村建设许可备案制度；以县为单位编印农房设计图集；建立农村房屋设计、审批、施工 、验收、使用等全过程管理制度等</w:t>
            </w:r>
          </w:p>
        </w:tc>
        <w:tc>
          <w:tcPr>
            <w:tcW w:w="444" w:type="pct"/>
          </w:tcPr>
          <w:p w14:paraId="72BE36CB">
            <w:pPr>
              <w:adjustRightInd w:val="0"/>
              <w:snapToGrid w:val="0"/>
              <w:rPr>
                <w:rFonts w:ascii="Arial" w:hAnsi="Arial" w:cs="Arial"/>
                <w:sz w:val="20"/>
                <w:szCs w:val="20"/>
              </w:rPr>
            </w:pPr>
            <w:r>
              <w:rPr>
                <w:rFonts w:ascii="Arial" w:hAnsi="Arial" w:cs="Arial"/>
                <w:sz w:val="20"/>
                <w:szCs w:val="20"/>
              </w:rPr>
              <w:t>无</w:t>
            </w:r>
          </w:p>
        </w:tc>
        <w:tc>
          <w:tcPr>
            <w:tcW w:w="530" w:type="pct"/>
          </w:tcPr>
          <w:p w14:paraId="06490E86">
            <w:pPr>
              <w:adjustRightInd w:val="0"/>
              <w:snapToGrid w:val="0"/>
              <w:rPr>
                <w:rFonts w:ascii="Arial" w:hAnsi="Arial" w:cs="Arial"/>
                <w:sz w:val="20"/>
                <w:szCs w:val="20"/>
              </w:rPr>
            </w:pPr>
            <w:r>
              <w:rPr>
                <w:rFonts w:ascii="Arial" w:hAnsi="Arial" w:cs="Arial"/>
                <w:sz w:val="20"/>
                <w:szCs w:val="20"/>
              </w:rPr>
              <w:t>无</w:t>
            </w:r>
          </w:p>
        </w:tc>
        <w:tc>
          <w:tcPr>
            <w:tcW w:w="375" w:type="pct"/>
          </w:tcPr>
          <w:p w14:paraId="3BBED910">
            <w:pPr>
              <w:adjustRightInd w:val="0"/>
              <w:snapToGrid w:val="0"/>
              <w:rPr>
                <w:rFonts w:ascii="Arial" w:hAnsi="Arial" w:cs="Arial"/>
                <w:sz w:val="20"/>
                <w:szCs w:val="20"/>
              </w:rPr>
            </w:pPr>
            <w:r>
              <w:rPr>
                <w:rFonts w:ascii="Arial" w:hAnsi="Arial" w:cs="Arial"/>
                <w:sz w:val="20"/>
                <w:szCs w:val="20"/>
              </w:rPr>
              <w:t>非优先领域</w:t>
            </w:r>
          </w:p>
        </w:tc>
      </w:tr>
      <w:tr w14:paraId="398E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65D861B7">
            <w:pPr>
              <w:adjustRightInd w:val="0"/>
              <w:snapToGrid w:val="0"/>
              <w:rPr>
                <w:rFonts w:ascii="Arial" w:hAnsi="Arial" w:cs="Arial"/>
                <w:b/>
                <w:bCs/>
                <w:sz w:val="20"/>
                <w:szCs w:val="20"/>
              </w:rPr>
            </w:pPr>
          </w:p>
        </w:tc>
        <w:tc>
          <w:tcPr>
            <w:tcW w:w="194" w:type="pct"/>
            <w:vMerge w:val="restart"/>
          </w:tcPr>
          <w:p w14:paraId="39298498">
            <w:pPr>
              <w:adjustRightInd w:val="0"/>
              <w:snapToGrid w:val="0"/>
              <w:rPr>
                <w:rFonts w:ascii="Arial" w:hAnsi="Arial" w:cs="Arial"/>
                <w:sz w:val="20"/>
                <w:szCs w:val="20"/>
              </w:rPr>
            </w:pPr>
            <w:r>
              <w:rPr>
                <w:rFonts w:ascii="Arial" w:hAnsi="Arial" w:cs="Arial"/>
                <w:sz w:val="20"/>
                <w:szCs w:val="20"/>
              </w:rPr>
              <w:t>提升农村人居环境</w:t>
            </w:r>
          </w:p>
        </w:tc>
        <w:tc>
          <w:tcPr>
            <w:tcW w:w="585" w:type="pct"/>
          </w:tcPr>
          <w:p w14:paraId="08D09044">
            <w:pPr>
              <w:adjustRightInd w:val="0"/>
              <w:snapToGrid w:val="0"/>
              <w:rPr>
                <w:rFonts w:ascii="Arial" w:hAnsi="Arial" w:cs="Arial"/>
                <w:sz w:val="20"/>
                <w:szCs w:val="20"/>
              </w:rPr>
            </w:pPr>
            <w:r>
              <w:rPr>
                <w:rFonts w:ascii="Arial" w:hAnsi="Arial" w:cs="Arial"/>
                <w:sz w:val="20"/>
                <w:szCs w:val="20"/>
              </w:rPr>
              <w:t>推进农村厕所革命</w:t>
            </w:r>
          </w:p>
        </w:tc>
        <w:tc>
          <w:tcPr>
            <w:tcW w:w="2484" w:type="pct"/>
          </w:tcPr>
          <w:p w14:paraId="443B3A6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按照“因地制宜、科学规划、各负其责、分类整改”的要求进行整改，到“十四五”末，农村卫生厕所普及率达到95%</w:t>
            </w:r>
          </w:p>
        </w:tc>
        <w:tc>
          <w:tcPr>
            <w:tcW w:w="444" w:type="pct"/>
          </w:tcPr>
          <w:p w14:paraId="2F3C2FA6">
            <w:pPr>
              <w:adjustRightInd w:val="0"/>
              <w:snapToGrid w:val="0"/>
              <w:rPr>
                <w:rFonts w:ascii="Arial" w:hAnsi="Arial" w:cs="Arial"/>
                <w:sz w:val="20"/>
                <w:szCs w:val="20"/>
              </w:rPr>
            </w:pPr>
            <w:r>
              <w:rPr>
                <w:rFonts w:ascii="Arial" w:hAnsi="Arial" w:cs="Arial"/>
                <w:sz w:val="20"/>
                <w:szCs w:val="20"/>
              </w:rPr>
              <w:t>同左列</w:t>
            </w:r>
          </w:p>
        </w:tc>
        <w:tc>
          <w:tcPr>
            <w:tcW w:w="530" w:type="pct"/>
          </w:tcPr>
          <w:p w14:paraId="32FCCFEB">
            <w:pPr>
              <w:adjustRightInd w:val="0"/>
              <w:snapToGrid w:val="0"/>
              <w:rPr>
                <w:rFonts w:ascii="Arial" w:hAnsi="Arial" w:cs="Arial"/>
                <w:sz w:val="20"/>
                <w:szCs w:val="20"/>
              </w:rPr>
            </w:pPr>
            <w:r>
              <w:rPr>
                <w:rFonts w:ascii="Arial" w:hAnsi="Arial" w:cs="Arial"/>
                <w:sz w:val="20"/>
                <w:szCs w:val="20"/>
              </w:rPr>
              <w:t xml:space="preserve">RA3 </w:t>
            </w:r>
            <w:r>
              <w:rPr>
                <w:rFonts w:hint="eastAsia" w:ascii="Arial" w:hAnsi="Arial" w:cs="Arial"/>
                <w:sz w:val="20"/>
                <w:szCs w:val="20"/>
                <w:lang w:eastAsia="zh-CN"/>
              </w:rPr>
              <w:t>—</w:t>
            </w:r>
            <w:r>
              <w:rPr>
                <w:rFonts w:ascii="Arial" w:hAnsi="Arial" w:cs="Arial"/>
                <w:sz w:val="20"/>
                <w:szCs w:val="20"/>
              </w:rPr>
              <w:t xml:space="preserve"> 改善农村生活垃圾和生活污水服务</w:t>
            </w:r>
          </w:p>
        </w:tc>
        <w:tc>
          <w:tcPr>
            <w:tcW w:w="375" w:type="pct"/>
          </w:tcPr>
          <w:p w14:paraId="27C13154">
            <w:pPr>
              <w:adjustRightInd w:val="0"/>
              <w:snapToGrid w:val="0"/>
              <w:rPr>
                <w:rFonts w:ascii="Arial" w:hAnsi="Arial" w:cs="Arial"/>
                <w:sz w:val="20"/>
                <w:szCs w:val="20"/>
              </w:rPr>
            </w:pPr>
          </w:p>
        </w:tc>
      </w:tr>
      <w:tr w14:paraId="66E2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20E8BCD4">
            <w:pPr>
              <w:adjustRightInd w:val="0"/>
              <w:snapToGrid w:val="0"/>
              <w:rPr>
                <w:rFonts w:ascii="Arial" w:hAnsi="Arial" w:cs="Arial"/>
                <w:sz w:val="20"/>
                <w:szCs w:val="20"/>
              </w:rPr>
            </w:pPr>
          </w:p>
        </w:tc>
        <w:tc>
          <w:tcPr>
            <w:tcW w:w="194" w:type="pct"/>
            <w:vMerge w:val="continue"/>
          </w:tcPr>
          <w:p w14:paraId="1BA0CD8F">
            <w:pPr>
              <w:adjustRightInd w:val="0"/>
              <w:snapToGrid w:val="0"/>
              <w:rPr>
                <w:rFonts w:ascii="Arial" w:hAnsi="Arial" w:cs="Arial"/>
                <w:sz w:val="20"/>
                <w:szCs w:val="20"/>
              </w:rPr>
            </w:pPr>
          </w:p>
        </w:tc>
        <w:tc>
          <w:tcPr>
            <w:tcW w:w="585" w:type="pct"/>
          </w:tcPr>
          <w:p w14:paraId="02FAB7CD">
            <w:pPr>
              <w:adjustRightInd w:val="0"/>
              <w:snapToGrid w:val="0"/>
              <w:rPr>
                <w:rFonts w:ascii="Arial" w:hAnsi="Arial" w:cs="Arial"/>
                <w:sz w:val="20"/>
                <w:szCs w:val="20"/>
              </w:rPr>
            </w:pPr>
            <w:r>
              <w:rPr>
                <w:rFonts w:ascii="Arial" w:hAnsi="Arial" w:cs="Arial"/>
                <w:sz w:val="20"/>
                <w:szCs w:val="20"/>
              </w:rPr>
              <w:t>推进农村生活污水治理</w:t>
            </w:r>
          </w:p>
        </w:tc>
        <w:tc>
          <w:tcPr>
            <w:tcW w:w="2484" w:type="pct"/>
          </w:tcPr>
          <w:p w14:paraId="6769E692">
            <w:pPr>
              <w:adjustRightInd w:val="0"/>
              <w:snapToGrid w:val="0"/>
              <w:rPr>
                <w:rFonts w:ascii="Arial" w:hAnsi="Arial" w:cs="Arial"/>
                <w:sz w:val="20"/>
                <w:szCs w:val="20"/>
              </w:rPr>
            </w:pPr>
            <w:r>
              <w:rPr>
                <w:rFonts w:ascii="Arial" w:hAnsi="Arial" w:cs="Arial"/>
                <w:sz w:val="20"/>
                <w:szCs w:val="20"/>
              </w:rPr>
              <w:t>推广乡镇污水处理厂、微动力污水处理站、单户三格式污水处理池、人工生态湿地、生态循环水网等治理模式，比如随县将建设小型污水处理站110座（5</w:t>
            </w:r>
            <w:r>
              <w:rPr>
                <w:rFonts w:hint="eastAsia" w:ascii="Arial" w:hAnsi="Arial" w:cs="Arial"/>
                <w:sz w:val="20"/>
                <w:szCs w:val="20"/>
                <w:lang w:eastAsia="zh-CN"/>
              </w:rPr>
              <w:t>—</w:t>
            </w:r>
            <w:r>
              <w:rPr>
                <w:rFonts w:ascii="Arial" w:hAnsi="Arial" w:cs="Arial"/>
                <w:sz w:val="20"/>
                <w:szCs w:val="20"/>
              </w:rPr>
              <w:t>25 m</w:t>
            </w:r>
            <w:r>
              <w:rPr>
                <w:rFonts w:ascii="Arial" w:hAnsi="Arial" w:cs="Arial"/>
                <w:sz w:val="20"/>
                <w:szCs w:val="20"/>
                <w:vertAlign w:val="superscript"/>
              </w:rPr>
              <w:t>3</w:t>
            </w:r>
            <w:r>
              <w:rPr>
                <w:rFonts w:ascii="Arial" w:hAnsi="Arial" w:cs="Arial"/>
                <w:sz w:val="20"/>
                <w:szCs w:val="20"/>
              </w:rPr>
              <w:t>/d），涉及22个行政村，总占地面积16500m</w:t>
            </w:r>
            <w:r>
              <w:rPr>
                <w:rFonts w:ascii="Arial" w:hAnsi="Arial" w:cs="Arial"/>
                <w:sz w:val="20"/>
                <w:szCs w:val="20"/>
                <w:vertAlign w:val="superscript"/>
              </w:rPr>
              <w:t>2</w:t>
            </w:r>
            <w:r>
              <w:rPr>
                <w:rFonts w:ascii="Arial" w:hAnsi="Arial" w:cs="Arial"/>
                <w:sz w:val="20"/>
                <w:szCs w:val="20"/>
              </w:rPr>
              <w:t>，总处理规模为1450m</w:t>
            </w:r>
            <w:r>
              <w:rPr>
                <w:rFonts w:ascii="Arial" w:hAnsi="Arial" w:cs="Arial"/>
                <w:sz w:val="20"/>
                <w:szCs w:val="20"/>
                <w:vertAlign w:val="superscript"/>
              </w:rPr>
              <w:t>3</w:t>
            </w:r>
            <w:r>
              <w:rPr>
                <w:rFonts w:ascii="Arial" w:hAnsi="Arial" w:cs="Arial"/>
                <w:sz w:val="20"/>
                <w:szCs w:val="20"/>
              </w:rPr>
              <w:t>/d</w:t>
            </w:r>
          </w:p>
        </w:tc>
        <w:tc>
          <w:tcPr>
            <w:tcW w:w="444" w:type="pct"/>
          </w:tcPr>
          <w:p w14:paraId="64BF6A99">
            <w:pPr>
              <w:adjustRightInd w:val="0"/>
              <w:snapToGrid w:val="0"/>
              <w:rPr>
                <w:rFonts w:ascii="Arial" w:hAnsi="Arial" w:cs="Arial"/>
                <w:sz w:val="20"/>
                <w:szCs w:val="20"/>
              </w:rPr>
            </w:pPr>
            <w:r>
              <w:rPr>
                <w:rFonts w:ascii="Arial" w:hAnsi="Arial" w:cs="Arial"/>
                <w:sz w:val="20"/>
                <w:szCs w:val="20"/>
              </w:rPr>
              <w:t>同左列</w:t>
            </w:r>
          </w:p>
        </w:tc>
        <w:tc>
          <w:tcPr>
            <w:tcW w:w="530" w:type="pct"/>
          </w:tcPr>
          <w:p w14:paraId="1E694E38">
            <w:pPr>
              <w:adjustRightInd w:val="0"/>
              <w:snapToGrid w:val="0"/>
              <w:rPr>
                <w:rFonts w:ascii="Arial" w:hAnsi="Arial" w:cs="Arial"/>
                <w:sz w:val="20"/>
                <w:szCs w:val="20"/>
              </w:rPr>
            </w:pPr>
            <w:r>
              <w:rPr>
                <w:rFonts w:ascii="Arial" w:hAnsi="Arial" w:cs="Arial"/>
                <w:sz w:val="20"/>
                <w:szCs w:val="20"/>
              </w:rPr>
              <w:t xml:space="preserve">RA3 </w:t>
            </w:r>
            <w:r>
              <w:rPr>
                <w:rFonts w:hint="eastAsia" w:ascii="Arial" w:hAnsi="Arial" w:cs="Arial"/>
                <w:sz w:val="20"/>
                <w:szCs w:val="20"/>
                <w:lang w:eastAsia="zh-CN"/>
              </w:rPr>
              <w:t>—</w:t>
            </w:r>
            <w:r>
              <w:rPr>
                <w:rFonts w:ascii="Arial" w:hAnsi="Arial" w:cs="Arial"/>
                <w:sz w:val="20"/>
                <w:szCs w:val="20"/>
              </w:rPr>
              <w:t xml:space="preserve"> 改善农村生活垃圾和生活污水服务</w:t>
            </w:r>
          </w:p>
        </w:tc>
        <w:tc>
          <w:tcPr>
            <w:tcW w:w="375" w:type="pct"/>
          </w:tcPr>
          <w:p w14:paraId="48EA7DA1">
            <w:pPr>
              <w:adjustRightInd w:val="0"/>
              <w:snapToGrid w:val="0"/>
              <w:rPr>
                <w:rFonts w:ascii="Arial" w:hAnsi="Arial" w:cs="Arial"/>
                <w:sz w:val="20"/>
                <w:szCs w:val="20"/>
              </w:rPr>
            </w:pPr>
          </w:p>
        </w:tc>
      </w:tr>
      <w:tr w14:paraId="6CBB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16B017B0">
            <w:pPr>
              <w:adjustRightInd w:val="0"/>
              <w:snapToGrid w:val="0"/>
              <w:rPr>
                <w:rFonts w:ascii="Arial" w:hAnsi="Arial" w:cs="Arial"/>
                <w:sz w:val="20"/>
                <w:szCs w:val="20"/>
              </w:rPr>
            </w:pPr>
          </w:p>
        </w:tc>
        <w:tc>
          <w:tcPr>
            <w:tcW w:w="194" w:type="pct"/>
            <w:vMerge w:val="continue"/>
          </w:tcPr>
          <w:p w14:paraId="7C898B7B">
            <w:pPr>
              <w:adjustRightInd w:val="0"/>
              <w:snapToGrid w:val="0"/>
              <w:rPr>
                <w:rFonts w:ascii="Arial" w:hAnsi="Arial" w:cs="Arial"/>
                <w:sz w:val="20"/>
                <w:szCs w:val="20"/>
              </w:rPr>
            </w:pPr>
          </w:p>
        </w:tc>
        <w:tc>
          <w:tcPr>
            <w:tcW w:w="585" w:type="pct"/>
            <w:vMerge w:val="restart"/>
          </w:tcPr>
          <w:p w14:paraId="43B8F800">
            <w:pPr>
              <w:adjustRightInd w:val="0"/>
              <w:snapToGrid w:val="0"/>
              <w:rPr>
                <w:rFonts w:ascii="Arial" w:hAnsi="Arial" w:cs="Arial"/>
                <w:sz w:val="20"/>
                <w:szCs w:val="20"/>
              </w:rPr>
            </w:pPr>
            <w:r>
              <w:rPr>
                <w:rFonts w:ascii="Arial" w:hAnsi="Arial" w:cs="Arial"/>
                <w:sz w:val="20"/>
                <w:szCs w:val="20"/>
              </w:rPr>
              <w:t>提升农村生活垃圾治理水平</w:t>
            </w:r>
          </w:p>
        </w:tc>
        <w:tc>
          <w:tcPr>
            <w:tcW w:w="2484" w:type="pct"/>
          </w:tcPr>
          <w:p w14:paraId="2A0EFDD4">
            <w:pPr>
              <w:adjustRightInd w:val="0"/>
              <w:snapToGrid w:val="0"/>
              <w:rPr>
                <w:rFonts w:ascii="Arial" w:hAnsi="Arial" w:cs="Arial"/>
                <w:sz w:val="20"/>
                <w:szCs w:val="20"/>
              </w:rPr>
            </w:pPr>
            <w:r>
              <w:rPr>
                <w:rFonts w:ascii="Arial" w:hAnsi="Arial" w:cs="Arial"/>
                <w:sz w:val="20"/>
                <w:szCs w:val="20"/>
              </w:rPr>
              <w:t>建设一批乡镇垃圾中转站、村级垃圾封闭堆放点，比如随县将建设村庄生活垃圾收集转运设施，占地面积1160m</w:t>
            </w:r>
            <w:r>
              <w:rPr>
                <w:rFonts w:ascii="Arial" w:hAnsi="Arial" w:cs="Arial"/>
                <w:sz w:val="20"/>
                <w:szCs w:val="20"/>
                <w:vertAlign w:val="superscript"/>
              </w:rPr>
              <w:t>2</w:t>
            </w:r>
          </w:p>
        </w:tc>
        <w:tc>
          <w:tcPr>
            <w:tcW w:w="444" w:type="pct"/>
          </w:tcPr>
          <w:p w14:paraId="1C2C8216">
            <w:pPr>
              <w:adjustRightInd w:val="0"/>
              <w:snapToGrid w:val="0"/>
              <w:rPr>
                <w:rFonts w:ascii="Arial" w:hAnsi="Arial" w:cs="Arial"/>
                <w:sz w:val="20"/>
                <w:szCs w:val="20"/>
              </w:rPr>
            </w:pPr>
            <w:r>
              <w:rPr>
                <w:rFonts w:ascii="Arial" w:hAnsi="Arial" w:cs="Arial"/>
                <w:sz w:val="20"/>
                <w:szCs w:val="20"/>
              </w:rPr>
              <w:t>同左列</w:t>
            </w:r>
          </w:p>
        </w:tc>
        <w:tc>
          <w:tcPr>
            <w:tcW w:w="530" w:type="pct"/>
          </w:tcPr>
          <w:p w14:paraId="72875830">
            <w:pPr>
              <w:adjustRightInd w:val="0"/>
              <w:snapToGrid w:val="0"/>
              <w:rPr>
                <w:rFonts w:ascii="Arial" w:hAnsi="Arial" w:cs="Arial"/>
                <w:sz w:val="20"/>
                <w:szCs w:val="20"/>
              </w:rPr>
            </w:pPr>
            <w:r>
              <w:rPr>
                <w:rFonts w:ascii="Arial" w:hAnsi="Arial" w:cs="Arial"/>
                <w:sz w:val="20"/>
                <w:szCs w:val="20"/>
              </w:rPr>
              <w:t xml:space="preserve">RA3 </w:t>
            </w:r>
            <w:r>
              <w:rPr>
                <w:rFonts w:hint="eastAsia" w:ascii="Arial" w:hAnsi="Arial" w:cs="Arial"/>
                <w:sz w:val="20"/>
                <w:szCs w:val="20"/>
                <w:lang w:eastAsia="zh-CN"/>
              </w:rPr>
              <w:t>—</w:t>
            </w:r>
            <w:r>
              <w:rPr>
                <w:rFonts w:ascii="Arial" w:hAnsi="Arial" w:cs="Arial"/>
                <w:sz w:val="20"/>
                <w:szCs w:val="20"/>
              </w:rPr>
              <w:t xml:space="preserve"> 改善农村生活垃圾和生活污水服务</w:t>
            </w:r>
          </w:p>
        </w:tc>
        <w:tc>
          <w:tcPr>
            <w:tcW w:w="375" w:type="pct"/>
          </w:tcPr>
          <w:p w14:paraId="4D4F0D3E">
            <w:pPr>
              <w:adjustRightInd w:val="0"/>
              <w:snapToGrid w:val="0"/>
              <w:rPr>
                <w:rFonts w:ascii="Arial" w:hAnsi="Arial" w:cs="Arial"/>
                <w:sz w:val="20"/>
                <w:szCs w:val="20"/>
              </w:rPr>
            </w:pPr>
          </w:p>
        </w:tc>
      </w:tr>
      <w:tr w14:paraId="1FB3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DD78E13">
            <w:pPr>
              <w:adjustRightInd w:val="0"/>
              <w:snapToGrid w:val="0"/>
              <w:rPr>
                <w:rFonts w:ascii="Arial" w:hAnsi="Arial" w:cs="Arial"/>
                <w:sz w:val="20"/>
                <w:szCs w:val="20"/>
              </w:rPr>
            </w:pPr>
          </w:p>
        </w:tc>
        <w:tc>
          <w:tcPr>
            <w:tcW w:w="194" w:type="pct"/>
            <w:vMerge w:val="continue"/>
          </w:tcPr>
          <w:p w14:paraId="51726F1B">
            <w:pPr>
              <w:adjustRightInd w:val="0"/>
              <w:snapToGrid w:val="0"/>
              <w:rPr>
                <w:rFonts w:ascii="Arial" w:hAnsi="Arial" w:cs="Arial"/>
                <w:sz w:val="20"/>
                <w:szCs w:val="20"/>
              </w:rPr>
            </w:pPr>
          </w:p>
        </w:tc>
        <w:tc>
          <w:tcPr>
            <w:tcW w:w="585" w:type="pct"/>
            <w:vMerge w:val="continue"/>
          </w:tcPr>
          <w:p w14:paraId="2E1D308F">
            <w:pPr>
              <w:adjustRightInd w:val="0"/>
              <w:snapToGrid w:val="0"/>
              <w:rPr>
                <w:rFonts w:ascii="Arial" w:hAnsi="Arial" w:cs="Arial"/>
                <w:sz w:val="20"/>
                <w:szCs w:val="20"/>
              </w:rPr>
            </w:pPr>
          </w:p>
        </w:tc>
        <w:tc>
          <w:tcPr>
            <w:tcW w:w="2484" w:type="pct"/>
          </w:tcPr>
          <w:p w14:paraId="30DC97F2">
            <w:pPr>
              <w:adjustRightInd w:val="0"/>
              <w:snapToGrid w:val="0"/>
              <w:rPr>
                <w:rFonts w:ascii="Arial" w:hAnsi="Arial" w:cs="Arial"/>
                <w:sz w:val="20"/>
                <w:szCs w:val="20"/>
              </w:rPr>
            </w:pPr>
            <w:r>
              <w:rPr>
                <w:rFonts w:ascii="Arial" w:hAnsi="Arial" w:cs="Arial"/>
                <w:sz w:val="20"/>
                <w:szCs w:val="20"/>
              </w:rPr>
              <w:t>建设一批县级垃圾焚烧厂</w:t>
            </w:r>
          </w:p>
        </w:tc>
        <w:tc>
          <w:tcPr>
            <w:tcW w:w="444" w:type="pct"/>
          </w:tcPr>
          <w:p w14:paraId="19BDE905">
            <w:pPr>
              <w:adjustRightInd w:val="0"/>
              <w:snapToGrid w:val="0"/>
              <w:rPr>
                <w:rFonts w:ascii="Arial" w:hAnsi="Arial" w:cs="Arial"/>
                <w:sz w:val="20"/>
                <w:szCs w:val="20"/>
              </w:rPr>
            </w:pPr>
            <w:r>
              <w:rPr>
                <w:rFonts w:ascii="Arial" w:hAnsi="Arial" w:cs="Arial"/>
                <w:sz w:val="20"/>
                <w:szCs w:val="20"/>
              </w:rPr>
              <w:t>无</w:t>
            </w:r>
          </w:p>
        </w:tc>
        <w:tc>
          <w:tcPr>
            <w:tcW w:w="530" w:type="pct"/>
          </w:tcPr>
          <w:p w14:paraId="25A130F2">
            <w:pPr>
              <w:adjustRightInd w:val="0"/>
              <w:snapToGrid w:val="0"/>
              <w:rPr>
                <w:rFonts w:ascii="Arial" w:hAnsi="Arial" w:cs="Arial"/>
                <w:sz w:val="20"/>
                <w:szCs w:val="20"/>
              </w:rPr>
            </w:pPr>
            <w:r>
              <w:rPr>
                <w:rFonts w:ascii="Arial" w:hAnsi="Arial" w:cs="Arial"/>
                <w:sz w:val="20"/>
                <w:szCs w:val="20"/>
              </w:rPr>
              <w:t>无</w:t>
            </w:r>
          </w:p>
        </w:tc>
        <w:tc>
          <w:tcPr>
            <w:tcW w:w="375" w:type="pct"/>
          </w:tcPr>
          <w:p w14:paraId="33DF7C5F">
            <w:pPr>
              <w:adjustRightInd w:val="0"/>
              <w:snapToGrid w:val="0"/>
              <w:rPr>
                <w:rFonts w:ascii="Arial" w:hAnsi="Arial" w:cs="Arial"/>
                <w:sz w:val="20"/>
                <w:szCs w:val="20"/>
              </w:rPr>
            </w:pPr>
            <w:r>
              <w:rPr>
                <w:rFonts w:ascii="Arial" w:hAnsi="Arial" w:cs="Arial"/>
                <w:sz w:val="20"/>
                <w:szCs w:val="20"/>
              </w:rPr>
              <w:t>环境与社会风险高</w:t>
            </w:r>
          </w:p>
        </w:tc>
      </w:tr>
      <w:tr w14:paraId="204A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34315FC7">
            <w:pPr>
              <w:adjustRightInd w:val="0"/>
              <w:snapToGrid w:val="0"/>
              <w:rPr>
                <w:rFonts w:ascii="Arial" w:hAnsi="Arial" w:cs="Arial"/>
                <w:sz w:val="20"/>
                <w:szCs w:val="20"/>
              </w:rPr>
            </w:pPr>
          </w:p>
        </w:tc>
        <w:tc>
          <w:tcPr>
            <w:tcW w:w="194" w:type="pct"/>
            <w:vMerge w:val="continue"/>
          </w:tcPr>
          <w:p w14:paraId="65341953">
            <w:pPr>
              <w:adjustRightInd w:val="0"/>
              <w:snapToGrid w:val="0"/>
              <w:rPr>
                <w:rFonts w:ascii="Arial" w:hAnsi="Arial" w:cs="Arial"/>
                <w:sz w:val="20"/>
                <w:szCs w:val="20"/>
              </w:rPr>
            </w:pPr>
          </w:p>
        </w:tc>
        <w:tc>
          <w:tcPr>
            <w:tcW w:w="585" w:type="pct"/>
          </w:tcPr>
          <w:p w14:paraId="1ABC82A9">
            <w:pPr>
              <w:adjustRightInd w:val="0"/>
              <w:snapToGrid w:val="0"/>
              <w:rPr>
                <w:rFonts w:ascii="Arial" w:hAnsi="Arial" w:cs="Arial"/>
                <w:sz w:val="20"/>
                <w:szCs w:val="20"/>
              </w:rPr>
            </w:pPr>
            <w:r>
              <w:rPr>
                <w:rFonts w:ascii="Arial" w:hAnsi="Arial" w:cs="Arial"/>
                <w:sz w:val="20"/>
                <w:szCs w:val="20"/>
              </w:rPr>
              <w:t>整治提升村容村貌</w:t>
            </w:r>
          </w:p>
        </w:tc>
        <w:tc>
          <w:tcPr>
            <w:tcW w:w="2484" w:type="pct"/>
          </w:tcPr>
          <w:p w14:paraId="4CED4A63">
            <w:pPr>
              <w:adjustRightInd w:val="0"/>
              <w:snapToGrid w:val="0"/>
              <w:rPr>
                <w:rFonts w:ascii="Arial" w:hAnsi="Arial" w:cs="Arial"/>
                <w:sz w:val="20"/>
                <w:szCs w:val="20"/>
              </w:rPr>
            </w:pPr>
            <w:r>
              <w:rPr>
                <w:rFonts w:ascii="Arial" w:hAnsi="Arial" w:cs="Arial"/>
                <w:sz w:val="20"/>
                <w:szCs w:val="20"/>
              </w:rPr>
              <w:t>保护乡村山体田园、河湖湿地、原生植被、古树名木等，因地制宜开展荒山荒地荒滩绿化，加强农田</w:t>
            </w:r>
            <w:r>
              <w:rPr>
                <w:rFonts w:hint="eastAsia" w:ascii="Arial" w:hAnsi="Arial" w:cs="Arial"/>
                <w:sz w:val="20"/>
                <w:szCs w:val="20"/>
                <w:lang w:eastAsia="zh-CN"/>
              </w:rPr>
              <w:t>（</w:t>
            </w:r>
            <w:r>
              <w:rPr>
                <w:rFonts w:ascii="Arial" w:hAnsi="Arial" w:cs="Arial"/>
                <w:sz w:val="20"/>
                <w:szCs w:val="20"/>
              </w:rPr>
              <w:t>牧场</w:t>
            </w:r>
            <w:r>
              <w:rPr>
                <w:rFonts w:hint="eastAsia" w:ascii="Arial" w:hAnsi="Arial" w:cs="Arial"/>
                <w:sz w:val="20"/>
                <w:szCs w:val="20"/>
                <w:lang w:eastAsia="zh-CN"/>
              </w:rPr>
              <w:t>）</w:t>
            </w:r>
            <w:r>
              <w:rPr>
                <w:rFonts w:ascii="Arial" w:hAnsi="Arial" w:cs="Arial"/>
                <w:sz w:val="20"/>
                <w:szCs w:val="20"/>
              </w:rPr>
              <w:t>防护林建设和修复等</w:t>
            </w:r>
          </w:p>
        </w:tc>
        <w:tc>
          <w:tcPr>
            <w:tcW w:w="444" w:type="pct"/>
          </w:tcPr>
          <w:p w14:paraId="464B8C42">
            <w:pPr>
              <w:adjustRightInd w:val="0"/>
              <w:snapToGrid w:val="0"/>
              <w:rPr>
                <w:rFonts w:ascii="Arial" w:hAnsi="Arial" w:cs="Arial"/>
                <w:sz w:val="20"/>
                <w:szCs w:val="20"/>
              </w:rPr>
            </w:pPr>
            <w:r>
              <w:rPr>
                <w:rFonts w:ascii="Arial" w:hAnsi="Arial" w:cs="Arial"/>
                <w:sz w:val="20"/>
                <w:szCs w:val="20"/>
              </w:rPr>
              <w:t>无</w:t>
            </w:r>
          </w:p>
        </w:tc>
        <w:tc>
          <w:tcPr>
            <w:tcW w:w="530" w:type="pct"/>
          </w:tcPr>
          <w:p w14:paraId="5B50A714">
            <w:pPr>
              <w:adjustRightInd w:val="0"/>
              <w:snapToGrid w:val="0"/>
              <w:rPr>
                <w:rFonts w:ascii="Arial" w:hAnsi="Arial" w:cs="Arial"/>
                <w:sz w:val="20"/>
                <w:szCs w:val="20"/>
              </w:rPr>
            </w:pPr>
            <w:r>
              <w:rPr>
                <w:rFonts w:ascii="Arial" w:hAnsi="Arial" w:cs="Arial"/>
                <w:sz w:val="20"/>
                <w:szCs w:val="20"/>
              </w:rPr>
              <w:t>无</w:t>
            </w:r>
          </w:p>
        </w:tc>
        <w:tc>
          <w:tcPr>
            <w:tcW w:w="375" w:type="pct"/>
          </w:tcPr>
          <w:p w14:paraId="402681B5">
            <w:pPr>
              <w:adjustRightInd w:val="0"/>
              <w:snapToGrid w:val="0"/>
              <w:rPr>
                <w:rFonts w:ascii="Arial" w:hAnsi="Arial" w:cs="Arial"/>
                <w:sz w:val="20"/>
                <w:szCs w:val="20"/>
              </w:rPr>
            </w:pPr>
            <w:r>
              <w:rPr>
                <w:rFonts w:ascii="Arial" w:hAnsi="Arial" w:cs="Arial"/>
                <w:sz w:val="20"/>
                <w:szCs w:val="20"/>
              </w:rPr>
              <w:t>非优先领域</w:t>
            </w:r>
          </w:p>
        </w:tc>
      </w:tr>
      <w:tr w14:paraId="2EF0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71F1F892">
            <w:pPr>
              <w:adjustRightInd w:val="0"/>
              <w:snapToGrid w:val="0"/>
              <w:rPr>
                <w:rFonts w:ascii="Arial" w:hAnsi="Arial" w:cs="Arial"/>
                <w:b/>
                <w:bCs/>
                <w:sz w:val="20"/>
                <w:szCs w:val="20"/>
              </w:rPr>
            </w:pPr>
          </w:p>
        </w:tc>
        <w:tc>
          <w:tcPr>
            <w:tcW w:w="194" w:type="pct"/>
            <w:vMerge w:val="restart"/>
          </w:tcPr>
          <w:p w14:paraId="6AD9E1A3">
            <w:pPr>
              <w:adjustRightInd w:val="0"/>
              <w:snapToGrid w:val="0"/>
              <w:rPr>
                <w:rFonts w:ascii="Arial" w:hAnsi="Arial" w:cs="Arial"/>
                <w:sz w:val="20"/>
                <w:szCs w:val="20"/>
              </w:rPr>
            </w:pPr>
            <w:r>
              <w:rPr>
                <w:rFonts w:ascii="Arial" w:hAnsi="Arial" w:cs="Arial"/>
                <w:sz w:val="20"/>
                <w:szCs w:val="20"/>
              </w:rPr>
              <w:t>乡村基础设施建设</w:t>
            </w:r>
          </w:p>
        </w:tc>
        <w:tc>
          <w:tcPr>
            <w:tcW w:w="585" w:type="pct"/>
          </w:tcPr>
          <w:p w14:paraId="43B219EF">
            <w:pPr>
              <w:adjustRightInd w:val="0"/>
              <w:snapToGrid w:val="0"/>
              <w:rPr>
                <w:rFonts w:ascii="Arial" w:hAnsi="Arial" w:cs="Arial"/>
                <w:sz w:val="20"/>
                <w:szCs w:val="20"/>
              </w:rPr>
            </w:pPr>
            <w:r>
              <w:rPr>
                <w:rFonts w:ascii="Arial" w:hAnsi="Arial" w:cs="Arial"/>
                <w:sz w:val="20"/>
                <w:szCs w:val="20"/>
              </w:rPr>
              <w:t>乡村基础设施建设</w:t>
            </w:r>
          </w:p>
        </w:tc>
        <w:tc>
          <w:tcPr>
            <w:tcW w:w="2484" w:type="pct"/>
          </w:tcPr>
          <w:p w14:paraId="2299B912">
            <w:pPr>
              <w:adjustRightInd w:val="0"/>
              <w:snapToGrid w:val="0"/>
              <w:rPr>
                <w:rFonts w:ascii="Arial" w:hAnsi="Arial" w:cs="Arial"/>
                <w:sz w:val="20"/>
                <w:szCs w:val="20"/>
              </w:rPr>
            </w:pPr>
            <w:r>
              <w:rPr>
                <w:rFonts w:ascii="Arial" w:hAnsi="Arial" w:cs="Arial"/>
                <w:sz w:val="20"/>
                <w:szCs w:val="20"/>
              </w:rPr>
              <w:t>实施农村道路通畅工程、提升农村供水保障水平、升级农村信息基础设施、优化乡村能源结构、推进健康乡村建设、</w:t>
            </w:r>
            <w:r>
              <w:rPr>
                <w:rFonts w:ascii="Arial" w:hAnsi="Arial" w:cs="Arial"/>
                <w:sz w:val="20"/>
                <w:szCs w:val="20"/>
                <w:lang w:val="en-GB"/>
              </w:rPr>
              <w:t>建设县乡村三级寄递物流体系</w:t>
            </w:r>
            <w:r>
              <w:rPr>
                <w:rFonts w:ascii="Arial" w:hAnsi="Arial" w:cs="Arial"/>
                <w:sz w:val="20"/>
                <w:szCs w:val="20"/>
              </w:rPr>
              <w:t>等</w:t>
            </w:r>
          </w:p>
        </w:tc>
        <w:tc>
          <w:tcPr>
            <w:tcW w:w="444" w:type="pct"/>
          </w:tcPr>
          <w:p w14:paraId="7E5DB9CF">
            <w:pPr>
              <w:adjustRightInd w:val="0"/>
              <w:snapToGrid w:val="0"/>
              <w:rPr>
                <w:rFonts w:ascii="Arial" w:hAnsi="Arial" w:cs="Arial"/>
                <w:sz w:val="20"/>
                <w:szCs w:val="20"/>
              </w:rPr>
            </w:pPr>
            <w:r>
              <w:rPr>
                <w:rFonts w:ascii="Arial" w:hAnsi="Arial" w:cs="Arial"/>
                <w:sz w:val="20"/>
                <w:szCs w:val="20"/>
              </w:rPr>
              <w:t>无</w:t>
            </w:r>
          </w:p>
        </w:tc>
        <w:tc>
          <w:tcPr>
            <w:tcW w:w="530" w:type="pct"/>
          </w:tcPr>
          <w:p w14:paraId="6CAE24F8">
            <w:pPr>
              <w:adjustRightInd w:val="0"/>
              <w:snapToGrid w:val="0"/>
              <w:rPr>
                <w:rFonts w:ascii="Arial" w:hAnsi="Arial" w:cs="Arial"/>
                <w:sz w:val="20"/>
                <w:szCs w:val="20"/>
              </w:rPr>
            </w:pPr>
            <w:r>
              <w:rPr>
                <w:rFonts w:ascii="Arial" w:hAnsi="Arial" w:cs="Arial"/>
                <w:sz w:val="20"/>
                <w:szCs w:val="20"/>
              </w:rPr>
              <w:t>无</w:t>
            </w:r>
          </w:p>
        </w:tc>
        <w:tc>
          <w:tcPr>
            <w:tcW w:w="375" w:type="pct"/>
          </w:tcPr>
          <w:p w14:paraId="6FCD3826">
            <w:pPr>
              <w:adjustRightInd w:val="0"/>
              <w:snapToGrid w:val="0"/>
              <w:rPr>
                <w:rFonts w:ascii="Arial" w:hAnsi="Arial" w:cs="Arial"/>
                <w:sz w:val="20"/>
                <w:szCs w:val="20"/>
              </w:rPr>
            </w:pPr>
            <w:r>
              <w:rPr>
                <w:rFonts w:ascii="Arial" w:hAnsi="Arial" w:cs="Arial"/>
                <w:sz w:val="20"/>
                <w:szCs w:val="20"/>
              </w:rPr>
              <w:t>非优先领域</w:t>
            </w:r>
          </w:p>
        </w:tc>
      </w:tr>
      <w:tr w14:paraId="5B9B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49218775">
            <w:pPr>
              <w:adjustRightInd w:val="0"/>
              <w:snapToGrid w:val="0"/>
              <w:rPr>
                <w:rFonts w:ascii="Arial" w:hAnsi="Arial" w:cs="Arial"/>
                <w:sz w:val="20"/>
                <w:szCs w:val="20"/>
              </w:rPr>
            </w:pPr>
          </w:p>
        </w:tc>
        <w:tc>
          <w:tcPr>
            <w:tcW w:w="194" w:type="pct"/>
            <w:vMerge w:val="continue"/>
          </w:tcPr>
          <w:p w14:paraId="26566C39">
            <w:pPr>
              <w:adjustRightInd w:val="0"/>
              <w:snapToGrid w:val="0"/>
              <w:rPr>
                <w:rFonts w:ascii="Arial" w:hAnsi="Arial" w:cs="Arial"/>
                <w:sz w:val="20"/>
                <w:szCs w:val="20"/>
                <w:lang w:val="en-GB"/>
              </w:rPr>
            </w:pPr>
          </w:p>
        </w:tc>
        <w:tc>
          <w:tcPr>
            <w:tcW w:w="585" w:type="pct"/>
          </w:tcPr>
          <w:p w14:paraId="5C827C94">
            <w:pPr>
              <w:adjustRightInd w:val="0"/>
              <w:snapToGrid w:val="0"/>
              <w:rPr>
                <w:rFonts w:ascii="Arial" w:hAnsi="Arial" w:cs="Arial"/>
                <w:sz w:val="20"/>
                <w:szCs w:val="20"/>
              </w:rPr>
            </w:pPr>
            <w:r>
              <w:rPr>
                <w:rFonts w:ascii="Arial" w:hAnsi="Arial" w:cs="Arial"/>
                <w:sz w:val="20"/>
                <w:szCs w:val="20"/>
                <w:lang w:val="en-GB"/>
              </w:rPr>
              <w:t>农产品仓储保鲜冷链物流设施建设</w:t>
            </w:r>
          </w:p>
        </w:tc>
        <w:tc>
          <w:tcPr>
            <w:tcW w:w="2484" w:type="pct"/>
          </w:tcPr>
          <w:p w14:paraId="14F22A9C">
            <w:pPr>
              <w:adjustRightInd w:val="0"/>
              <w:snapToGrid w:val="0"/>
              <w:rPr>
                <w:rFonts w:ascii="Arial" w:hAnsi="Arial" w:cs="Arial"/>
                <w:sz w:val="20"/>
                <w:szCs w:val="20"/>
                <w:lang w:val="en-GB"/>
              </w:rPr>
            </w:pPr>
            <w:r>
              <w:rPr>
                <w:rFonts w:ascii="Arial" w:hAnsi="Arial" w:cs="Arial"/>
                <w:sz w:val="20"/>
                <w:szCs w:val="20"/>
                <w:lang w:val="en-GB"/>
              </w:rPr>
              <w:t>支持田头小型仓储保鲜冷链设施、产地低温直销配送中心、国家骨干冷链物流基地建设</w:t>
            </w:r>
          </w:p>
        </w:tc>
        <w:tc>
          <w:tcPr>
            <w:tcW w:w="444" w:type="pct"/>
          </w:tcPr>
          <w:p w14:paraId="29596B47">
            <w:pPr>
              <w:adjustRightInd w:val="0"/>
              <w:snapToGrid w:val="0"/>
              <w:rPr>
                <w:rFonts w:ascii="Arial" w:hAnsi="Arial" w:cs="Arial"/>
                <w:sz w:val="20"/>
                <w:szCs w:val="20"/>
              </w:rPr>
            </w:pPr>
            <w:r>
              <w:rPr>
                <w:rFonts w:ascii="Arial" w:hAnsi="Arial" w:cs="Arial"/>
                <w:sz w:val="20"/>
                <w:szCs w:val="20"/>
              </w:rPr>
              <w:t>无</w:t>
            </w:r>
          </w:p>
        </w:tc>
        <w:tc>
          <w:tcPr>
            <w:tcW w:w="530" w:type="pct"/>
          </w:tcPr>
          <w:p w14:paraId="66755D01">
            <w:pPr>
              <w:adjustRightInd w:val="0"/>
              <w:snapToGrid w:val="0"/>
              <w:rPr>
                <w:rFonts w:ascii="Arial" w:hAnsi="Arial" w:cs="Arial"/>
                <w:sz w:val="20"/>
                <w:szCs w:val="20"/>
              </w:rPr>
            </w:pPr>
            <w:r>
              <w:rPr>
                <w:rFonts w:ascii="Arial" w:hAnsi="Arial" w:cs="Arial"/>
                <w:sz w:val="20"/>
                <w:szCs w:val="20"/>
              </w:rPr>
              <w:t>无</w:t>
            </w:r>
          </w:p>
        </w:tc>
        <w:tc>
          <w:tcPr>
            <w:tcW w:w="375" w:type="pct"/>
          </w:tcPr>
          <w:p w14:paraId="3F7DE3E1">
            <w:pPr>
              <w:adjustRightInd w:val="0"/>
              <w:snapToGrid w:val="0"/>
              <w:rPr>
                <w:rFonts w:ascii="Arial" w:hAnsi="Arial" w:cs="Arial"/>
                <w:sz w:val="20"/>
                <w:szCs w:val="20"/>
              </w:rPr>
            </w:pPr>
            <w:r>
              <w:rPr>
                <w:rFonts w:ascii="Arial" w:hAnsi="Arial" w:cs="Arial"/>
                <w:sz w:val="20"/>
                <w:szCs w:val="20"/>
              </w:rPr>
              <w:t>非优先领域</w:t>
            </w:r>
          </w:p>
        </w:tc>
      </w:tr>
      <w:tr w14:paraId="1E2D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restart"/>
          </w:tcPr>
          <w:p w14:paraId="08DA2BC8">
            <w:pPr>
              <w:adjustRightInd w:val="0"/>
              <w:snapToGrid w:val="0"/>
              <w:rPr>
                <w:rFonts w:ascii="Arial" w:hAnsi="Arial" w:cs="Arial"/>
                <w:b/>
                <w:bCs/>
                <w:sz w:val="20"/>
                <w:szCs w:val="20"/>
              </w:rPr>
            </w:pPr>
            <w:r>
              <w:rPr>
                <w:rFonts w:ascii="Arial" w:hAnsi="Arial" w:cs="Arial"/>
                <w:b/>
                <w:bCs/>
                <w:sz w:val="20"/>
                <w:szCs w:val="20"/>
                <w:lang w:val="en-GB"/>
              </w:rPr>
              <w:t>6.</w:t>
            </w:r>
            <w:r>
              <w:rPr>
                <w:rFonts w:ascii="Arial" w:hAnsi="Arial" w:cs="Arial"/>
                <w:b/>
                <w:bCs/>
                <w:sz w:val="20"/>
                <w:szCs w:val="20"/>
              </w:rPr>
              <w:t xml:space="preserve"> 提升农村基层治理能力和水平</w:t>
            </w:r>
          </w:p>
        </w:tc>
        <w:tc>
          <w:tcPr>
            <w:tcW w:w="779" w:type="pct"/>
            <w:gridSpan w:val="2"/>
          </w:tcPr>
          <w:p w14:paraId="34CE51CD">
            <w:pPr>
              <w:adjustRightInd w:val="0"/>
              <w:snapToGrid w:val="0"/>
              <w:rPr>
                <w:rFonts w:ascii="Arial" w:hAnsi="Arial" w:cs="Arial"/>
                <w:sz w:val="20"/>
                <w:szCs w:val="20"/>
              </w:rPr>
            </w:pPr>
            <w:r>
              <w:rPr>
                <w:rFonts w:ascii="Arial" w:hAnsi="Arial" w:cs="Arial"/>
                <w:sz w:val="20"/>
                <w:szCs w:val="20"/>
              </w:rPr>
              <w:t>提高治理能力</w:t>
            </w:r>
          </w:p>
        </w:tc>
        <w:tc>
          <w:tcPr>
            <w:tcW w:w="2484" w:type="pct"/>
          </w:tcPr>
          <w:p w14:paraId="6A24FD83">
            <w:pPr>
              <w:adjustRightInd w:val="0"/>
              <w:snapToGrid w:val="0"/>
              <w:rPr>
                <w:rFonts w:ascii="Arial" w:hAnsi="Arial" w:cs="Arial"/>
                <w:sz w:val="20"/>
                <w:szCs w:val="20"/>
              </w:rPr>
            </w:pPr>
            <w:r>
              <w:rPr>
                <w:rFonts w:ascii="Arial" w:hAnsi="Arial" w:cs="Arial"/>
                <w:sz w:val="20"/>
                <w:szCs w:val="20"/>
              </w:rPr>
              <w:t>加强基层党组织建设、提升基层治理水平、发展壮大新型农村集体经济等</w:t>
            </w:r>
          </w:p>
        </w:tc>
        <w:tc>
          <w:tcPr>
            <w:tcW w:w="444" w:type="pct"/>
          </w:tcPr>
          <w:p w14:paraId="281E74D7">
            <w:pPr>
              <w:adjustRightInd w:val="0"/>
              <w:snapToGrid w:val="0"/>
              <w:rPr>
                <w:rFonts w:ascii="Arial" w:hAnsi="Arial" w:cs="Arial"/>
                <w:sz w:val="20"/>
                <w:szCs w:val="20"/>
              </w:rPr>
            </w:pPr>
            <w:r>
              <w:rPr>
                <w:rFonts w:ascii="Arial" w:hAnsi="Arial" w:cs="Arial"/>
                <w:sz w:val="20"/>
                <w:szCs w:val="20"/>
              </w:rPr>
              <w:t>无</w:t>
            </w:r>
          </w:p>
        </w:tc>
        <w:tc>
          <w:tcPr>
            <w:tcW w:w="530" w:type="pct"/>
          </w:tcPr>
          <w:p w14:paraId="33752550">
            <w:pPr>
              <w:adjustRightInd w:val="0"/>
              <w:snapToGrid w:val="0"/>
              <w:rPr>
                <w:rFonts w:ascii="Arial" w:hAnsi="Arial" w:cs="Arial"/>
                <w:sz w:val="20"/>
                <w:szCs w:val="20"/>
              </w:rPr>
            </w:pPr>
            <w:r>
              <w:rPr>
                <w:rFonts w:ascii="Arial" w:hAnsi="Arial" w:cs="Arial"/>
                <w:sz w:val="20"/>
                <w:szCs w:val="20"/>
              </w:rPr>
              <w:t>无</w:t>
            </w:r>
          </w:p>
        </w:tc>
        <w:tc>
          <w:tcPr>
            <w:tcW w:w="375" w:type="pct"/>
          </w:tcPr>
          <w:p w14:paraId="3025334C">
            <w:pPr>
              <w:adjustRightInd w:val="0"/>
              <w:snapToGrid w:val="0"/>
              <w:rPr>
                <w:rFonts w:ascii="Arial" w:hAnsi="Arial" w:cs="Arial"/>
                <w:sz w:val="20"/>
                <w:szCs w:val="20"/>
              </w:rPr>
            </w:pPr>
            <w:r>
              <w:rPr>
                <w:rFonts w:ascii="Arial" w:hAnsi="Arial" w:cs="Arial"/>
                <w:sz w:val="20"/>
                <w:szCs w:val="20"/>
              </w:rPr>
              <w:t>非优先领域</w:t>
            </w:r>
          </w:p>
        </w:tc>
      </w:tr>
      <w:tr w14:paraId="76AC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5BE4CC50">
            <w:pPr>
              <w:adjustRightInd w:val="0"/>
              <w:snapToGrid w:val="0"/>
              <w:rPr>
                <w:rFonts w:ascii="Arial" w:hAnsi="Arial" w:cs="Arial"/>
                <w:b/>
                <w:bCs/>
                <w:sz w:val="20"/>
                <w:szCs w:val="20"/>
              </w:rPr>
            </w:pPr>
          </w:p>
        </w:tc>
        <w:tc>
          <w:tcPr>
            <w:tcW w:w="779" w:type="pct"/>
            <w:gridSpan w:val="2"/>
            <w:vMerge w:val="restart"/>
          </w:tcPr>
          <w:p w14:paraId="737EF359">
            <w:pPr>
              <w:adjustRightInd w:val="0"/>
              <w:snapToGrid w:val="0"/>
              <w:rPr>
                <w:rFonts w:ascii="Arial" w:hAnsi="Arial" w:cs="Arial"/>
                <w:sz w:val="20"/>
                <w:szCs w:val="20"/>
              </w:rPr>
            </w:pPr>
            <w:r>
              <w:rPr>
                <w:rFonts w:ascii="Arial" w:hAnsi="Arial" w:cs="Arial"/>
                <w:sz w:val="20"/>
                <w:szCs w:val="20"/>
              </w:rPr>
              <w:t>推动农民增收致富</w:t>
            </w:r>
          </w:p>
        </w:tc>
        <w:tc>
          <w:tcPr>
            <w:tcW w:w="2484" w:type="pct"/>
          </w:tcPr>
          <w:p w14:paraId="684A98D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支持农民创业就业、建立健全普惠性的农民补贴长效机制等</w:t>
            </w:r>
          </w:p>
        </w:tc>
        <w:tc>
          <w:tcPr>
            <w:tcW w:w="444" w:type="pct"/>
          </w:tcPr>
          <w:p w14:paraId="10D54A98">
            <w:pPr>
              <w:adjustRightInd w:val="0"/>
              <w:snapToGrid w:val="0"/>
              <w:rPr>
                <w:rFonts w:ascii="Arial" w:hAnsi="Arial" w:cs="Arial"/>
                <w:sz w:val="20"/>
                <w:szCs w:val="20"/>
              </w:rPr>
            </w:pPr>
            <w:r>
              <w:rPr>
                <w:rFonts w:ascii="Arial" w:hAnsi="Arial" w:cs="Arial"/>
                <w:sz w:val="20"/>
                <w:szCs w:val="20"/>
              </w:rPr>
              <w:t>无</w:t>
            </w:r>
          </w:p>
        </w:tc>
        <w:tc>
          <w:tcPr>
            <w:tcW w:w="530" w:type="pct"/>
          </w:tcPr>
          <w:p w14:paraId="619B5354">
            <w:pPr>
              <w:adjustRightInd w:val="0"/>
              <w:snapToGrid w:val="0"/>
              <w:rPr>
                <w:rFonts w:ascii="Arial" w:hAnsi="Arial" w:cs="Arial"/>
                <w:sz w:val="20"/>
                <w:szCs w:val="20"/>
              </w:rPr>
            </w:pPr>
            <w:r>
              <w:rPr>
                <w:rFonts w:ascii="Arial" w:hAnsi="Arial" w:cs="Arial"/>
                <w:sz w:val="20"/>
                <w:szCs w:val="20"/>
              </w:rPr>
              <w:t>无</w:t>
            </w:r>
          </w:p>
        </w:tc>
        <w:tc>
          <w:tcPr>
            <w:tcW w:w="375" w:type="pct"/>
          </w:tcPr>
          <w:p w14:paraId="1ED89A81">
            <w:pPr>
              <w:adjustRightInd w:val="0"/>
              <w:snapToGrid w:val="0"/>
              <w:rPr>
                <w:rFonts w:ascii="Arial" w:hAnsi="Arial" w:cs="Arial"/>
                <w:sz w:val="20"/>
                <w:szCs w:val="20"/>
              </w:rPr>
            </w:pPr>
            <w:r>
              <w:rPr>
                <w:rFonts w:ascii="Arial" w:hAnsi="Arial" w:cs="Arial"/>
                <w:sz w:val="20"/>
                <w:szCs w:val="20"/>
              </w:rPr>
              <w:t>非优先领域</w:t>
            </w:r>
          </w:p>
        </w:tc>
      </w:tr>
      <w:tr w14:paraId="7F3D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88" w:type="pct"/>
            <w:vMerge w:val="continue"/>
          </w:tcPr>
          <w:p w14:paraId="4113F1BB">
            <w:pPr>
              <w:adjustRightInd w:val="0"/>
              <w:snapToGrid w:val="0"/>
              <w:rPr>
                <w:rFonts w:ascii="Arial" w:hAnsi="Arial" w:cs="Arial"/>
                <w:b/>
                <w:bCs/>
                <w:sz w:val="20"/>
                <w:szCs w:val="20"/>
              </w:rPr>
            </w:pPr>
          </w:p>
        </w:tc>
        <w:tc>
          <w:tcPr>
            <w:tcW w:w="779" w:type="pct"/>
            <w:gridSpan w:val="2"/>
            <w:vMerge w:val="continue"/>
          </w:tcPr>
          <w:p w14:paraId="352D70F8">
            <w:pPr>
              <w:adjustRightInd w:val="0"/>
              <w:snapToGrid w:val="0"/>
              <w:rPr>
                <w:rFonts w:ascii="Arial" w:hAnsi="Arial" w:cs="Arial"/>
                <w:sz w:val="20"/>
                <w:szCs w:val="20"/>
              </w:rPr>
            </w:pPr>
          </w:p>
        </w:tc>
        <w:tc>
          <w:tcPr>
            <w:tcW w:w="2484" w:type="pct"/>
          </w:tcPr>
          <w:p w14:paraId="2B53B25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通过为</w:t>
            </w:r>
            <w:r>
              <w:rPr>
                <w:rFonts w:ascii="Arial" w:hAnsi="Arial" w:cs="Arial"/>
                <w:color w:val="000000" w:themeColor="text1"/>
                <w:sz w:val="20"/>
                <w:szCs w:val="20"/>
                <w:lang w:val="en-GB"/>
                <w14:textFill>
                  <w14:solidFill>
                    <w14:schemeClr w14:val="tx1"/>
                  </w14:solidFill>
                </w14:textFill>
              </w:rPr>
              <w:t>农民合作社</w:t>
            </w:r>
            <w:r>
              <w:rPr>
                <w:rFonts w:ascii="Arial" w:hAnsi="Arial" w:cs="Arial"/>
                <w:color w:val="000000" w:themeColor="text1"/>
                <w:sz w:val="20"/>
                <w:szCs w:val="20"/>
                <w14:textFill>
                  <w14:solidFill>
                    <w14:schemeClr w14:val="tx1"/>
                  </w14:solidFill>
                </w14:textFill>
              </w:rPr>
              <w:t>、农民用水协会、农资经销商、农业职业经理人等开展培训，培养绿色技术与人才</w:t>
            </w:r>
          </w:p>
        </w:tc>
        <w:tc>
          <w:tcPr>
            <w:tcW w:w="444" w:type="pct"/>
          </w:tcPr>
          <w:p w14:paraId="44EE4C36">
            <w:pPr>
              <w:adjustRightInd w:val="0"/>
              <w:snapToGrid w:val="0"/>
              <w:rPr>
                <w:rFonts w:ascii="Arial" w:hAnsi="Arial" w:cs="Arial"/>
                <w:sz w:val="20"/>
                <w:szCs w:val="20"/>
              </w:rPr>
            </w:pPr>
            <w:r>
              <w:rPr>
                <w:rFonts w:ascii="Arial" w:hAnsi="Arial" w:cs="Arial"/>
                <w:sz w:val="20"/>
                <w:szCs w:val="20"/>
              </w:rPr>
              <w:t>同左列</w:t>
            </w:r>
          </w:p>
        </w:tc>
        <w:tc>
          <w:tcPr>
            <w:tcW w:w="530" w:type="pct"/>
          </w:tcPr>
          <w:p w14:paraId="04EE96D4">
            <w:pPr>
              <w:adjustRightInd w:val="0"/>
              <w:snapToGrid w:val="0"/>
              <w:rPr>
                <w:rFonts w:ascii="Arial" w:hAnsi="Arial" w:cs="Arial"/>
                <w:sz w:val="20"/>
                <w:szCs w:val="20"/>
              </w:rPr>
            </w:pPr>
            <w:r>
              <w:rPr>
                <w:rFonts w:ascii="Arial" w:hAnsi="Arial" w:cs="Arial"/>
                <w:sz w:val="20"/>
                <w:szCs w:val="20"/>
              </w:rPr>
              <w:t>RA1.2：加强机构管理能力</w:t>
            </w:r>
          </w:p>
        </w:tc>
        <w:tc>
          <w:tcPr>
            <w:tcW w:w="375" w:type="pct"/>
          </w:tcPr>
          <w:p w14:paraId="501CE302">
            <w:pPr>
              <w:adjustRightInd w:val="0"/>
              <w:snapToGrid w:val="0"/>
              <w:rPr>
                <w:rFonts w:ascii="Arial" w:hAnsi="Arial" w:cs="Arial"/>
                <w:sz w:val="20"/>
                <w:szCs w:val="20"/>
              </w:rPr>
            </w:pPr>
          </w:p>
        </w:tc>
      </w:tr>
    </w:tbl>
    <w:p w14:paraId="7D0B903A">
      <w:pPr>
        <w:adjustRightInd w:val="0"/>
        <w:snapToGrid w:val="0"/>
        <w:spacing w:after="120" w:afterLines="50"/>
        <w:rPr>
          <w:rFonts w:ascii="Arial" w:hAnsi="Arial" w:cs="Arial"/>
          <w:bCs/>
          <w:sz w:val="20"/>
          <w:szCs w:val="20"/>
          <w:highlight w:val="yellow"/>
        </w:rPr>
      </w:pPr>
    </w:p>
    <w:p w14:paraId="3FA9076B">
      <w:pPr>
        <w:rPr>
          <w:rFonts w:ascii="Arial" w:hAnsi="Arial" w:cs="Arial"/>
          <w:b/>
          <w:bCs/>
          <w:sz w:val="22"/>
          <w:szCs w:val="22"/>
        </w:rPr>
      </w:pPr>
      <w:r>
        <w:rPr>
          <w:rFonts w:ascii="Arial" w:hAnsi="Arial" w:cs="Arial"/>
          <w:b/>
          <w:bCs/>
          <w:sz w:val="22"/>
          <w:szCs w:val="22"/>
        </w:rPr>
        <w:br w:type="page"/>
      </w:r>
    </w:p>
    <w:p w14:paraId="528E6192">
      <w:pPr>
        <w:pStyle w:val="48"/>
        <w:numPr>
          <w:ilvl w:val="0"/>
          <w:numId w:val="37"/>
        </w:numPr>
        <w:ind w:firstLineChars="0"/>
        <w:rPr>
          <w:rFonts w:ascii="Arial" w:hAnsi="Arial" w:cs="Arial"/>
          <w:b/>
          <w:bCs/>
          <w:sz w:val="22"/>
          <w:szCs w:val="22"/>
          <w:lang w:val="en-GB"/>
        </w:rPr>
      </w:pPr>
      <w:r>
        <w:rPr>
          <w:rFonts w:ascii="Arial" w:hAnsi="Arial" w:cs="Arial"/>
          <w:b/>
          <w:bCs/>
          <w:sz w:val="22"/>
          <w:szCs w:val="22"/>
        </w:rPr>
        <w:t>湖南省规划活动内容及</w:t>
      </w:r>
      <w:r>
        <w:rPr>
          <w:rFonts w:ascii="Arial" w:hAnsi="Arial" w:cs="Arial"/>
          <w:b/>
          <w:bCs/>
          <w:sz w:val="22"/>
          <w:szCs w:val="22"/>
          <w:lang w:val="en-GB"/>
        </w:rPr>
        <w:t>PforR边界</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5"/>
        <w:gridCol w:w="1665"/>
        <w:gridCol w:w="7877"/>
        <w:gridCol w:w="1281"/>
        <w:gridCol w:w="1568"/>
        <w:gridCol w:w="1100"/>
      </w:tblGrid>
      <w:tr w14:paraId="75D8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3650" w:type="pct"/>
            <w:gridSpan w:val="3"/>
            <w:shd w:val="clear" w:color="auto" w:fill="auto"/>
          </w:tcPr>
          <w:p w14:paraId="3B4205BE">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湖南省“十四五”农业农村现代化规划</w:t>
            </w:r>
          </w:p>
        </w:tc>
        <w:tc>
          <w:tcPr>
            <w:tcW w:w="438" w:type="pct"/>
            <w:vMerge w:val="restart"/>
            <w:shd w:val="clear" w:color="auto" w:fill="auto"/>
          </w:tcPr>
          <w:p w14:paraId="6EE30C7B">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纳入本项目PforR</w:t>
            </w:r>
            <w:r>
              <w:rPr>
                <w:rFonts w:ascii="Arial" w:hAnsi="Arial" w:cs="Arial"/>
                <w:b/>
                <w:bCs/>
                <w:color w:val="000000" w:themeColor="text1"/>
                <w:sz w:val="20"/>
                <w:szCs w:val="20"/>
                <w:lang w:val="en-GB"/>
                <w14:textFill>
                  <w14:solidFill>
                    <w14:schemeClr w14:val="tx1"/>
                  </w14:solidFill>
                </w14:textFill>
              </w:rPr>
              <w:t>的活动</w:t>
            </w:r>
          </w:p>
        </w:tc>
        <w:tc>
          <w:tcPr>
            <w:tcW w:w="536" w:type="pct"/>
            <w:vMerge w:val="restart"/>
            <w:shd w:val="clear" w:color="auto" w:fill="auto"/>
          </w:tcPr>
          <w:p w14:paraId="1762CF4F">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对应本项目PforR的</w:t>
            </w:r>
            <w:r>
              <w:rPr>
                <w:rFonts w:ascii="Arial" w:hAnsi="Arial" w:cs="Arial"/>
                <w:b/>
                <w:bCs/>
                <w:color w:val="000000" w:themeColor="text1"/>
                <w:sz w:val="20"/>
                <w:szCs w:val="20"/>
                <w:lang w:val="en-GB"/>
                <w14:textFill>
                  <w14:solidFill>
                    <w14:schemeClr w14:val="tx1"/>
                  </w14:solidFill>
                </w14:textFill>
              </w:rPr>
              <w:t>类别</w:t>
            </w:r>
          </w:p>
        </w:tc>
        <w:tc>
          <w:tcPr>
            <w:tcW w:w="376" w:type="pct"/>
            <w:vMerge w:val="restart"/>
            <w:shd w:val="clear" w:color="auto" w:fill="auto"/>
          </w:tcPr>
          <w:p w14:paraId="44B7D0A8">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不纳入的</w:t>
            </w:r>
          </w:p>
          <w:p w14:paraId="5ACC9765">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原因</w:t>
            </w:r>
          </w:p>
        </w:tc>
      </w:tr>
      <w:tr w14:paraId="3559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388" w:type="pct"/>
            <w:shd w:val="clear" w:color="auto" w:fill="auto"/>
          </w:tcPr>
          <w:p w14:paraId="1B278A33">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规划领域</w:t>
            </w:r>
          </w:p>
        </w:tc>
        <w:tc>
          <w:tcPr>
            <w:tcW w:w="569" w:type="pct"/>
            <w:shd w:val="clear" w:color="auto" w:fill="auto"/>
          </w:tcPr>
          <w:p w14:paraId="56ED9760">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活动类型</w:t>
            </w:r>
          </w:p>
        </w:tc>
        <w:tc>
          <w:tcPr>
            <w:tcW w:w="2693" w:type="pct"/>
            <w:shd w:val="clear" w:color="auto" w:fill="auto"/>
          </w:tcPr>
          <w:p w14:paraId="73D51756">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省级和县级主要规划活动</w:t>
            </w:r>
          </w:p>
        </w:tc>
        <w:tc>
          <w:tcPr>
            <w:tcW w:w="438" w:type="pct"/>
            <w:vMerge w:val="continue"/>
            <w:shd w:val="clear" w:color="auto" w:fill="auto"/>
          </w:tcPr>
          <w:p w14:paraId="50ED39CC">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536" w:type="pct"/>
            <w:vMerge w:val="continue"/>
            <w:shd w:val="clear" w:color="auto" w:fill="auto"/>
          </w:tcPr>
          <w:p w14:paraId="37CF352E">
            <w:pPr>
              <w:adjustRightInd w:val="0"/>
              <w:snapToGrid w:val="0"/>
              <w:jc w:val="center"/>
              <w:rPr>
                <w:rFonts w:ascii="Arial" w:hAnsi="Arial" w:cs="Arial"/>
                <w:b/>
                <w:bCs/>
                <w:color w:val="000000" w:themeColor="text1"/>
                <w:sz w:val="20"/>
                <w:szCs w:val="20"/>
                <w14:textFill>
                  <w14:solidFill>
                    <w14:schemeClr w14:val="tx1"/>
                  </w14:solidFill>
                </w14:textFill>
              </w:rPr>
            </w:pPr>
          </w:p>
        </w:tc>
        <w:tc>
          <w:tcPr>
            <w:tcW w:w="376" w:type="pct"/>
            <w:vMerge w:val="continue"/>
            <w:shd w:val="clear" w:color="auto" w:fill="auto"/>
          </w:tcPr>
          <w:p w14:paraId="2337F909">
            <w:pPr>
              <w:adjustRightInd w:val="0"/>
              <w:snapToGrid w:val="0"/>
              <w:jc w:val="center"/>
              <w:rPr>
                <w:rFonts w:ascii="Arial" w:hAnsi="Arial" w:cs="Arial"/>
                <w:b/>
                <w:bCs/>
                <w:color w:val="000000" w:themeColor="text1"/>
                <w:sz w:val="20"/>
                <w:szCs w:val="20"/>
                <w14:textFill>
                  <w14:solidFill>
                    <w14:schemeClr w14:val="tx1"/>
                  </w14:solidFill>
                </w14:textFill>
              </w:rPr>
            </w:pPr>
          </w:p>
        </w:tc>
      </w:tr>
      <w:tr w14:paraId="775A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45BC4F18">
            <w:pPr>
              <w:adjustRightInd w:val="0"/>
              <w:snapToGrid w:val="0"/>
              <w:rPr>
                <w:rFonts w:ascii="Arial" w:hAnsi="Arial" w:cs="Arial"/>
                <w:b/>
                <w:bCs/>
                <w:color w:val="000000" w:themeColor="text1"/>
                <w:sz w:val="20"/>
                <w:szCs w:val="20"/>
                <w:lang w:val="en-GB"/>
                <w14:textFill>
                  <w14:solidFill>
                    <w14:schemeClr w14:val="tx1"/>
                  </w14:solidFill>
                </w14:textFill>
              </w:rPr>
            </w:pPr>
            <w:r>
              <w:rPr>
                <w:rFonts w:ascii="Arial" w:hAnsi="Arial" w:cs="Arial"/>
                <w:b/>
                <w:bCs/>
                <w:color w:val="000000" w:themeColor="text1"/>
                <w:sz w:val="20"/>
                <w:szCs w:val="20"/>
                <w:lang w:val="en-GB"/>
                <w14:textFill>
                  <w14:solidFill>
                    <w14:schemeClr w14:val="tx1"/>
                  </w14:solidFill>
                </w14:textFill>
              </w:rPr>
              <w:t>1.</w:t>
            </w:r>
            <w:r>
              <w:rPr>
                <w:rFonts w:ascii="Arial" w:hAnsi="Arial" w:cs="Arial"/>
                <w:b/>
                <w:bCs/>
                <w:color w:val="000000" w:themeColor="text1"/>
                <w14:textFill>
                  <w14:solidFill>
                    <w14:schemeClr w14:val="tx1"/>
                  </w14:solidFill>
                </w14:textFill>
              </w:rPr>
              <w:t xml:space="preserve"> </w:t>
            </w:r>
            <w:r>
              <w:rPr>
                <w:rFonts w:ascii="Arial" w:hAnsi="Arial" w:cs="Arial"/>
                <w:b/>
                <w:bCs/>
                <w:color w:val="000000" w:themeColor="text1"/>
                <w:sz w:val="20"/>
                <w:szCs w:val="20"/>
                <w14:textFill>
                  <w14:solidFill>
                    <w14:schemeClr w14:val="tx1"/>
                  </w14:solidFill>
                </w14:textFill>
              </w:rPr>
              <w:t>提升粮食等重要农产品供给保障水平</w:t>
            </w:r>
          </w:p>
        </w:tc>
        <w:tc>
          <w:tcPr>
            <w:tcW w:w="569" w:type="pct"/>
          </w:tcPr>
          <w:p w14:paraId="64331FB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lang w:val="en-GB"/>
                <w14:textFill>
                  <w14:solidFill>
                    <w14:schemeClr w14:val="tx1"/>
                  </w14:solidFill>
                </w14:textFill>
              </w:rPr>
              <w:t>粮食安全</w:t>
            </w:r>
          </w:p>
        </w:tc>
        <w:tc>
          <w:tcPr>
            <w:tcW w:w="2693" w:type="pct"/>
          </w:tcPr>
          <w:p w14:paraId="18547AB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稳定粮食种植面积、推广高效增产技术等</w:t>
            </w:r>
          </w:p>
        </w:tc>
        <w:tc>
          <w:tcPr>
            <w:tcW w:w="438" w:type="pct"/>
          </w:tcPr>
          <w:p w14:paraId="7BF459A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68213F9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5E90E2D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4AC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6DB2AF1">
            <w:pPr>
              <w:adjustRightInd w:val="0"/>
              <w:snapToGrid w:val="0"/>
              <w:rPr>
                <w:rFonts w:ascii="Arial" w:hAnsi="Arial" w:cs="Arial"/>
                <w:b/>
                <w:bCs/>
                <w:color w:val="000000" w:themeColor="text1"/>
                <w:sz w:val="20"/>
                <w:szCs w:val="20"/>
                <w:lang w:val="en-GB"/>
                <w14:textFill>
                  <w14:solidFill>
                    <w14:schemeClr w14:val="tx1"/>
                  </w14:solidFill>
                </w14:textFill>
              </w:rPr>
            </w:pPr>
          </w:p>
        </w:tc>
        <w:tc>
          <w:tcPr>
            <w:tcW w:w="569" w:type="pct"/>
          </w:tcPr>
          <w:p w14:paraId="310B539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农产品供给</w:t>
            </w:r>
          </w:p>
        </w:tc>
        <w:tc>
          <w:tcPr>
            <w:tcW w:w="2693" w:type="pct"/>
          </w:tcPr>
          <w:p w14:paraId="1A9395B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支持生猪、蔬菜、食用油、水果、水产等产业发展</w:t>
            </w:r>
          </w:p>
        </w:tc>
        <w:tc>
          <w:tcPr>
            <w:tcW w:w="438" w:type="pct"/>
          </w:tcPr>
          <w:p w14:paraId="2AE4362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0FFD218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7CFBD87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743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BDF9912">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restart"/>
          </w:tcPr>
          <w:p w14:paraId="2C0029B2">
            <w:pPr>
              <w:pStyle w:val="36"/>
              <w:adjustRightInd w:val="0"/>
              <w:snapToGrid w:val="0"/>
              <w:spacing w:before="0" w:beforeAutospacing="0" w:after="0" w:afterAutospacing="0"/>
              <w:rPr>
                <w:rFonts w:ascii="Arial" w:hAnsi="Arial" w:cs="Arial"/>
                <w:color w:val="000000" w:themeColor="text1"/>
                <w14:textFill>
                  <w14:solidFill>
                    <w14:schemeClr w14:val="tx1"/>
                  </w14:solidFill>
                </w14:textFill>
              </w:rPr>
            </w:pPr>
            <w:r>
              <w:rPr>
                <w:rFonts w:ascii="Arial" w:hAnsi="Arial" w:cs="Arial"/>
                <w:color w:val="000000" w:themeColor="text1"/>
                <w:sz w:val="20"/>
                <w:szCs w:val="20"/>
                <w:lang w:eastAsia="zh-CN"/>
                <w14:textFill>
                  <w14:solidFill>
                    <w14:schemeClr w14:val="tx1"/>
                  </w14:solidFill>
                </w14:textFill>
              </w:rPr>
              <w:t>农产品质量安全</w:t>
            </w:r>
          </w:p>
        </w:tc>
        <w:tc>
          <w:tcPr>
            <w:tcW w:w="2693" w:type="pct"/>
          </w:tcPr>
          <w:p w14:paraId="1D4C698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发展绿色、有机、地理标志和合格达标农产品，建设农产品质量安全追溯体系等</w:t>
            </w:r>
          </w:p>
        </w:tc>
        <w:tc>
          <w:tcPr>
            <w:tcW w:w="438" w:type="pct"/>
          </w:tcPr>
          <w:p w14:paraId="177A48E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94B710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6E3AF7D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530E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14596BF1">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458EB3B3">
            <w:pPr>
              <w:pStyle w:val="36"/>
              <w:adjustRightInd w:val="0"/>
              <w:snapToGrid w:val="0"/>
              <w:spacing w:before="0" w:beforeAutospacing="0" w:after="0" w:afterAutospacing="0"/>
              <w:rPr>
                <w:rFonts w:ascii="Arial" w:hAnsi="Arial" w:cs="Arial"/>
                <w:color w:val="000000" w:themeColor="text1"/>
                <w:sz w:val="20"/>
                <w:szCs w:val="20"/>
                <w:lang w:eastAsia="zh-CN"/>
                <w14:textFill>
                  <w14:solidFill>
                    <w14:schemeClr w14:val="tx1"/>
                  </w14:solidFill>
                </w14:textFill>
              </w:rPr>
            </w:pPr>
          </w:p>
        </w:tc>
        <w:tc>
          <w:tcPr>
            <w:tcW w:w="2693" w:type="pct"/>
          </w:tcPr>
          <w:p w14:paraId="0E90A7E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进农药减量，如慈利县将采用病虫害综合防治措施，计划减少农药使用量80吨；衡南县计划减少农药使用量220吨；澧县将采购太阳能杀虫灯260盏、诱虫板80000张、生物农药10t、植保无人机10台，实现绿色防控面积3333.33公顷</w:t>
            </w:r>
          </w:p>
        </w:tc>
        <w:tc>
          <w:tcPr>
            <w:tcW w:w="438" w:type="pct"/>
          </w:tcPr>
          <w:p w14:paraId="5E85320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36DC7DA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RA2：农业产业链绿色发展 </w:t>
            </w:r>
          </w:p>
        </w:tc>
        <w:tc>
          <w:tcPr>
            <w:tcW w:w="376" w:type="pct"/>
          </w:tcPr>
          <w:p w14:paraId="43CE0E7E">
            <w:pPr>
              <w:adjustRightInd w:val="0"/>
              <w:snapToGrid w:val="0"/>
              <w:rPr>
                <w:rFonts w:ascii="Arial" w:hAnsi="Arial" w:cs="Arial"/>
                <w:color w:val="000000" w:themeColor="text1"/>
                <w:sz w:val="20"/>
                <w:szCs w:val="20"/>
                <w14:textFill>
                  <w14:solidFill>
                    <w14:schemeClr w14:val="tx1"/>
                  </w14:solidFill>
                </w14:textFill>
              </w:rPr>
            </w:pPr>
          </w:p>
        </w:tc>
      </w:tr>
      <w:tr w14:paraId="4D02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C63B07F">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restart"/>
          </w:tcPr>
          <w:p w14:paraId="1776E03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耕地保护和质量建设</w:t>
            </w:r>
          </w:p>
        </w:tc>
        <w:tc>
          <w:tcPr>
            <w:tcW w:w="2693" w:type="pct"/>
          </w:tcPr>
          <w:p w14:paraId="46845CF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建设水稻、油菜、棉花等生产功能区或生产保护区</w:t>
            </w:r>
          </w:p>
        </w:tc>
        <w:tc>
          <w:tcPr>
            <w:tcW w:w="438" w:type="pct"/>
          </w:tcPr>
          <w:p w14:paraId="5EF0734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98295E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31BD7A1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2D3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1B789E9">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2932A476">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16DBFD3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开展以酸性土壤改良为主的退化耕地治理试点</w:t>
            </w:r>
          </w:p>
        </w:tc>
        <w:tc>
          <w:tcPr>
            <w:tcW w:w="438" w:type="pct"/>
          </w:tcPr>
          <w:p w14:paraId="108ED3B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525DFDE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RA4：恢复和保护农业生态系统</w:t>
            </w:r>
          </w:p>
        </w:tc>
        <w:tc>
          <w:tcPr>
            <w:tcW w:w="376" w:type="pct"/>
          </w:tcPr>
          <w:p w14:paraId="7AE29DF8">
            <w:pPr>
              <w:adjustRightInd w:val="0"/>
              <w:snapToGrid w:val="0"/>
              <w:rPr>
                <w:rFonts w:ascii="Arial" w:hAnsi="Arial" w:cs="Arial"/>
                <w:color w:val="000000" w:themeColor="text1"/>
                <w:sz w:val="20"/>
                <w:szCs w:val="20"/>
                <w14:textFill>
                  <w14:solidFill>
                    <w14:schemeClr w14:val="tx1"/>
                  </w14:solidFill>
                </w14:textFill>
              </w:rPr>
            </w:pPr>
          </w:p>
        </w:tc>
      </w:tr>
      <w:tr w14:paraId="185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C77AFF0">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76A584E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高标准农田建设</w:t>
            </w:r>
          </w:p>
        </w:tc>
        <w:tc>
          <w:tcPr>
            <w:tcW w:w="2693" w:type="pct"/>
          </w:tcPr>
          <w:p w14:paraId="46E9197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新建高标准农田1000万亩，改造提升450万亩，发展高效节水灌溉80万亩等</w:t>
            </w:r>
          </w:p>
        </w:tc>
        <w:tc>
          <w:tcPr>
            <w:tcW w:w="438" w:type="pct"/>
          </w:tcPr>
          <w:p w14:paraId="7781D77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B33109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0111864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0AED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4618D81B">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422762A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农村水利设施建设</w:t>
            </w:r>
          </w:p>
        </w:tc>
        <w:tc>
          <w:tcPr>
            <w:tcW w:w="2693" w:type="pct"/>
          </w:tcPr>
          <w:p w14:paraId="7BFFA25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8处大型灌区和100处中型灌区配套改造；大中小型水库除险加固等</w:t>
            </w:r>
          </w:p>
        </w:tc>
        <w:tc>
          <w:tcPr>
            <w:tcW w:w="438" w:type="pct"/>
          </w:tcPr>
          <w:p w14:paraId="1903B40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3E1D607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080A370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7E45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64FD267A">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5EB9F8B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农业抗风险能力</w:t>
            </w:r>
          </w:p>
        </w:tc>
        <w:tc>
          <w:tcPr>
            <w:tcW w:w="2693" w:type="pct"/>
          </w:tcPr>
          <w:p w14:paraId="1F86D7D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乡村气象防灾减灾标准化建设，强化动植物疫病防控能力等</w:t>
            </w:r>
          </w:p>
        </w:tc>
        <w:tc>
          <w:tcPr>
            <w:tcW w:w="438" w:type="pct"/>
          </w:tcPr>
          <w:p w14:paraId="1312899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935AB8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2B01C73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07FE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3FA75DDC">
            <w:pPr>
              <w:adjustRightInd w:val="0"/>
              <w:snapToGrid w:val="0"/>
              <w:rPr>
                <w:rFonts w:ascii="Arial" w:hAnsi="Arial" w:cs="Arial"/>
                <w:b/>
                <w:bCs/>
                <w:color w:val="000000" w:themeColor="text1"/>
                <w:sz w:val="20"/>
                <w:szCs w:val="20"/>
                <w:lang w:val="en-GB"/>
                <w14:textFill>
                  <w14:solidFill>
                    <w14:schemeClr w14:val="tx1"/>
                  </w14:solidFill>
                </w14:textFill>
              </w:rPr>
            </w:pPr>
            <w:bookmarkStart w:id="743" w:name="_Hlk117240384"/>
            <w:r>
              <w:rPr>
                <w:rFonts w:ascii="Arial" w:hAnsi="Arial" w:cs="Arial"/>
                <w:b/>
                <w:bCs/>
                <w:color w:val="000000" w:themeColor="text1"/>
                <w:sz w:val="20"/>
                <w:szCs w:val="20"/>
                <w:lang w:val="en-GB"/>
                <w14:textFill>
                  <w14:solidFill>
                    <w14:schemeClr w14:val="tx1"/>
                  </w14:solidFill>
                </w14:textFill>
              </w:rPr>
              <w:t>2. 大力发展精细农业</w:t>
            </w:r>
          </w:p>
        </w:tc>
        <w:tc>
          <w:tcPr>
            <w:tcW w:w="569" w:type="pct"/>
          </w:tcPr>
          <w:p w14:paraId="12C8891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发展特色农业</w:t>
            </w:r>
          </w:p>
        </w:tc>
        <w:tc>
          <w:tcPr>
            <w:tcW w:w="2693" w:type="pct"/>
          </w:tcPr>
          <w:p w14:paraId="323F9B0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打造农业优势特色千亿产业、培育“湘”味农产品品牌、发展提升乡村休闲旅游业等</w:t>
            </w:r>
          </w:p>
        </w:tc>
        <w:tc>
          <w:tcPr>
            <w:tcW w:w="438" w:type="pct"/>
          </w:tcPr>
          <w:p w14:paraId="4D2B68C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155FA98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11F891D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bookmarkEnd w:id="743"/>
      <w:tr w14:paraId="2F5D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35670D6">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3633A28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农业全产业链建设</w:t>
            </w:r>
          </w:p>
        </w:tc>
        <w:tc>
          <w:tcPr>
            <w:tcW w:w="2693" w:type="pct"/>
          </w:tcPr>
          <w:p w14:paraId="75EFC8C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发展优质稻米、生猪、蔬菜、茶叶、食用油、水产、水果、中药材等重点链</w:t>
            </w:r>
          </w:p>
        </w:tc>
        <w:tc>
          <w:tcPr>
            <w:tcW w:w="438" w:type="pct"/>
          </w:tcPr>
          <w:p w14:paraId="0AF62DB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2143D08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41A3436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298A4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tcPr>
          <w:p w14:paraId="32D1B891">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lang w:val="en-GB"/>
                <w14:textFill>
                  <w14:solidFill>
                    <w14:schemeClr w14:val="tx1"/>
                  </w14:solidFill>
                </w14:textFill>
              </w:rPr>
              <w:t>3. 强化现代农业科技</w:t>
            </w:r>
          </w:p>
        </w:tc>
        <w:tc>
          <w:tcPr>
            <w:tcW w:w="569" w:type="pct"/>
          </w:tcPr>
          <w:p w14:paraId="32A26C3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创新驱动</w:t>
            </w:r>
          </w:p>
        </w:tc>
        <w:tc>
          <w:tcPr>
            <w:tcW w:w="2693" w:type="pct"/>
          </w:tcPr>
          <w:p w14:paraId="1C1E562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推进种业创新发展、推进智慧智能农机产业链高质量发展、加快农业信息化和数字乡村建设等</w:t>
            </w:r>
          </w:p>
        </w:tc>
        <w:tc>
          <w:tcPr>
            <w:tcW w:w="438" w:type="pct"/>
          </w:tcPr>
          <w:p w14:paraId="52DB8CF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BBB395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6894A4F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1DB0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3A1BE085">
            <w:pPr>
              <w:adjustRightInd w:val="0"/>
              <w:snapToGrid w:val="0"/>
              <w:rPr>
                <w:rFonts w:hint="eastAsia" w:ascii="Arial" w:hAnsi="Arial" w:eastAsia="宋体" w:cs="Arial"/>
                <w:b/>
                <w:bCs/>
                <w:color w:val="000000" w:themeColor="text1"/>
                <w:sz w:val="20"/>
                <w:szCs w:val="20"/>
                <w:lang w:eastAsia="zh-CN"/>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4. </w:t>
            </w:r>
            <w:r>
              <w:rPr>
                <w:rFonts w:hint="eastAsia" w:ascii="Arial" w:hAnsi="Arial" w:cs="Arial"/>
                <w:b/>
                <w:bCs/>
                <w:color w:val="000000" w:themeColor="text1"/>
                <w:sz w:val="20"/>
                <w:szCs w:val="20"/>
                <w:lang w:eastAsia="zh-CN"/>
                <w14:textFill>
                  <w14:solidFill>
                    <w14:schemeClr w14:val="tx1"/>
                  </w14:solidFill>
                </w14:textFill>
              </w:rPr>
              <w:t>巩固拓展脱贫攻坚成果同乡村振兴有效衔接</w:t>
            </w:r>
          </w:p>
        </w:tc>
        <w:tc>
          <w:tcPr>
            <w:tcW w:w="569" w:type="pct"/>
          </w:tcPr>
          <w:p w14:paraId="5A811C8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脱贫地区发展</w:t>
            </w:r>
          </w:p>
        </w:tc>
        <w:tc>
          <w:tcPr>
            <w:tcW w:w="2693" w:type="pct"/>
          </w:tcPr>
          <w:p w14:paraId="2630CC4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巩固拓展脱贫攻坚成果、有效衔接推进乡村振兴、开展乡村振兴重点帮扶</w:t>
            </w:r>
          </w:p>
        </w:tc>
        <w:tc>
          <w:tcPr>
            <w:tcW w:w="438" w:type="pct"/>
          </w:tcPr>
          <w:p w14:paraId="39187F3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7BD5B4F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508BC929">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782E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2A481C36">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2B6F1D9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促进农民增收和全面发展</w:t>
            </w:r>
          </w:p>
        </w:tc>
        <w:tc>
          <w:tcPr>
            <w:tcW w:w="2693" w:type="pct"/>
          </w:tcPr>
          <w:p w14:paraId="60CFA2E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培育高素质农民、促进农民就业创业、提升农民收入水平等</w:t>
            </w:r>
          </w:p>
        </w:tc>
        <w:tc>
          <w:tcPr>
            <w:tcW w:w="438" w:type="pct"/>
          </w:tcPr>
          <w:p w14:paraId="18A9E28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863D74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39471CF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0BCA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318E78FB">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5. 实施乡村建设行动</w:t>
            </w:r>
          </w:p>
        </w:tc>
        <w:tc>
          <w:tcPr>
            <w:tcW w:w="569" w:type="pct"/>
          </w:tcPr>
          <w:p w14:paraId="41C40CE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科学编制村庄规划</w:t>
            </w:r>
          </w:p>
        </w:tc>
        <w:tc>
          <w:tcPr>
            <w:tcW w:w="2693" w:type="pct"/>
          </w:tcPr>
          <w:p w14:paraId="1930AE7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启动部分重点村庄的规划编制工作，如澧县将针对5个村编制空间综合乡村发展计划；衡南县将选取16个村编制多规合一的村庄规划，</w:t>
            </w:r>
          </w:p>
        </w:tc>
        <w:tc>
          <w:tcPr>
            <w:tcW w:w="438" w:type="pct"/>
          </w:tcPr>
          <w:p w14:paraId="7BA231A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1857710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RA3 </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 xml:space="preserve"> 改善农村生活垃圾和生活污水服务</w:t>
            </w:r>
          </w:p>
        </w:tc>
        <w:tc>
          <w:tcPr>
            <w:tcW w:w="376" w:type="pct"/>
          </w:tcPr>
          <w:p w14:paraId="6D986E43">
            <w:pPr>
              <w:adjustRightInd w:val="0"/>
              <w:snapToGrid w:val="0"/>
              <w:rPr>
                <w:rFonts w:ascii="Arial" w:hAnsi="Arial" w:cs="Arial"/>
                <w:color w:val="000000" w:themeColor="text1"/>
                <w:sz w:val="20"/>
                <w:szCs w:val="20"/>
                <w14:textFill>
                  <w14:solidFill>
                    <w14:schemeClr w14:val="tx1"/>
                  </w14:solidFill>
                </w14:textFill>
              </w:rPr>
            </w:pPr>
          </w:p>
        </w:tc>
      </w:tr>
      <w:tr w14:paraId="52C2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04065BA9">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restart"/>
          </w:tcPr>
          <w:p w14:paraId="02F718C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农村人居环境整治</w:t>
            </w:r>
          </w:p>
        </w:tc>
        <w:tc>
          <w:tcPr>
            <w:tcW w:w="2693" w:type="pct"/>
          </w:tcPr>
          <w:p w14:paraId="5C7EF8A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推进农村厕所革命：如慈利县将建设卫生厕所5000座；衡南县将建设卫生厕所6000座</w:t>
            </w:r>
          </w:p>
        </w:tc>
        <w:tc>
          <w:tcPr>
            <w:tcW w:w="438" w:type="pct"/>
          </w:tcPr>
          <w:p w14:paraId="0E157DB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69842FD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RA3 </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 xml:space="preserve"> 改善农村生活垃圾和生活污水服务</w:t>
            </w:r>
          </w:p>
        </w:tc>
        <w:tc>
          <w:tcPr>
            <w:tcW w:w="376" w:type="pct"/>
          </w:tcPr>
          <w:p w14:paraId="0F2D2A73">
            <w:pPr>
              <w:adjustRightInd w:val="0"/>
              <w:snapToGrid w:val="0"/>
              <w:rPr>
                <w:rFonts w:ascii="Arial" w:hAnsi="Arial" w:cs="Arial"/>
                <w:color w:val="000000" w:themeColor="text1"/>
                <w:sz w:val="20"/>
                <w:szCs w:val="20"/>
                <w14:textFill>
                  <w14:solidFill>
                    <w14:schemeClr w14:val="tx1"/>
                  </w14:solidFill>
                </w14:textFill>
              </w:rPr>
            </w:pPr>
          </w:p>
        </w:tc>
      </w:tr>
      <w:tr w14:paraId="0DD2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D41CF4B">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60BA67FB">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6A33EC36">
            <w:pPr>
              <w:adjustRightInd w:val="0"/>
              <w:snapToGrid w:val="0"/>
              <w:rPr>
                <w:rFonts w:ascii="Arial" w:hAnsi="Arial" w:cs="Arial"/>
                <w:color w:val="000000" w:themeColor="text1"/>
                <w:sz w:val="20"/>
                <w:szCs w:val="20"/>
                <w:lang w:val="en-GB"/>
                <w14:textFill>
                  <w14:solidFill>
                    <w14:schemeClr w14:val="tx1"/>
                  </w14:solidFill>
                </w14:textFill>
              </w:rPr>
            </w:pPr>
            <w:r>
              <w:rPr>
                <w:rFonts w:ascii="Arial" w:hAnsi="Arial" w:cs="Arial"/>
                <w:color w:val="000000" w:themeColor="text1"/>
                <w:sz w:val="20"/>
                <w:szCs w:val="20"/>
                <w14:textFill>
                  <w14:solidFill>
                    <w14:schemeClr w14:val="tx1"/>
                  </w14:solidFill>
                </w14:textFill>
              </w:rPr>
              <w:t>推进农村生活污水治理：比如澧县将建设污水管网4.42km、独户生活污水净化池1000座、人工湿地5000m</w:t>
            </w:r>
            <w:r>
              <w:rPr>
                <w:rFonts w:ascii="Arial" w:hAnsi="Arial" w:cs="Arial"/>
                <w:color w:val="000000" w:themeColor="text1"/>
                <w:sz w:val="20"/>
                <w:szCs w:val="20"/>
                <w:vertAlign w:val="superscript"/>
                <w14:textFill>
                  <w14:solidFill>
                    <w14:schemeClr w14:val="tx1"/>
                  </w14:solidFill>
                </w14:textFill>
              </w:rPr>
              <w:t>2</w:t>
            </w:r>
            <w:r>
              <w:rPr>
                <w:rFonts w:ascii="Arial" w:hAnsi="Arial" w:cs="Arial"/>
                <w:color w:val="000000" w:themeColor="text1"/>
                <w:sz w:val="20"/>
                <w:szCs w:val="20"/>
                <w14:textFill>
                  <w14:solidFill>
                    <w14:schemeClr w14:val="tx1"/>
                  </w14:solidFill>
                </w14:textFill>
              </w:rPr>
              <w:t>、生态塘20处；慈利县将建设农村污水管网58k</w:t>
            </w:r>
            <w:r>
              <w:rPr>
                <w:rFonts w:ascii="Arial" w:hAnsi="Arial" w:cs="Arial"/>
                <w:color w:val="000000" w:themeColor="text1"/>
                <w:sz w:val="20"/>
                <w:szCs w:val="20"/>
                <w:lang w:val="en-GB"/>
                <w14:textFill>
                  <w14:solidFill>
                    <w14:schemeClr w14:val="tx1"/>
                  </w14:solidFill>
                </w14:textFill>
              </w:rPr>
              <w:t>m、户用型生活污水净化池6000座、人工湿地8000m</w:t>
            </w:r>
            <w:r>
              <w:rPr>
                <w:rFonts w:ascii="Arial" w:hAnsi="Arial" w:cs="Arial"/>
                <w:color w:val="000000" w:themeColor="text1"/>
                <w:sz w:val="20"/>
                <w:szCs w:val="20"/>
                <w:vertAlign w:val="superscript"/>
                <w:lang w:val="en-GB"/>
                <w14:textFill>
                  <w14:solidFill>
                    <w14:schemeClr w14:val="tx1"/>
                  </w14:solidFill>
                </w14:textFill>
              </w:rPr>
              <w:t>2</w:t>
            </w:r>
            <w:r>
              <w:rPr>
                <w:rFonts w:ascii="Arial" w:hAnsi="Arial" w:cs="Arial"/>
                <w:color w:val="000000" w:themeColor="text1"/>
                <w:sz w:val="20"/>
                <w:szCs w:val="20"/>
                <w:lang w:val="en-GB"/>
                <w14:textFill>
                  <w14:solidFill>
                    <w14:schemeClr w14:val="tx1"/>
                  </w14:solidFill>
                </w14:textFill>
              </w:rPr>
              <w:t>、生态塘5000m</w:t>
            </w:r>
            <w:r>
              <w:rPr>
                <w:rFonts w:ascii="Arial" w:hAnsi="Arial" w:cs="Arial"/>
                <w:color w:val="000000" w:themeColor="text1"/>
                <w:sz w:val="20"/>
                <w:szCs w:val="20"/>
                <w:vertAlign w:val="superscript"/>
                <w:lang w:val="en-GB"/>
                <w14:textFill>
                  <w14:solidFill>
                    <w14:schemeClr w14:val="tx1"/>
                  </w14:solidFill>
                </w14:textFill>
              </w:rPr>
              <w:t>2</w:t>
            </w:r>
            <w:r>
              <w:rPr>
                <w:rFonts w:ascii="Arial" w:hAnsi="Arial" w:cs="Arial"/>
                <w:color w:val="000000" w:themeColor="text1"/>
                <w:sz w:val="20"/>
                <w:szCs w:val="20"/>
                <w:lang w:val="en-GB"/>
                <w14:textFill>
                  <w14:solidFill>
                    <w14:schemeClr w14:val="tx1"/>
                  </w14:solidFill>
                </w14:textFill>
              </w:rPr>
              <w:t>；衡南县计划建设污水管网72km、户用型生活污水净化池6000座、人工湿地7200m</w:t>
            </w:r>
            <w:r>
              <w:rPr>
                <w:rFonts w:ascii="Arial" w:hAnsi="Arial" w:cs="Arial"/>
                <w:color w:val="000000" w:themeColor="text1"/>
                <w:sz w:val="20"/>
                <w:szCs w:val="20"/>
                <w:vertAlign w:val="superscript"/>
                <w:lang w:val="en-GB"/>
                <w14:textFill>
                  <w14:solidFill>
                    <w14:schemeClr w14:val="tx1"/>
                  </w14:solidFill>
                </w14:textFill>
              </w:rPr>
              <w:t>2</w:t>
            </w:r>
            <w:r>
              <w:rPr>
                <w:rFonts w:ascii="Arial" w:hAnsi="Arial" w:cs="Arial"/>
                <w:color w:val="000000" w:themeColor="text1"/>
                <w:sz w:val="20"/>
                <w:szCs w:val="20"/>
                <w:lang w:val="en-GB"/>
                <w14:textFill>
                  <w14:solidFill>
                    <w14:schemeClr w14:val="tx1"/>
                  </w14:solidFill>
                </w14:textFill>
              </w:rPr>
              <w:t>、生态塘5000m</w:t>
            </w:r>
            <w:r>
              <w:rPr>
                <w:rFonts w:ascii="Arial" w:hAnsi="Arial" w:cs="Arial"/>
                <w:color w:val="000000" w:themeColor="text1"/>
                <w:sz w:val="20"/>
                <w:szCs w:val="20"/>
                <w:vertAlign w:val="superscript"/>
                <w:lang w:val="en-GB"/>
                <w14:textFill>
                  <w14:solidFill>
                    <w14:schemeClr w14:val="tx1"/>
                  </w14:solidFill>
                </w14:textFill>
              </w:rPr>
              <w:t>2</w:t>
            </w:r>
            <w:r>
              <w:rPr>
                <w:rFonts w:ascii="Arial" w:hAnsi="Arial" w:cs="Arial"/>
                <w:color w:val="000000" w:themeColor="text1"/>
                <w:sz w:val="20"/>
                <w:szCs w:val="20"/>
                <w:lang w:val="en-GB"/>
                <w14:textFill>
                  <w14:solidFill>
                    <w14:schemeClr w14:val="tx1"/>
                  </w14:solidFill>
                </w14:textFill>
              </w:rPr>
              <w:t>等</w:t>
            </w:r>
          </w:p>
        </w:tc>
        <w:tc>
          <w:tcPr>
            <w:tcW w:w="438" w:type="pct"/>
          </w:tcPr>
          <w:p w14:paraId="64F9C04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5C51B2B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RA3 </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 xml:space="preserve"> 改善农村生活垃圾和生活污水服务</w:t>
            </w:r>
          </w:p>
        </w:tc>
        <w:tc>
          <w:tcPr>
            <w:tcW w:w="376" w:type="pct"/>
          </w:tcPr>
          <w:p w14:paraId="4541F14B">
            <w:pPr>
              <w:adjustRightInd w:val="0"/>
              <w:snapToGrid w:val="0"/>
              <w:rPr>
                <w:rFonts w:ascii="Arial" w:hAnsi="Arial" w:cs="Arial"/>
                <w:color w:val="000000" w:themeColor="text1"/>
                <w:sz w:val="20"/>
                <w:szCs w:val="20"/>
                <w14:textFill>
                  <w14:solidFill>
                    <w14:schemeClr w14:val="tx1"/>
                  </w14:solidFill>
                </w14:textFill>
              </w:rPr>
            </w:pPr>
          </w:p>
        </w:tc>
      </w:tr>
      <w:tr w14:paraId="44C8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65C827D5">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4AAD0FD6">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6C456F7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提升农村生活垃圾治理水平：比如澧县将建立生活垃圾收集分类和转运系统的示范村4个，建设类小型V类垃圾压缩转运站（占地面积</w:t>
            </w:r>
            <w:r>
              <w:rPr>
                <w:rFonts w:ascii="Cambria Math" w:hAnsi="Cambria Math" w:cs="Cambria Math"/>
                <w:color w:val="000000" w:themeColor="text1"/>
                <w:sz w:val="20"/>
                <w:szCs w:val="20"/>
                <w14:textFill>
                  <w14:solidFill>
                    <w14:schemeClr w14:val="tx1"/>
                  </w14:solidFill>
                </w14:textFill>
              </w:rPr>
              <w:t>≦</w:t>
            </w:r>
            <w:r>
              <w:rPr>
                <w:rFonts w:ascii="Arial" w:hAnsi="Arial" w:cs="Arial"/>
                <w:color w:val="000000" w:themeColor="text1"/>
                <w:sz w:val="20"/>
                <w:szCs w:val="20"/>
                <w14:textFill>
                  <w14:solidFill>
                    <w14:schemeClr w14:val="tx1"/>
                  </w14:solidFill>
                </w14:textFill>
              </w:rPr>
              <w:t>500m</w:t>
            </w:r>
            <w:r>
              <w:rPr>
                <w:rFonts w:ascii="Arial" w:hAnsi="Arial" w:cs="Arial"/>
                <w:color w:val="000000" w:themeColor="text1"/>
                <w:sz w:val="20"/>
                <w:szCs w:val="20"/>
                <w:vertAlign w:val="superscript"/>
                <w14:textFill>
                  <w14:solidFill>
                    <w14:schemeClr w14:val="tx1"/>
                  </w14:solidFill>
                </w14:textFill>
              </w:rPr>
              <w:t>2</w:t>
            </w:r>
            <w:r>
              <w:rPr>
                <w:rFonts w:ascii="Arial" w:hAnsi="Arial" w:cs="Arial"/>
                <w:color w:val="000000" w:themeColor="text1"/>
                <w:sz w:val="20"/>
                <w:szCs w:val="20"/>
                <w14:textFill>
                  <w14:solidFill>
                    <w14:schemeClr w14:val="tx1"/>
                  </w14:solidFill>
                </w14:textFill>
              </w:rPr>
              <w:t>），配备移动式垃圾压缩设备15台；慈利县将配备移动式垃圾压缩设备一台、建设垃圾中转站一座；衡南县将配备移动式垃圾压缩设备2台，建设垃圾中转站2座</w:t>
            </w:r>
          </w:p>
        </w:tc>
        <w:tc>
          <w:tcPr>
            <w:tcW w:w="438" w:type="pct"/>
          </w:tcPr>
          <w:p w14:paraId="3ED10EB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752DE25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RA3 </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 xml:space="preserve"> 改善农村生活垃圾和生活污水服务</w:t>
            </w:r>
          </w:p>
        </w:tc>
        <w:tc>
          <w:tcPr>
            <w:tcW w:w="376" w:type="pct"/>
          </w:tcPr>
          <w:p w14:paraId="7C50DA00">
            <w:pPr>
              <w:adjustRightInd w:val="0"/>
              <w:snapToGrid w:val="0"/>
              <w:rPr>
                <w:rFonts w:ascii="Arial" w:hAnsi="Arial" w:cs="Arial"/>
                <w:color w:val="000000" w:themeColor="text1"/>
                <w:sz w:val="20"/>
                <w:szCs w:val="20"/>
                <w14:textFill>
                  <w14:solidFill>
                    <w14:schemeClr w14:val="tx1"/>
                  </w14:solidFill>
                </w14:textFill>
              </w:rPr>
            </w:pPr>
          </w:p>
        </w:tc>
      </w:tr>
      <w:tr w14:paraId="6CC1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4E82CEEA">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0B48C293">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015D338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村容村貌提升：农民新居工程、农村美化绿化气化工程、农村公共空间整治工程等</w:t>
            </w:r>
          </w:p>
        </w:tc>
        <w:tc>
          <w:tcPr>
            <w:tcW w:w="438" w:type="pct"/>
          </w:tcPr>
          <w:p w14:paraId="6F8EAFB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4FF8BC8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146473F6">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235B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2DA8E0B">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vMerge w:val="continue"/>
          </w:tcPr>
          <w:p w14:paraId="25880EF2">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6FB2104F">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村庄清洁行动：分类制定村庄清洁行动标准规范等</w:t>
            </w:r>
          </w:p>
        </w:tc>
        <w:tc>
          <w:tcPr>
            <w:tcW w:w="438" w:type="pct"/>
          </w:tcPr>
          <w:p w14:paraId="1D28A1F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3ADA063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592CB65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2B83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0FE04C24">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2AD5B46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建设美丽乡村</w:t>
            </w:r>
          </w:p>
        </w:tc>
        <w:tc>
          <w:tcPr>
            <w:tcW w:w="2693" w:type="pct"/>
          </w:tcPr>
          <w:p w14:paraId="6376BD8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培育美丽乡村县、美丽乡村乡镇、美丽乡村示范村和省级特色精品村等</w:t>
            </w:r>
          </w:p>
        </w:tc>
        <w:tc>
          <w:tcPr>
            <w:tcW w:w="438" w:type="pct"/>
          </w:tcPr>
          <w:p w14:paraId="5D51529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13DA11F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2FF029E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292F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D0189CD">
            <w:pPr>
              <w:adjustRightInd w:val="0"/>
              <w:snapToGrid w:val="0"/>
              <w:rPr>
                <w:rFonts w:ascii="Arial" w:hAnsi="Arial" w:cs="Arial"/>
                <w:color w:val="000000" w:themeColor="text1"/>
                <w:sz w:val="20"/>
                <w:szCs w:val="20"/>
                <w14:textFill>
                  <w14:solidFill>
                    <w14:schemeClr w14:val="tx1"/>
                  </w14:solidFill>
                </w14:textFill>
              </w:rPr>
            </w:pPr>
          </w:p>
        </w:tc>
        <w:tc>
          <w:tcPr>
            <w:tcW w:w="569" w:type="pct"/>
            <w:vMerge w:val="restart"/>
          </w:tcPr>
          <w:p w14:paraId="3F10753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推动乡村基础设施建设提档升级</w:t>
            </w:r>
          </w:p>
        </w:tc>
        <w:tc>
          <w:tcPr>
            <w:tcW w:w="2693" w:type="pct"/>
          </w:tcPr>
          <w:p w14:paraId="756D5648">
            <w:pPr>
              <w:pStyle w:val="36"/>
              <w:rPr>
                <w:rFonts w:ascii="Arial" w:hAnsi="Arial" w:cs="Arial"/>
                <w:color w:val="000000" w:themeColor="text1"/>
                <w:sz w:val="20"/>
                <w:szCs w:val="20"/>
                <w:lang w:eastAsia="zh-CN"/>
                <w14:textFill>
                  <w14:solidFill>
                    <w14:schemeClr w14:val="tx1"/>
                  </w14:solidFill>
                </w14:textFill>
              </w:rPr>
            </w:pPr>
            <w:r>
              <w:rPr>
                <w:rFonts w:ascii="Arial" w:hAnsi="Arial" w:cs="Arial"/>
                <w:color w:val="000000" w:themeColor="text1"/>
                <w:sz w:val="20"/>
                <w:szCs w:val="20"/>
                <w:lang w:eastAsia="zh-CN"/>
                <w14:textFill>
                  <w14:solidFill>
                    <w14:schemeClr w14:val="tx1"/>
                  </w14:solidFill>
                </w14:textFill>
              </w:rPr>
              <w:t>建设“四好农村路”，提升农村供水保障能力，实现县乡村三级物流配送全覆盖等</w:t>
            </w:r>
          </w:p>
        </w:tc>
        <w:tc>
          <w:tcPr>
            <w:tcW w:w="438" w:type="pct"/>
          </w:tcPr>
          <w:p w14:paraId="7E93F4C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0D23450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1D1AD37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EA4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12EF9CCC">
            <w:pPr>
              <w:adjustRightInd w:val="0"/>
              <w:snapToGrid w:val="0"/>
              <w:rPr>
                <w:rFonts w:ascii="Arial" w:hAnsi="Arial" w:cs="Arial"/>
                <w:color w:val="000000" w:themeColor="text1"/>
                <w:sz w:val="20"/>
                <w:szCs w:val="20"/>
                <w14:textFill>
                  <w14:solidFill>
                    <w14:schemeClr w14:val="tx1"/>
                  </w14:solidFill>
                </w14:textFill>
              </w:rPr>
            </w:pPr>
          </w:p>
        </w:tc>
        <w:tc>
          <w:tcPr>
            <w:tcW w:w="569" w:type="pct"/>
            <w:vMerge w:val="continue"/>
          </w:tcPr>
          <w:p w14:paraId="0D5F0A8A">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12240E1A">
            <w:pPr>
              <w:pStyle w:val="36"/>
              <w:rPr>
                <w:rFonts w:ascii="Arial" w:hAnsi="Arial" w:cs="Arial"/>
                <w:color w:val="000000" w:themeColor="text1"/>
                <w:sz w:val="20"/>
                <w:szCs w:val="20"/>
                <w:lang w:eastAsia="zh-CN"/>
                <w14:textFill>
                  <w14:solidFill>
                    <w14:schemeClr w14:val="tx1"/>
                  </w14:solidFill>
                </w14:textFill>
              </w:rPr>
            </w:pPr>
            <w:r>
              <w:rPr>
                <w:rFonts w:ascii="Arial" w:hAnsi="Arial" w:cs="Arial"/>
                <w:color w:val="000000" w:themeColor="text1"/>
                <w:sz w:val="20"/>
                <w:szCs w:val="20"/>
                <w:lang w:eastAsia="zh-CN"/>
                <w14:textFill>
                  <w14:solidFill>
                    <w14:schemeClr w14:val="tx1"/>
                  </w14:solidFill>
                </w14:textFill>
              </w:rPr>
              <w:t>加强县域农产品冷链物流设施建设，完善县域农产品供应链体系</w:t>
            </w:r>
          </w:p>
        </w:tc>
        <w:tc>
          <w:tcPr>
            <w:tcW w:w="438" w:type="pct"/>
          </w:tcPr>
          <w:p w14:paraId="0C3DB73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36AB770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6B030A0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41D8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434E7367">
            <w:pPr>
              <w:adjustRightInd w:val="0"/>
              <w:snapToGrid w:val="0"/>
              <w:rPr>
                <w:rFonts w:ascii="Arial" w:hAnsi="Arial" w:cs="Arial"/>
                <w:color w:val="000000" w:themeColor="text1"/>
                <w:sz w:val="20"/>
                <w:szCs w:val="20"/>
                <w14:textFill>
                  <w14:solidFill>
                    <w14:schemeClr w14:val="tx1"/>
                  </w14:solidFill>
                </w14:textFill>
              </w:rPr>
            </w:pPr>
          </w:p>
        </w:tc>
        <w:tc>
          <w:tcPr>
            <w:tcW w:w="569" w:type="pct"/>
          </w:tcPr>
          <w:p w14:paraId="33AE180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提升乡村公共服务</w:t>
            </w:r>
          </w:p>
        </w:tc>
        <w:tc>
          <w:tcPr>
            <w:tcW w:w="2693" w:type="pct"/>
          </w:tcPr>
          <w:p w14:paraId="38DD783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改善农村居民教育条件，改善农村医疗卫生服务条件、健全县乡村三级养老服务网络等</w:t>
            </w:r>
          </w:p>
        </w:tc>
        <w:tc>
          <w:tcPr>
            <w:tcW w:w="438" w:type="pct"/>
          </w:tcPr>
          <w:p w14:paraId="23590F5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2AADB1F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6491A0F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04B0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2FC04EC1">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6. 加强农业农村生态文明建设</w:t>
            </w:r>
          </w:p>
        </w:tc>
        <w:tc>
          <w:tcPr>
            <w:tcW w:w="569" w:type="pct"/>
          </w:tcPr>
          <w:p w14:paraId="7F9A20D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长江十年禁渔</w:t>
            </w:r>
          </w:p>
        </w:tc>
        <w:tc>
          <w:tcPr>
            <w:tcW w:w="2693" w:type="pct"/>
          </w:tcPr>
          <w:p w14:paraId="56EA08E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推动“长江十年禁渔令”落地，开展禁捕效果监测评估等</w:t>
            </w:r>
          </w:p>
        </w:tc>
        <w:tc>
          <w:tcPr>
            <w:tcW w:w="438" w:type="pct"/>
          </w:tcPr>
          <w:p w14:paraId="6B64866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0A85A46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440165E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D1F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1CC7843">
            <w:pPr>
              <w:adjustRightInd w:val="0"/>
              <w:snapToGrid w:val="0"/>
              <w:rPr>
                <w:rFonts w:ascii="Arial" w:hAnsi="Arial" w:cs="Arial"/>
                <w:color w:val="000000" w:themeColor="text1"/>
                <w:sz w:val="20"/>
                <w:szCs w:val="20"/>
                <w14:textFill>
                  <w14:solidFill>
                    <w14:schemeClr w14:val="tx1"/>
                  </w14:solidFill>
                </w14:textFill>
              </w:rPr>
            </w:pPr>
          </w:p>
        </w:tc>
        <w:tc>
          <w:tcPr>
            <w:tcW w:w="569" w:type="pct"/>
            <w:vMerge w:val="restart"/>
          </w:tcPr>
          <w:p w14:paraId="4C2E8FB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加强农业面源污染防治</w:t>
            </w:r>
          </w:p>
        </w:tc>
        <w:tc>
          <w:tcPr>
            <w:tcW w:w="2693" w:type="pct"/>
          </w:tcPr>
          <w:p w14:paraId="314D00A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持续开展畜禽粪污资源化利用，如慈利县计划实施畜禽粪污综合利用项目，通过沼气工程、发酵床、好氧堆肥等技术实现粪污综合利用量2.9万吨；衡南县计划粪污综合利用量31875吨；澧县将新建12吨/天有机肥厂2座、异位发酵床20座、农田废弃物发酵池50座、农用沼液储存池10座</w:t>
            </w:r>
          </w:p>
        </w:tc>
        <w:tc>
          <w:tcPr>
            <w:tcW w:w="438" w:type="pct"/>
          </w:tcPr>
          <w:p w14:paraId="721DF87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02D15D6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RA2：农业产业链绿色发展 </w:t>
            </w:r>
          </w:p>
        </w:tc>
        <w:tc>
          <w:tcPr>
            <w:tcW w:w="376" w:type="pct"/>
          </w:tcPr>
          <w:p w14:paraId="34F9C5A3">
            <w:pPr>
              <w:adjustRightInd w:val="0"/>
              <w:snapToGrid w:val="0"/>
              <w:rPr>
                <w:rFonts w:ascii="Arial" w:hAnsi="Arial" w:cs="Arial"/>
                <w:color w:val="000000" w:themeColor="text1"/>
                <w:sz w:val="20"/>
                <w:szCs w:val="20"/>
                <w14:textFill>
                  <w14:solidFill>
                    <w14:schemeClr w14:val="tx1"/>
                  </w14:solidFill>
                </w14:textFill>
              </w:rPr>
            </w:pPr>
          </w:p>
        </w:tc>
      </w:tr>
      <w:tr w14:paraId="4662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7796F1F1">
            <w:pPr>
              <w:adjustRightInd w:val="0"/>
              <w:snapToGrid w:val="0"/>
              <w:rPr>
                <w:rFonts w:ascii="Arial" w:hAnsi="Arial" w:cs="Arial"/>
                <w:color w:val="000000" w:themeColor="text1"/>
                <w:sz w:val="20"/>
                <w:szCs w:val="20"/>
                <w14:textFill>
                  <w14:solidFill>
                    <w14:schemeClr w14:val="tx1"/>
                  </w14:solidFill>
                </w14:textFill>
              </w:rPr>
            </w:pPr>
          </w:p>
        </w:tc>
        <w:tc>
          <w:tcPr>
            <w:tcW w:w="569" w:type="pct"/>
            <w:vMerge w:val="continue"/>
          </w:tcPr>
          <w:p w14:paraId="74CCA4C2">
            <w:pPr>
              <w:adjustRightInd w:val="0"/>
              <w:snapToGrid w:val="0"/>
              <w:rPr>
                <w:rFonts w:ascii="Arial" w:hAnsi="Arial" w:cs="Arial"/>
                <w:color w:val="000000" w:themeColor="text1"/>
                <w:sz w:val="20"/>
                <w:szCs w:val="20"/>
                <w14:textFill>
                  <w14:solidFill>
                    <w14:schemeClr w14:val="tx1"/>
                  </w14:solidFill>
                </w14:textFill>
              </w:rPr>
            </w:pPr>
          </w:p>
        </w:tc>
        <w:tc>
          <w:tcPr>
            <w:tcW w:w="2693" w:type="pct"/>
          </w:tcPr>
          <w:p w14:paraId="69D98A3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实施农膜、农药包装物回收行动，支持农膜、农药化肥包装瓶</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袋</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等农业废弃物回收处置</w:t>
            </w:r>
          </w:p>
        </w:tc>
        <w:tc>
          <w:tcPr>
            <w:tcW w:w="438" w:type="pct"/>
          </w:tcPr>
          <w:p w14:paraId="5997E41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331692E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040EC9D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02F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395C9303">
            <w:pPr>
              <w:adjustRightInd w:val="0"/>
              <w:snapToGrid w:val="0"/>
              <w:rPr>
                <w:rFonts w:ascii="Arial" w:hAnsi="Arial" w:cs="Arial"/>
                <w:color w:val="000000" w:themeColor="text1"/>
                <w:sz w:val="20"/>
                <w:szCs w:val="20"/>
                <w14:textFill>
                  <w14:solidFill>
                    <w14:schemeClr w14:val="tx1"/>
                  </w14:solidFill>
                </w14:textFill>
              </w:rPr>
            </w:pPr>
          </w:p>
        </w:tc>
        <w:tc>
          <w:tcPr>
            <w:tcW w:w="569" w:type="pct"/>
          </w:tcPr>
          <w:p w14:paraId="2F80B774">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推进化肥减量增效</w:t>
            </w:r>
          </w:p>
        </w:tc>
        <w:tc>
          <w:tcPr>
            <w:tcW w:w="2693" w:type="pct"/>
          </w:tcPr>
          <w:p w14:paraId="780A9D0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如慈利县将采用测土配方、种植绿肥、水肥一体化、增施有机肥和缓释肥等措施，计划减少化肥使用量1520吨；衡南县计划减少化肥使用量6200吨；澧县将施用有机肥替代化肥8000吨，开展测土配方施肥6000公顷，新建水肥一体化200公顷，绿肥种植2000公顷，购置有机肥撒肥机20台、吸粪车20 辆</w:t>
            </w:r>
          </w:p>
        </w:tc>
        <w:tc>
          <w:tcPr>
            <w:tcW w:w="438" w:type="pct"/>
          </w:tcPr>
          <w:p w14:paraId="4A37F99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606F68C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 xml:space="preserve">RA2：农业产业链绿色发展 </w:t>
            </w:r>
          </w:p>
        </w:tc>
        <w:tc>
          <w:tcPr>
            <w:tcW w:w="376" w:type="pct"/>
          </w:tcPr>
          <w:p w14:paraId="2D138059">
            <w:pPr>
              <w:adjustRightInd w:val="0"/>
              <w:snapToGrid w:val="0"/>
              <w:rPr>
                <w:rFonts w:ascii="Arial" w:hAnsi="Arial" w:cs="Arial"/>
                <w:color w:val="000000" w:themeColor="text1"/>
                <w:sz w:val="20"/>
                <w:szCs w:val="20"/>
                <w14:textFill>
                  <w14:solidFill>
                    <w14:schemeClr w14:val="tx1"/>
                  </w14:solidFill>
                </w14:textFill>
              </w:rPr>
            </w:pPr>
          </w:p>
        </w:tc>
      </w:tr>
      <w:tr w14:paraId="323B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1D0B41C0">
            <w:pPr>
              <w:adjustRightInd w:val="0"/>
              <w:snapToGrid w:val="0"/>
              <w:rPr>
                <w:rFonts w:ascii="Arial" w:hAnsi="Arial" w:cs="Arial"/>
                <w:color w:val="000000" w:themeColor="text1"/>
                <w:sz w:val="20"/>
                <w:szCs w:val="20"/>
                <w14:textFill>
                  <w14:solidFill>
                    <w14:schemeClr w14:val="tx1"/>
                  </w14:solidFill>
                </w14:textFill>
              </w:rPr>
            </w:pPr>
          </w:p>
        </w:tc>
        <w:tc>
          <w:tcPr>
            <w:tcW w:w="569" w:type="pct"/>
          </w:tcPr>
          <w:p w14:paraId="53E6215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持续推进耕地安全利用</w:t>
            </w:r>
          </w:p>
        </w:tc>
        <w:tc>
          <w:tcPr>
            <w:tcW w:w="2693" w:type="pct"/>
          </w:tcPr>
          <w:p w14:paraId="3E98ED9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开展污染耕地源头管控和安全利用、推进涉镉等重金属污染耕地防治，如慈利县将治理恢复受污染农田2000公顷；衡南县计划治理恢复受污染农田451公顷</w:t>
            </w:r>
          </w:p>
        </w:tc>
        <w:tc>
          <w:tcPr>
            <w:tcW w:w="438" w:type="pct"/>
          </w:tcPr>
          <w:p w14:paraId="0BE00A3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2CF558B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RA4：恢复和保护农业生态系统</w:t>
            </w:r>
          </w:p>
        </w:tc>
        <w:tc>
          <w:tcPr>
            <w:tcW w:w="376" w:type="pct"/>
          </w:tcPr>
          <w:p w14:paraId="5B5A4CA9">
            <w:pPr>
              <w:adjustRightInd w:val="0"/>
              <w:snapToGrid w:val="0"/>
              <w:rPr>
                <w:rFonts w:ascii="Arial" w:hAnsi="Arial" w:cs="Arial"/>
                <w:color w:val="000000" w:themeColor="text1"/>
                <w:sz w:val="20"/>
                <w:szCs w:val="20"/>
                <w14:textFill>
                  <w14:solidFill>
                    <w14:schemeClr w14:val="tx1"/>
                  </w14:solidFill>
                </w14:textFill>
              </w:rPr>
            </w:pPr>
          </w:p>
        </w:tc>
      </w:tr>
      <w:tr w14:paraId="2388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3B7B6AC5">
            <w:pPr>
              <w:adjustRightInd w:val="0"/>
              <w:snapToGrid w:val="0"/>
              <w:rPr>
                <w:rFonts w:ascii="Arial" w:hAnsi="Arial" w:cs="Arial"/>
                <w:b/>
                <w:bCs/>
                <w:color w:val="000000" w:themeColor="text1"/>
                <w:sz w:val="20"/>
                <w:szCs w:val="20"/>
                <w14:textFill>
                  <w14:solidFill>
                    <w14:schemeClr w14:val="tx1"/>
                  </w14:solidFill>
                </w14:textFill>
              </w:rPr>
            </w:pPr>
          </w:p>
        </w:tc>
        <w:tc>
          <w:tcPr>
            <w:tcW w:w="569" w:type="pct"/>
          </w:tcPr>
          <w:p w14:paraId="08BBDEC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农业农村领域减排固碳</w:t>
            </w:r>
          </w:p>
        </w:tc>
        <w:tc>
          <w:tcPr>
            <w:tcW w:w="2693" w:type="pct"/>
          </w:tcPr>
          <w:p w14:paraId="2A5E88FB">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种植业减排固碳、畜禽养殖业控污降碳、水产养殖业减排增汇、农机节能减排、可再生能源替代等</w:t>
            </w:r>
          </w:p>
        </w:tc>
        <w:tc>
          <w:tcPr>
            <w:tcW w:w="438" w:type="pct"/>
          </w:tcPr>
          <w:p w14:paraId="07B9D55C">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7F3AEB8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126ABAB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6B48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548245FF">
            <w:pPr>
              <w:adjustRightInd w:val="0"/>
              <w:snapToGrid w:val="0"/>
              <w:rPr>
                <w:rFonts w:ascii="Arial" w:hAnsi="Arial" w:cs="Arial"/>
                <w:color w:val="000000" w:themeColor="text1"/>
                <w:sz w:val="20"/>
                <w:szCs w:val="20"/>
                <w14:textFill>
                  <w14:solidFill>
                    <w14:schemeClr w14:val="tx1"/>
                  </w14:solidFill>
                </w14:textFill>
              </w:rPr>
            </w:pPr>
          </w:p>
        </w:tc>
        <w:tc>
          <w:tcPr>
            <w:tcW w:w="569" w:type="pct"/>
          </w:tcPr>
          <w:p w14:paraId="24C41EA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农业清洁生产和生态循环农业发展</w:t>
            </w:r>
          </w:p>
        </w:tc>
        <w:tc>
          <w:tcPr>
            <w:tcW w:w="2693" w:type="pct"/>
          </w:tcPr>
          <w:p w14:paraId="12D7DBE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实施高效节水灌溉工程、稻渔综合种养、大水体生态养殖</w:t>
            </w:r>
            <w:r>
              <w:rPr>
                <w:rFonts w:hint="eastAsia" w:ascii="Arial" w:hAnsi="Arial" w:cs="Arial"/>
                <w:color w:val="000000" w:themeColor="text1"/>
                <w:sz w:val="20"/>
                <w:szCs w:val="20"/>
                <w14:textFill>
                  <w14:solidFill>
                    <w14:schemeClr w14:val="tx1"/>
                  </w14:solidFill>
                </w14:textFill>
              </w:rPr>
              <w:t>、</w:t>
            </w:r>
            <w:r>
              <w:rPr>
                <w:rFonts w:ascii="Arial" w:hAnsi="Arial" w:cs="Arial"/>
                <w:color w:val="000000" w:themeColor="text1"/>
                <w:sz w:val="20"/>
                <w:szCs w:val="20"/>
                <w14:textFill>
                  <w14:solidFill>
                    <w14:schemeClr w14:val="tx1"/>
                  </w14:solidFill>
                </w14:textFill>
              </w:rPr>
              <w:t>渔业池塘标准化生态化改造、养殖尾水综合治理等</w:t>
            </w:r>
          </w:p>
        </w:tc>
        <w:tc>
          <w:tcPr>
            <w:tcW w:w="438" w:type="pct"/>
          </w:tcPr>
          <w:p w14:paraId="7E1C2FD0">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1A634B4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6E4BC16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4004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tcPr>
          <w:p w14:paraId="2FB6D835">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7. 推进乡村治理</w:t>
            </w:r>
          </w:p>
        </w:tc>
        <w:tc>
          <w:tcPr>
            <w:tcW w:w="569" w:type="pct"/>
          </w:tcPr>
          <w:p w14:paraId="1491283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乡村治理能力提升</w:t>
            </w:r>
          </w:p>
        </w:tc>
        <w:tc>
          <w:tcPr>
            <w:tcW w:w="2693" w:type="pct"/>
          </w:tcPr>
          <w:p w14:paraId="1FBFCFD2">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民主法治工程、村级财务阳光工程、乡村治理村镇样本工程等</w:t>
            </w:r>
          </w:p>
        </w:tc>
        <w:tc>
          <w:tcPr>
            <w:tcW w:w="438" w:type="pct"/>
          </w:tcPr>
          <w:p w14:paraId="1C9473F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0631D24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405CB7D3">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r w14:paraId="0FD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restart"/>
          </w:tcPr>
          <w:p w14:paraId="15E49E24">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8. 健全规划落实机制</w:t>
            </w:r>
          </w:p>
        </w:tc>
        <w:tc>
          <w:tcPr>
            <w:tcW w:w="569" w:type="pct"/>
          </w:tcPr>
          <w:p w14:paraId="7E9396F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强化人才保障</w:t>
            </w:r>
          </w:p>
        </w:tc>
        <w:tc>
          <w:tcPr>
            <w:tcW w:w="2693" w:type="pct"/>
          </w:tcPr>
          <w:p w14:paraId="7F13F51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通过为</w:t>
            </w:r>
            <w:r>
              <w:rPr>
                <w:rFonts w:ascii="Arial" w:hAnsi="Arial" w:cs="Arial"/>
                <w:color w:val="000000" w:themeColor="text1"/>
                <w:sz w:val="20"/>
                <w:szCs w:val="20"/>
                <w:lang w:val="en-GB"/>
                <w14:textFill>
                  <w14:solidFill>
                    <w14:schemeClr w14:val="tx1"/>
                  </w14:solidFill>
                </w14:textFill>
              </w:rPr>
              <w:t>农民合作社</w:t>
            </w:r>
            <w:r>
              <w:rPr>
                <w:rFonts w:ascii="Arial" w:hAnsi="Arial" w:cs="Arial"/>
                <w:color w:val="000000" w:themeColor="text1"/>
                <w:sz w:val="20"/>
                <w:szCs w:val="20"/>
                <w14:textFill>
                  <w14:solidFill>
                    <w14:schemeClr w14:val="tx1"/>
                  </w14:solidFill>
                </w14:textFill>
              </w:rPr>
              <w:t>、农民用水协会、农资经销商、农业职业经理人等开展培训，培养绿色技术与人才</w:t>
            </w:r>
          </w:p>
        </w:tc>
        <w:tc>
          <w:tcPr>
            <w:tcW w:w="438" w:type="pct"/>
          </w:tcPr>
          <w:p w14:paraId="3BAE98B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同左列</w:t>
            </w:r>
          </w:p>
        </w:tc>
        <w:tc>
          <w:tcPr>
            <w:tcW w:w="536" w:type="pct"/>
          </w:tcPr>
          <w:p w14:paraId="3425C68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RA1.2：加强机构管理能力</w:t>
            </w:r>
          </w:p>
        </w:tc>
        <w:tc>
          <w:tcPr>
            <w:tcW w:w="376" w:type="pct"/>
          </w:tcPr>
          <w:p w14:paraId="283EE4CB">
            <w:pPr>
              <w:adjustRightInd w:val="0"/>
              <w:snapToGrid w:val="0"/>
              <w:rPr>
                <w:rFonts w:ascii="Arial" w:hAnsi="Arial" w:cs="Arial"/>
                <w:color w:val="000000" w:themeColor="text1"/>
                <w:sz w:val="20"/>
                <w:szCs w:val="20"/>
                <w14:textFill>
                  <w14:solidFill>
                    <w14:schemeClr w14:val="tx1"/>
                  </w14:solidFill>
                </w14:textFill>
              </w:rPr>
            </w:pPr>
          </w:p>
        </w:tc>
      </w:tr>
      <w:tr w14:paraId="4A68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88" w:type="pct"/>
            <w:vMerge w:val="continue"/>
          </w:tcPr>
          <w:p w14:paraId="068CC6AC">
            <w:pPr>
              <w:adjustRightInd w:val="0"/>
              <w:snapToGrid w:val="0"/>
              <w:rPr>
                <w:rFonts w:ascii="Arial" w:hAnsi="Arial" w:cs="Arial"/>
                <w:color w:val="000000" w:themeColor="text1"/>
                <w:sz w:val="20"/>
                <w:szCs w:val="20"/>
                <w14:textFill>
                  <w14:solidFill>
                    <w14:schemeClr w14:val="tx1"/>
                  </w14:solidFill>
                </w14:textFill>
              </w:rPr>
            </w:pPr>
          </w:p>
        </w:tc>
        <w:tc>
          <w:tcPr>
            <w:tcW w:w="569" w:type="pct"/>
          </w:tcPr>
          <w:p w14:paraId="61AE6D5A">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参与考核机制</w:t>
            </w:r>
          </w:p>
        </w:tc>
        <w:tc>
          <w:tcPr>
            <w:tcW w:w="2693" w:type="pct"/>
          </w:tcPr>
          <w:p w14:paraId="7BA610B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保障农业农村投入、强化用地保障、动员社会力量参与等</w:t>
            </w:r>
          </w:p>
        </w:tc>
        <w:tc>
          <w:tcPr>
            <w:tcW w:w="438" w:type="pct"/>
          </w:tcPr>
          <w:p w14:paraId="2CDC932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536" w:type="pct"/>
          </w:tcPr>
          <w:p w14:paraId="2506021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无</w:t>
            </w:r>
          </w:p>
        </w:tc>
        <w:tc>
          <w:tcPr>
            <w:tcW w:w="376" w:type="pct"/>
          </w:tcPr>
          <w:p w14:paraId="728A9AF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非优先领域</w:t>
            </w:r>
          </w:p>
        </w:tc>
      </w:tr>
    </w:tbl>
    <w:p w14:paraId="16436AAC">
      <w:pPr>
        <w:adjustRightInd w:val="0"/>
        <w:snapToGrid w:val="0"/>
        <w:spacing w:after="120" w:afterLines="50"/>
        <w:rPr>
          <w:rFonts w:ascii="Arial" w:hAnsi="Arial" w:cs="Arial"/>
          <w:bCs/>
          <w:sz w:val="20"/>
          <w:szCs w:val="20"/>
          <w:highlight w:val="yellow"/>
        </w:rPr>
      </w:pPr>
    </w:p>
    <w:p w14:paraId="335FF84A">
      <w:pPr>
        <w:rPr>
          <w:rFonts w:ascii="Arial" w:hAnsi="Arial" w:cs="Arial"/>
          <w:b/>
          <w:bCs/>
          <w:sz w:val="22"/>
        </w:rPr>
      </w:pPr>
      <w:r>
        <w:rPr>
          <w:rFonts w:ascii="Arial" w:hAnsi="Arial" w:cs="Arial"/>
          <w:b/>
          <w:bCs/>
          <w:sz w:val="22"/>
        </w:rPr>
        <w:br w:type="page"/>
      </w:r>
    </w:p>
    <w:p w14:paraId="03C50461">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44" w:name="_Ref91099913"/>
      <w:bookmarkStart w:id="745" w:name="_Ref91099872"/>
      <w:bookmarkStart w:id="746" w:name="_Ref91101980"/>
      <w:bookmarkStart w:id="747" w:name="_Ref91096280"/>
      <w:bookmarkStart w:id="748" w:name="_Toc119937332"/>
      <w:bookmarkStart w:id="749" w:name="_Ref91102200"/>
      <w:bookmarkStart w:id="750" w:name="_Ref91096605"/>
      <w:bookmarkStart w:id="751" w:name="_Ref91101953"/>
      <w:r>
        <w:rPr>
          <w:rFonts w:ascii="Arial" w:hAnsi="Arial" w:cs="Arial"/>
          <w:color w:val="000000" w:themeColor="text1"/>
          <w:sz w:val="28"/>
          <w:szCs w:val="28"/>
          <w14:textFill>
            <w14:solidFill>
              <w14:schemeClr w14:val="tx1"/>
            </w14:solidFill>
          </w14:textFill>
        </w:rPr>
        <w:t>附件2：本项目活动环境与社会</w:t>
      </w:r>
      <w:bookmarkEnd w:id="742"/>
      <w:r>
        <w:rPr>
          <w:rFonts w:ascii="Arial" w:hAnsi="Arial" w:cs="Arial"/>
          <w:color w:val="000000" w:themeColor="text1"/>
          <w:sz w:val="28"/>
          <w:szCs w:val="28"/>
          <w14:textFill>
            <w14:solidFill>
              <w14:schemeClr w14:val="tx1"/>
            </w14:solidFill>
          </w14:textFill>
        </w:rPr>
        <w:t>风险分析</w:t>
      </w:r>
      <w:bookmarkEnd w:id="744"/>
      <w:bookmarkEnd w:id="745"/>
      <w:bookmarkEnd w:id="746"/>
      <w:bookmarkEnd w:id="747"/>
      <w:bookmarkEnd w:id="748"/>
      <w:bookmarkEnd w:id="749"/>
      <w:bookmarkEnd w:id="750"/>
      <w:bookmarkEnd w:id="751"/>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34"/>
        <w:gridCol w:w="1632"/>
        <w:gridCol w:w="4006"/>
        <w:gridCol w:w="2669"/>
        <w:gridCol w:w="2076"/>
        <w:gridCol w:w="2228"/>
        <w:gridCol w:w="955"/>
      </w:tblGrid>
      <w:tr w14:paraId="79E2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354" w:type="pct"/>
            <w:shd w:val="clear" w:color="auto" w:fill="auto"/>
            <w:tcMar>
              <w:top w:w="15" w:type="dxa"/>
              <w:left w:w="15" w:type="dxa"/>
              <w:bottom w:w="0" w:type="dxa"/>
              <w:right w:w="15" w:type="dxa"/>
            </w:tcMar>
          </w:tcPr>
          <w:p w14:paraId="3845BA61">
            <w:pPr>
              <w:adjustRightInd w:val="0"/>
              <w:snapToGrid w:val="0"/>
              <w:rPr>
                <w:rFonts w:ascii="Arial" w:hAnsi="Arial" w:cs="Arial"/>
                <w:b/>
                <w:bCs/>
                <w:color w:val="000000"/>
                <w:sz w:val="20"/>
                <w:szCs w:val="20"/>
              </w:rPr>
            </w:pPr>
            <w:bookmarkStart w:id="752" w:name="_Toc79939281"/>
            <w:r>
              <w:rPr>
                <w:rFonts w:ascii="Arial" w:hAnsi="Arial" w:cs="Arial"/>
                <w:b/>
                <w:bCs/>
                <w:color w:val="000000"/>
                <w:sz w:val="20"/>
                <w:szCs w:val="20"/>
              </w:rPr>
              <w:t>结果领域</w:t>
            </w:r>
          </w:p>
        </w:tc>
        <w:tc>
          <w:tcPr>
            <w:tcW w:w="559" w:type="pct"/>
            <w:shd w:val="clear" w:color="auto" w:fill="auto"/>
            <w:tcMar>
              <w:top w:w="15" w:type="dxa"/>
              <w:left w:w="15" w:type="dxa"/>
              <w:bottom w:w="0" w:type="dxa"/>
              <w:right w:w="15" w:type="dxa"/>
            </w:tcMar>
          </w:tcPr>
          <w:p w14:paraId="660BFD78">
            <w:pPr>
              <w:adjustRightInd w:val="0"/>
              <w:snapToGrid w:val="0"/>
              <w:rPr>
                <w:rFonts w:ascii="Arial" w:hAnsi="Arial" w:cs="Arial"/>
                <w:b/>
                <w:bCs/>
                <w:color w:val="000000"/>
                <w:sz w:val="20"/>
                <w:szCs w:val="20"/>
              </w:rPr>
            </w:pPr>
            <w:r>
              <w:rPr>
                <w:rFonts w:ascii="Arial" w:hAnsi="Arial" w:cs="Arial"/>
                <w:b/>
                <w:bCs/>
                <w:color w:val="000000"/>
                <w:sz w:val="20"/>
                <w:szCs w:val="20"/>
              </w:rPr>
              <w:t>典型活动</w:t>
            </w:r>
          </w:p>
        </w:tc>
        <w:tc>
          <w:tcPr>
            <w:tcW w:w="1372" w:type="pct"/>
            <w:shd w:val="clear" w:color="auto" w:fill="auto"/>
            <w:tcMar>
              <w:top w:w="15" w:type="dxa"/>
              <w:left w:w="15" w:type="dxa"/>
              <w:bottom w:w="0" w:type="dxa"/>
              <w:right w:w="15" w:type="dxa"/>
            </w:tcMar>
          </w:tcPr>
          <w:p w14:paraId="7507C373">
            <w:pPr>
              <w:adjustRightInd w:val="0"/>
              <w:snapToGrid w:val="0"/>
              <w:rPr>
                <w:rFonts w:ascii="Arial" w:hAnsi="Arial" w:cs="Arial"/>
                <w:b/>
                <w:bCs/>
                <w:color w:val="000000"/>
                <w:sz w:val="20"/>
                <w:szCs w:val="20"/>
              </w:rPr>
            </w:pPr>
            <w:r>
              <w:rPr>
                <w:rFonts w:ascii="Arial" w:hAnsi="Arial" w:cs="Arial"/>
                <w:b/>
                <w:bCs/>
                <w:color w:val="000000"/>
                <w:sz w:val="20"/>
                <w:szCs w:val="20"/>
              </w:rPr>
              <w:t>环境与社会效应风险</w:t>
            </w:r>
          </w:p>
        </w:tc>
        <w:tc>
          <w:tcPr>
            <w:tcW w:w="914" w:type="pct"/>
            <w:shd w:val="clear" w:color="auto" w:fill="auto"/>
            <w:tcMar>
              <w:top w:w="15" w:type="dxa"/>
              <w:left w:w="15" w:type="dxa"/>
              <w:bottom w:w="0" w:type="dxa"/>
              <w:right w:w="15" w:type="dxa"/>
            </w:tcMar>
          </w:tcPr>
          <w:p w14:paraId="45E21155">
            <w:pPr>
              <w:adjustRightInd w:val="0"/>
              <w:snapToGrid w:val="0"/>
              <w:rPr>
                <w:rFonts w:ascii="Arial" w:hAnsi="Arial" w:cs="Arial"/>
                <w:b/>
                <w:bCs/>
                <w:color w:val="000000"/>
                <w:sz w:val="20"/>
                <w:szCs w:val="20"/>
              </w:rPr>
            </w:pPr>
            <w:r>
              <w:rPr>
                <w:rFonts w:ascii="Arial" w:hAnsi="Arial" w:cs="Arial"/>
                <w:b/>
                <w:bCs/>
                <w:color w:val="000000"/>
                <w:sz w:val="20"/>
                <w:szCs w:val="20"/>
              </w:rPr>
              <w:t>环境与社会背景风险</w:t>
            </w:r>
          </w:p>
        </w:tc>
        <w:tc>
          <w:tcPr>
            <w:tcW w:w="711" w:type="pct"/>
            <w:shd w:val="clear" w:color="auto" w:fill="auto"/>
            <w:tcMar>
              <w:top w:w="15" w:type="dxa"/>
              <w:left w:w="15" w:type="dxa"/>
              <w:bottom w:w="0" w:type="dxa"/>
              <w:right w:w="15" w:type="dxa"/>
            </w:tcMar>
          </w:tcPr>
          <w:p w14:paraId="0CBFBBC7">
            <w:pPr>
              <w:adjustRightInd w:val="0"/>
              <w:snapToGrid w:val="0"/>
              <w:rPr>
                <w:rFonts w:ascii="Arial" w:hAnsi="Arial" w:cs="Arial"/>
                <w:b/>
                <w:bCs/>
                <w:color w:val="000000"/>
                <w:sz w:val="20"/>
                <w:szCs w:val="20"/>
              </w:rPr>
            </w:pPr>
            <w:r>
              <w:rPr>
                <w:rFonts w:ascii="Arial" w:hAnsi="Arial" w:cs="Arial"/>
                <w:b/>
                <w:bCs/>
                <w:color w:val="000000"/>
                <w:sz w:val="20"/>
                <w:szCs w:val="20"/>
              </w:rPr>
              <w:t>机构能力和复杂性风险</w:t>
            </w:r>
          </w:p>
        </w:tc>
        <w:tc>
          <w:tcPr>
            <w:tcW w:w="763" w:type="pct"/>
            <w:shd w:val="clear" w:color="auto" w:fill="auto"/>
            <w:tcMar>
              <w:top w:w="15" w:type="dxa"/>
              <w:left w:w="15" w:type="dxa"/>
              <w:bottom w:w="0" w:type="dxa"/>
              <w:right w:w="15" w:type="dxa"/>
            </w:tcMar>
          </w:tcPr>
          <w:p w14:paraId="3293893A">
            <w:pPr>
              <w:adjustRightInd w:val="0"/>
              <w:snapToGrid w:val="0"/>
              <w:rPr>
                <w:rFonts w:ascii="Arial" w:hAnsi="Arial" w:cs="Arial"/>
                <w:b/>
                <w:bCs/>
                <w:color w:val="000000"/>
                <w:sz w:val="20"/>
                <w:szCs w:val="20"/>
              </w:rPr>
            </w:pPr>
            <w:r>
              <w:rPr>
                <w:rFonts w:ascii="Arial" w:hAnsi="Arial" w:cs="Arial"/>
                <w:b/>
                <w:bCs/>
                <w:color w:val="000000"/>
                <w:sz w:val="20"/>
                <w:szCs w:val="20"/>
              </w:rPr>
              <w:t>政治和名誉风险</w:t>
            </w:r>
          </w:p>
        </w:tc>
        <w:tc>
          <w:tcPr>
            <w:tcW w:w="327" w:type="pct"/>
            <w:shd w:val="clear" w:color="auto" w:fill="auto"/>
            <w:tcMar>
              <w:top w:w="15" w:type="dxa"/>
              <w:left w:w="15" w:type="dxa"/>
              <w:bottom w:w="0" w:type="dxa"/>
              <w:right w:w="15" w:type="dxa"/>
            </w:tcMar>
          </w:tcPr>
          <w:p w14:paraId="610437EE">
            <w:pPr>
              <w:adjustRightInd w:val="0"/>
              <w:snapToGrid w:val="0"/>
              <w:rPr>
                <w:rFonts w:ascii="Arial" w:hAnsi="Arial" w:cs="Arial"/>
                <w:b/>
                <w:bCs/>
                <w:color w:val="000000"/>
                <w:sz w:val="20"/>
                <w:szCs w:val="20"/>
              </w:rPr>
            </w:pPr>
            <w:r>
              <w:rPr>
                <w:rFonts w:ascii="Arial" w:hAnsi="Arial" w:cs="Arial"/>
                <w:b/>
                <w:bCs/>
                <w:color w:val="000000"/>
                <w:sz w:val="20"/>
                <w:szCs w:val="20"/>
              </w:rPr>
              <w:t>综合影响等级</w:t>
            </w:r>
          </w:p>
        </w:tc>
      </w:tr>
      <w:tr w14:paraId="4115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restart"/>
            <w:shd w:val="clear" w:color="auto" w:fill="auto"/>
            <w:tcMar>
              <w:top w:w="15" w:type="dxa"/>
              <w:left w:w="15" w:type="dxa"/>
              <w:bottom w:w="0" w:type="dxa"/>
              <w:right w:w="15" w:type="dxa"/>
            </w:tcMar>
          </w:tcPr>
          <w:p w14:paraId="0508F2CF">
            <w:pPr>
              <w:adjustRightInd w:val="0"/>
              <w:snapToGrid w:val="0"/>
              <w:rPr>
                <w:rFonts w:ascii="Arial" w:hAnsi="Arial" w:cs="Arial"/>
                <w:color w:val="000000"/>
                <w:sz w:val="20"/>
                <w:szCs w:val="20"/>
              </w:rPr>
            </w:pPr>
            <w:r>
              <w:rPr>
                <w:rFonts w:ascii="Arial" w:hAnsi="Arial" w:cs="Arial"/>
                <w:color w:val="000000"/>
                <w:sz w:val="20"/>
                <w:szCs w:val="20"/>
              </w:rPr>
              <w:t>RA1</w:t>
            </w:r>
            <w:r>
              <w:rPr>
                <w:rFonts w:ascii="Arial" w:hAnsi="Arial" w:cs="Arial"/>
                <w:color w:val="000000"/>
                <w:sz w:val="20"/>
                <w:szCs w:val="20"/>
                <w:lang w:val="en-GB"/>
              </w:rPr>
              <w:t>.1</w:t>
            </w:r>
            <w:r>
              <w:rPr>
                <w:rFonts w:ascii="Arial" w:hAnsi="Arial" w:cs="Arial"/>
                <w:color w:val="000000"/>
                <w:sz w:val="20"/>
                <w:szCs w:val="20"/>
              </w:rPr>
              <w:t xml:space="preserve"> </w:t>
            </w:r>
            <w:r>
              <w:rPr>
                <w:rFonts w:hint="eastAsia" w:ascii="Arial" w:hAnsi="Arial" w:cs="Arial"/>
                <w:color w:val="000000"/>
                <w:sz w:val="20"/>
                <w:szCs w:val="20"/>
                <w:lang w:eastAsia="zh-CN"/>
              </w:rPr>
              <w:t>—</w:t>
            </w:r>
            <w:r>
              <w:rPr>
                <w:rFonts w:ascii="Arial" w:hAnsi="Arial" w:cs="Arial"/>
                <w:color w:val="000000"/>
                <w:sz w:val="20"/>
                <w:szCs w:val="20"/>
              </w:rPr>
              <w:t xml:space="preserve"> 加强机构管理能力 </w:t>
            </w:r>
          </w:p>
        </w:tc>
        <w:tc>
          <w:tcPr>
            <w:tcW w:w="559" w:type="pct"/>
            <w:shd w:val="clear" w:color="auto" w:fill="auto"/>
            <w:tcMar>
              <w:top w:w="15" w:type="dxa"/>
              <w:left w:w="15" w:type="dxa"/>
              <w:bottom w:w="0" w:type="dxa"/>
              <w:right w:w="15" w:type="dxa"/>
            </w:tcMar>
          </w:tcPr>
          <w:p w14:paraId="43579257">
            <w:pPr>
              <w:adjustRightInd w:val="0"/>
              <w:snapToGrid w:val="0"/>
              <w:rPr>
                <w:rFonts w:ascii="Arial" w:hAnsi="Arial" w:cs="Arial"/>
                <w:color w:val="000000"/>
                <w:sz w:val="20"/>
                <w:szCs w:val="20"/>
              </w:rPr>
            </w:pPr>
            <w:r>
              <w:rPr>
                <w:rFonts w:ascii="Arial" w:hAnsi="Arial" w:cs="Arial"/>
                <w:color w:val="000000"/>
                <w:sz w:val="20"/>
                <w:szCs w:val="20"/>
              </w:rPr>
              <w:t>开发信息化平台，绘制农村基础设施和公共服务地图</w:t>
            </w:r>
          </w:p>
        </w:tc>
        <w:tc>
          <w:tcPr>
            <w:tcW w:w="1372" w:type="pct"/>
            <w:vMerge w:val="restart"/>
            <w:shd w:val="clear" w:color="auto" w:fill="auto"/>
            <w:tcMar>
              <w:top w:w="15" w:type="dxa"/>
              <w:left w:w="15" w:type="dxa"/>
              <w:bottom w:w="0" w:type="dxa"/>
              <w:right w:w="15" w:type="dxa"/>
            </w:tcMar>
          </w:tcPr>
          <w:p w14:paraId="1195F4B7">
            <w:pPr>
              <w:pStyle w:val="48"/>
              <w:numPr>
                <w:ilvl w:val="0"/>
                <w:numId w:val="38"/>
              </w:numPr>
              <w:adjustRightInd w:val="0"/>
              <w:snapToGrid w:val="0"/>
              <w:ind w:left="241" w:hanging="141" w:firstLineChars="0"/>
              <w:rPr>
                <w:rFonts w:ascii="Arial" w:hAnsi="Arial" w:cs="Arial"/>
                <w:sz w:val="20"/>
                <w:szCs w:val="20"/>
              </w:rPr>
            </w:pPr>
            <w:r>
              <w:rPr>
                <w:rFonts w:ascii="Arial" w:hAnsi="Arial" w:cs="Arial"/>
                <w:color w:val="000000"/>
                <w:sz w:val="20"/>
                <w:szCs w:val="20"/>
              </w:rPr>
              <w:t>实施研究活动本身不产生直接的负面环境与社会影响，仅</w:t>
            </w:r>
            <w:r>
              <w:rPr>
                <w:rFonts w:ascii="Arial" w:hAnsi="Arial" w:cs="Arial"/>
                <w:sz w:val="20"/>
                <w:szCs w:val="20"/>
              </w:rPr>
              <w:t>会涉及项目办和研究人员的健康与安全风险。</w:t>
            </w:r>
          </w:p>
          <w:p w14:paraId="40D9D38B">
            <w:pPr>
              <w:pStyle w:val="48"/>
              <w:numPr>
                <w:ilvl w:val="0"/>
                <w:numId w:val="38"/>
              </w:numPr>
              <w:adjustRightInd w:val="0"/>
              <w:snapToGrid w:val="0"/>
              <w:spacing w:before="120" w:after="120"/>
              <w:ind w:left="244" w:hanging="142" w:firstLineChars="0"/>
              <w:rPr>
                <w:rFonts w:ascii="Arial" w:hAnsi="Arial" w:cs="Arial"/>
                <w:sz w:val="20"/>
                <w:szCs w:val="20"/>
              </w:rPr>
            </w:pPr>
            <w:r>
              <w:rPr>
                <w:rFonts w:ascii="Arial" w:hAnsi="Arial" w:cs="Arial"/>
                <w:color w:val="000000"/>
                <w:sz w:val="20"/>
                <w:szCs w:val="20"/>
              </w:rPr>
              <w:t>这些活动属于软件开发、方法研究等活动，不会引发下游工程活动，没有明显的间接负面环境与社会影响，而且会</w:t>
            </w:r>
            <w:r>
              <w:rPr>
                <w:rFonts w:ascii="Arial" w:hAnsi="Arial" w:cs="Arial"/>
                <w:sz w:val="20"/>
                <w:szCs w:val="20"/>
              </w:rPr>
              <w:t>对后续环境社会管理和机构能力提升具有促进作用。</w:t>
            </w:r>
            <w:r>
              <w:rPr>
                <w:rFonts w:ascii="Arial" w:hAnsi="Arial" w:cs="Arial"/>
                <w:color w:val="000000"/>
                <w:sz w:val="20"/>
                <w:szCs w:val="20"/>
              </w:rPr>
              <w:t xml:space="preserve">     </w:t>
            </w:r>
          </w:p>
          <w:p w14:paraId="7F9544C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914" w:type="pct"/>
            <w:vMerge w:val="restart"/>
            <w:shd w:val="clear" w:color="auto" w:fill="auto"/>
            <w:tcMar>
              <w:top w:w="15" w:type="dxa"/>
              <w:left w:w="15" w:type="dxa"/>
              <w:bottom w:w="0" w:type="dxa"/>
              <w:right w:w="15" w:type="dxa"/>
            </w:tcMar>
          </w:tcPr>
          <w:p w14:paraId="1C7C527F">
            <w:pPr>
              <w:pStyle w:val="48"/>
              <w:numPr>
                <w:ilvl w:val="0"/>
                <w:numId w:val="38"/>
              </w:numPr>
              <w:adjustRightInd w:val="0"/>
              <w:snapToGrid w:val="0"/>
              <w:ind w:left="244" w:hanging="142" w:firstLineChars="0"/>
              <w:rPr>
                <w:rFonts w:ascii="Arial" w:hAnsi="Arial" w:cs="Arial"/>
                <w:color w:val="000000"/>
                <w:sz w:val="20"/>
                <w:szCs w:val="20"/>
              </w:rPr>
            </w:pPr>
            <w:r>
              <w:rPr>
                <w:rFonts w:ascii="Arial" w:hAnsi="Arial" w:cs="Arial"/>
                <w:color w:val="000000"/>
                <w:sz w:val="20"/>
                <w:szCs w:val="20"/>
              </w:rPr>
              <w:t>技援活动没有实体工程施工，不涉及环境与社会敏感地区。</w:t>
            </w:r>
          </w:p>
          <w:p w14:paraId="6875A1A2">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711" w:type="pct"/>
            <w:vMerge w:val="restart"/>
            <w:shd w:val="clear" w:color="auto" w:fill="auto"/>
            <w:tcMar>
              <w:top w:w="15" w:type="dxa"/>
              <w:left w:w="15" w:type="dxa"/>
              <w:bottom w:w="0" w:type="dxa"/>
              <w:right w:w="15" w:type="dxa"/>
            </w:tcMar>
          </w:tcPr>
          <w:p w14:paraId="03C6B958">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会涉及发改、财政、农业农村、乡村振兴、住建、自然资源、生态环境、水利等多个部门间协调与合作。</w:t>
            </w:r>
          </w:p>
          <w:p w14:paraId="79C11140">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vMerge w:val="restart"/>
            <w:shd w:val="clear" w:color="auto" w:fill="auto"/>
            <w:tcMar>
              <w:top w:w="15" w:type="dxa"/>
              <w:left w:w="15" w:type="dxa"/>
              <w:bottom w:w="0" w:type="dxa"/>
              <w:right w:w="15" w:type="dxa"/>
            </w:tcMar>
          </w:tcPr>
          <w:p w14:paraId="7EBFAB7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1A233308">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推进绿色农业发展、促进乡村振兴，使当地居民从中受益，会受到公众的广泛支持，无声誉风险。</w:t>
            </w:r>
          </w:p>
          <w:p w14:paraId="5369722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vMerge w:val="restart"/>
            <w:shd w:val="clear" w:color="auto" w:fill="auto"/>
            <w:noWrap/>
            <w:tcMar>
              <w:top w:w="15" w:type="dxa"/>
              <w:left w:w="15" w:type="dxa"/>
              <w:bottom w:w="0" w:type="dxa"/>
              <w:right w:w="15" w:type="dxa"/>
            </w:tcMar>
          </w:tcPr>
          <w:p w14:paraId="0F4E1200">
            <w:pPr>
              <w:adjustRightInd w:val="0"/>
              <w:snapToGrid w:val="0"/>
              <w:rPr>
                <w:rFonts w:ascii="Arial" w:hAnsi="Arial" w:cs="Arial"/>
                <w:color w:val="000000"/>
                <w:sz w:val="20"/>
                <w:szCs w:val="20"/>
              </w:rPr>
            </w:pPr>
            <w:r>
              <w:rPr>
                <w:rFonts w:ascii="Arial" w:hAnsi="Arial" w:cs="Arial"/>
                <w:color w:val="000000"/>
                <w:sz w:val="20"/>
                <w:szCs w:val="20"/>
              </w:rPr>
              <w:t>中等</w:t>
            </w:r>
          </w:p>
        </w:tc>
      </w:tr>
      <w:tr w14:paraId="72BB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Mar>
              <w:top w:w="15" w:type="dxa"/>
              <w:left w:w="15" w:type="dxa"/>
              <w:bottom w:w="0" w:type="dxa"/>
              <w:right w:w="15" w:type="dxa"/>
            </w:tcMar>
          </w:tcPr>
          <w:p w14:paraId="678AFB7D">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59DEE152">
            <w:pPr>
              <w:adjustRightInd w:val="0"/>
              <w:snapToGrid w:val="0"/>
              <w:rPr>
                <w:rFonts w:ascii="Arial" w:hAnsi="Arial" w:cs="Arial"/>
                <w:color w:val="000000"/>
                <w:sz w:val="20"/>
                <w:szCs w:val="20"/>
              </w:rPr>
            </w:pPr>
            <w:r>
              <w:rPr>
                <w:rFonts w:ascii="Arial" w:hAnsi="Arial" w:cs="Arial"/>
                <w:color w:val="000000"/>
                <w:sz w:val="20"/>
                <w:szCs w:val="20"/>
              </w:rPr>
              <w:t>制定农业农村温室气体减排监测、报告与核验方法</w:t>
            </w:r>
          </w:p>
        </w:tc>
        <w:tc>
          <w:tcPr>
            <w:tcW w:w="1372" w:type="pct"/>
            <w:vMerge w:val="continue"/>
            <w:shd w:val="clear" w:color="auto" w:fill="auto"/>
            <w:tcMar>
              <w:top w:w="15" w:type="dxa"/>
              <w:left w:w="15" w:type="dxa"/>
              <w:bottom w:w="0" w:type="dxa"/>
              <w:right w:w="15" w:type="dxa"/>
            </w:tcMar>
          </w:tcPr>
          <w:p w14:paraId="5676EABE">
            <w:pPr>
              <w:pStyle w:val="48"/>
              <w:numPr>
                <w:ilvl w:val="0"/>
                <w:numId w:val="38"/>
              </w:numPr>
              <w:adjustRightInd w:val="0"/>
              <w:snapToGrid w:val="0"/>
              <w:ind w:left="241" w:hanging="141" w:firstLineChars="0"/>
              <w:rPr>
                <w:rFonts w:ascii="Arial" w:hAnsi="Arial" w:cs="Arial"/>
                <w:color w:val="000000"/>
                <w:sz w:val="20"/>
                <w:szCs w:val="20"/>
              </w:rPr>
            </w:pPr>
          </w:p>
        </w:tc>
        <w:tc>
          <w:tcPr>
            <w:tcW w:w="914" w:type="pct"/>
            <w:vMerge w:val="continue"/>
            <w:shd w:val="clear" w:color="auto" w:fill="auto"/>
            <w:tcMar>
              <w:top w:w="15" w:type="dxa"/>
              <w:left w:w="15" w:type="dxa"/>
              <w:bottom w:w="0" w:type="dxa"/>
              <w:right w:w="15" w:type="dxa"/>
            </w:tcMar>
          </w:tcPr>
          <w:p w14:paraId="2B1860B4">
            <w:pPr>
              <w:pStyle w:val="48"/>
              <w:numPr>
                <w:ilvl w:val="0"/>
                <w:numId w:val="38"/>
              </w:numPr>
              <w:adjustRightInd w:val="0"/>
              <w:snapToGrid w:val="0"/>
              <w:ind w:left="241" w:hanging="141" w:firstLineChars="0"/>
              <w:rPr>
                <w:rFonts w:ascii="Arial" w:hAnsi="Arial" w:cs="Arial"/>
                <w:color w:val="000000"/>
                <w:sz w:val="20"/>
                <w:szCs w:val="20"/>
              </w:rPr>
            </w:pPr>
          </w:p>
        </w:tc>
        <w:tc>
          <w:tcPr>
            <w:tcW w:w="711" w:type="pct"/>
            <w:vMerge w:val="continue"/>
            <w:shd w:val="clear" w:color="auto" w:fill="auto"/>
            <w:tcMar>
              <w:top w:w="15" w:type="dxa"/>
              <w:left w:w="15" w:type="dxa"/>
              <w:bottom w:w="0" w:type="dxa"/>
              <w:right w:w="15" w:type="dxa"/>
            </w:tcMar>
          </w:tcPr>
          <w:p w14:paraId="61429F86">
            <w:pPr>
              <w:pStyle w:val="48"/>
              <w:numPr>
                <w:ilvl w:val="0"/>
                <w:numId w:val="38"/>
              </w:numPr>
              <w:adjustRightInd w:val="0"/>
              <w:snapToGrid w:val="0"/>
              <w:ind w:left="241" w:hanging="141" w:firstLineChars="0"/>
              <w:rPr>
                <w:rFonts w:ascii="Arial" w:hAnsi="Arial" w:cs="Arial"/>
                <w:color w:val="000000"/>
                <w:sz w:val="20"/>
                <w:szCs w:val="20"/>
              </w:rPr>
            </w:pPr>
          </w:p>
        </w:tc>
        <w:tc>
          <w:tcPr>
            <w:tcW w:w="763" w:type="pct"/>
            <w:vMerge w:val="continue"/>
            <w:shd w:val="clear" w:color="auto" w:fill="auto"/>
            <w:tcMar>
              <w:top w:w="15" w:type="dxa"/>
              <w:left w:w="15" w:type="dxa"/>
              <w:bottom w:w="0" w:type="dxa"/>
              <w:right w:w="15" w:type="dxa"/>
            </w:tcMar>
          </w:tcPr>
          <w:p w14:paraId="53EEB21E">
            <w:pPr>
              <w:pStyle w:val="48"/>
              <w:numPr>
                <w:ilvl w:val="0"/>
                <w:numId w:val="38"/>
              </w:numPr>
              <w:adjustRightInd w:val="0"/>
              <w:snapToGrid w:val="0"/>
              <w:ind w:left="241" w:hanging="141" w:firstLineChars="0"/>
              <w:rPr>
                <w:rFonts w:ascii="Arial" w:hAnsi="Arial" w:cs="Arial"/>
                <w:color w:val="000000"/>
                <w:sz w:val="20"/>
                <w:szCs w:val="20"/>
              </w:rPr>
            </w:pPr>
          </w:p>
        </w:tc>
        <w:tc>
          <w:tcPr>
            <w:tcW w:w="327" w:type="pct"/>
            <w:vMerge w:val="continue"/>
            <w:shd w:val="clear" w:color="auto" w:fill="auto"/>
            <w:noWrap/>
            <w:tcMar>
              <w:top w:w="15" w:type="dxa"/>
              <w:left w:w="15" w:type="dxa"/>
              <w:bottom w:w="0" w:type="dxa"/>
              <w:right w:w="15" w:type="dxa"/>
            </w:tcMar>
          </w:tcPr>
          <w:p w14:paraId="07340BF5">
            <w:pPr>
              <w:adjustRightInd w:val="0"/>
              <w:snapToGrid w:val="0"/>
              <w:rPr>
                <w:rFonts w:ascii="Arial" w:hAnsi="Arial" w:cs="Arial"/>
                <w:color w:val="000000"/>
                <w:sz w:val="20"/>
                <w:szCs w:val="20"/>
              </w:rPr>
            </w:pPr>
          </w:p>
        </w:tc>
      </w:tr>
      <w:tr w14:paraId="2182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restart"/>
            <w:shd w:val="clear" w:color="auto" w:fill="auto"/>
            <w:tcMar>
              <w:top w:w="15" w:type="dxa"/>
              <w:left w:w="15" w:type="dxa"/>
              <w:bottom w:w="0" w:type="dxa"/>
              <w:right w:w="15" w:type="dxa"/>
            </w:tcMar>
          </w:tcPr>
          <w:p w14:paraId="1B881CD3">
            <w:pPr>
              <w:adjustRightInd w:val="0"/>
              <w:snapToGrid w:val="0"/>
              <w:rPr>
                <w:rFonts w:ascii="Arial" w:hAnsi="Arial" w:cs="Arial"/>
                <w:color w:val="000000"/>
                <w:sz w:val="20"/>
                <w:szCs w:val="20"/>
              </w:rPr>
            </w:pPr>
            <w:r>
              <w:rPr>
                <w:rFonts w:ascii="Arial" w:hAnsi="Arial" w:cs="Arial"/>
                <w:color w:val="000000"/>
                <w:sz w:val="20"/>
                <w:szCs w:val="20"/>
              </w:rPr>
              <w:t>RA1</w:t>
            </w:r>
            <w:r>
              <w:rPr>
                <w:rFonts w:ascii="Arial" w:hAnsi="Arial" w:cs="Arial"/>
                <w:color w:val="000000"/>
                <w:sz w:val="20"/>
                <w:szCs w:val="20"/>
                <w:lang w:val="en-GB"/>
              </w:rPr>
              <w:t>.2</w:t>
            </w:r>
            <w:r>
              <w:rPr>
                <w:rFonts w:ascii="Arial" w:hAnsi="Arial" w:cs="Arial"/>
                <w:color w:val="000000"/>
                <w:sz w:val="20"/>
                <w:szCs w:val="20"/>
              </w:rPr>
              <w:t xml:space="preserve"> </w:t>
            </w:r>
            <w:r>
              <w:rPr>
                <w:rFonts w:hint="eastAsia" w:ascii="Arial" w:hAnsi="Arial" w:cs="Arial"/>
                <w:color w:val="000000"/>
                <w:sz w:val="20"/>
                <w:szCs w:val="20"/>
                <w:lang w:eastAsia="zh-CN"/>
              </w:rPr>
              <w:t>—</w:t>
            </w:r>
            <w:r>
              <w:rPr>
                <w:rFonts w:ascii="Arial" w:hAnsi="Arial" w:cs="Arial"/>
                <w:color w:val="000000"/>
                <w:sz w:val="20"/>
                <w:szCs w:val="20"/>
              </w:rPr>
              <w:t xml:space="preserve"> 加强机构管理能力 </w:t>
            </w:r>
          </w:p>
        </w:tc>
        <w:tc>
          <w:tcPr>
            <w:tcW w:w="559" w:type="pct"/>
            <w:shd w:val="clear" w:color="auto" w:fill="auto"/>
            <w:tcMar>
              <w:top w:w="15" w:type="dxa"/>
              <w:left w:w="15" w:type="dxa"/>
              <w:bottom w:w="0" w:type="dxa"/>
              <w:right w:w="15" w:type="dxa"/>
            </w:tcMar>
          </w:tcPr>
          <w:p w14:paraId="4FC67A3B">
            <w:pPr>
              <w:adjustRightInd w:val="0"/>
              <w:snapToGrid w:val="0"/>
              <w:rPr>
                <w:rFonts w:ascii="Arial" w:hAnsi="Arial" w:cs="Arial"/>
                <w:color w:val="000000"/>
                <w:sz w:val="20"/>
                <w:szCs w:val="20"/>
              </w:rPr>
            </w:pPr>
            <w:r>
              <w:rPr>
                <w:rFonts w:ascii="Arial" w:hAnsi="Arial" w:cs="Arial"/>
                <w:color w:val="000000"/>
                <w:sz w:val="20"/>
                <w:szCs w:val="20"/>
              </w:rPr>
              <w:t>使用绿色农业</w:t>
            </w:r>
            <w:r>
              <w:rPr>
                <w:rFonts w:hint="eastAsia" w:ascii="Arial" w:hAnsi="Arial" w:cs="Arial"/>
                <w:color w:val="000000"/>
                <w:sz w:val="20"/>
                <w:szCs w:val="20"/>
                <w:lang w:eastAsia="zh-CN"/>
              </w:rPr>
              <w:t>和</w:t>
            </w:r>
            <w:r>
              <w:rPr>
                <w:rFonts w:ascii="Arial" w:hAnsi="Arial" w:cs="Arial"/>
                <w:color w:val="000000" w:themeColor="text1"/>
                <w:sz w:val="20"/>
                <w:szCs w:val="20"/>
                <w:lang w:val="en-GB"/>
                <w14:textFill>
                  <w14:solidFill>
                    <w14:schemeClr w14:val="tx1"/>
                  </w14:solidFill>
                </w14:textFill>
              </w:rPr>
              <w:t>气候适应型农村基础设施与公共服务</w:t>
            </w:r>
            <w:r>
              <w:rPr>
                <w:rFonts w:ascii="Arial" w:hAnsi="Arial" w:cs="Arial"/>
                <w:color w:val="000000"/>
                <w:sz w:val="20"/>
                <w:szCs w:val="20"/>
              </w:rPr>
              <w:t>相关的规定、标准、导则等</w:t>
            </w:r>
          </w:p>
        </w:tc>
        <w:tc>
          <w:tcPr>
            <w:tcW w:w="1372" w:type="pct"/>
            <w:shd w:val="clear" w:color="auto" w:fill="auto"/>
            <w:tcMar>
              <w:top w:w="15" w:type="dxa"/>
              <w:left w:w="15" w:type="dxa"/>
              <w:bottom w:w="0" w:type="dxa"/>
              <w:right w:w="15" w:type="dxa"/>
            </w:tcMar>
          </w:tcPr>
          <w:p w14:paraId="0C4C1063">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实施研究活动本身不产生直接的负面环境与社会影响，仅</w:t>
            </w:r>
            <w:r>
              <w:rPr>
                <w:rFonts w:ascii="Arial" w:hAnsi="Arial" w:cs="Arial"/>
                <w:sz w:val="20"/>
                <w:szCs w:val="20"/>
              </w:rPr>
              <w:t>会涉及项目办和研究人员的健康与安全风险。</w:t>
            </w:r>
          </w:p>
          <w:p w14:paraId="5D1D6F78">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研究成果提出的规定、标准、导则等实施后，可能引发下游活动而产生间接的环境与社会影响，如种植业涉及的农药、化肥等面源污染管理风险，养殖业涉及的畜禽粪污管理风险，农村基础设施建设涉及的占地、污水和垃圾管理风险等。</w:t>
            </w:r>
          </w:p>
          <w:p w14:paraId="4D4A2FB3">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914" w:type="pct"/>
            <w:shd w:val="clear" w:color="auto" w:fill="auto"/>
            <w:tcMar>
              <w:top w:w="15" w:type="dxa"/>
              <w:left w:w="15" w:type="dxa"/>
              <w:bottom w:w="0" w:type="dxa"/>
              <w:right w:w="15" w:type="dxa"/>
            </w:tcMar>
          </w:tcPr>
          <w:p w14:paraId="3214CF74">
            <w:pPr>
              <w:pStyle w:val="48"/>
              <w:numPr>
                <w:ilvl w:val="0"/>
                <w:numId w:val="38"/>
              </w:numPr>
              <w:adjustRightInd w:val="0"/>
              <w:snapToGrid w:val="0"/>
              <w:ind w:left="241" w:hanging="141" w:firstLineChars="0"/>
              <w:rPr>
                <w:rFonts w:ascii="Arial" w:hAnsi="Arial" w:cs="Arial"/>
                <w:color w:val="000000"/>
                <w:sz w:val="20"/>
                <w:szCs w:val="20"/>
              </w:rPr>
            </w:pPr>
            <w:r>
              <w:rPr>
                <w:rFonts w:hint="eastAsia" w:ascii="Arial" w:hAnsi="Arial" w:cs="Arial"/>
                <w:color w:val="000000"/>
                <w:sz w:val="20"/>
                <w:szCs w:val="20"/>
                <w:lang w:eastAsia="zh-CN"/>
              </w:rPr>
              <w:t>救援</w:t>
            </w:r>
            <w:r>
              <w:rPr>
                <w:rFonts w:ascii="Arial" w:hAnsi="Arial" w:cs="Arial"/>
                <w:color w:val="000000"/>
                <w:sz w:val="20"/>
                <w:szCs w:val="20"/>
              </w:rPr>
              <w:t>活动没有实体工程施工，不触及环境与社会敏感地区。</w:t>
            </w:r>
          </w:p>
          <w:p w14:paraId="63675E6B">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研究成果的实施会涉及很广泛的范围，会存在少数民族村庄。</w:t>
            </w:r>
          </w:p>
          <w:p w14:paraId="0F9E2171">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后续引发的农业农村发展活动都在农村地区现有农用地或建设用地开展，且中国具有严格的自然保护地和生态保护红线制度，因此基本不会涉及自然栖息地等环境敏感区。</w:t>
            </w:r>
          </w:p>
          <w:p w14:paraId="4075951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tcMar>
              <w:top w:w="15" w:type="dxa"/>
              <w:left w:w="15" w:type="dxa"/>
              <w:bottom w:w="0" w:type="dxa"/>
              <w:right w:w="15" w:type="dxa"/>
            </w:tcMar>
          </w:tcPr>
          <w:p w14:paraId="79E641B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会涉及发改、财政、农业农村、乡村振兴、住建、自然资源、生态环境、水利等多个部门，实施过程中需要部门间协调与合作。</w:t>
            </w:r>
          </w:p>
          <w:p w14:paraId="1172FA12">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tcMar>
              <w:top w:w="15" w:type="dxa"/>
              <w:left w:w="15" w:type="dxa"/>
              <w:bottom w:w="0" w:type="dxa"/>
              <w:right w:w="15" w:type="dxa"/>
            </w:tcMar>
          </w:tcPr>
          <w:p w14:paraId="02F04535">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569BAC5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推进绿色农业发展、促进乡村振兴，使当地居民从中受益，会受到公众的广泛支持，无声誉风险。</w:t>
            </w:r>
          </w:p>
          <w:p w14:paraId="2D3048C6">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3064AE5F">
            <w:pPr>
              <w:adjustRightInd w:val="0"/>
              <w:snapToGrid w:val="0"/>
              <w:rPr>
                <w:rFonts w:ascii="Arial" w:hAnsi="Arial" w:cs="Arial"/>
                <w:color w:val="000000"/>
                <w:sz w:val="20"/>
                <w:szCs w:val="20"/>
              </w:rPr>
            </w:pPr>
            <w:r>
              <w:rPr>
                <w:rFonts w:ascii="Arial" w:hAnsi="Arial" w:cs="Arial"/>
                <w:color w:val="000000"/>
                <w:sz w:val="20"/>
                <w:szCs w:val="20"/>
              </w:rPr>
              <w:t>中等</w:t>
            </w:r>
          </w:p>
        </w:tc>
      </w:tr>
      <w:tr w14:paraId="62BC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Mar>
              <w:top w:w="15" w:type="dxa"/>
              <w:left w:w="15" w:type="dxa"/>
              <w:bottom w:w="0" w:type="dxa"/>
              <w:right w:w="15" w:type="dxa"/>
            </w:tcMar>
          </w:tcPr>
          <w:p w14:paraId="1A59BCAD">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7FA80A11">
            <w:pPr>
              <w:adjustRightInd w:val="0"/>
              <w:snapToGrid w:val="0"/>
              <w:rPr>
                <w:rFonts w:ascii="Arial" w:hAnsi="Arial" w:cs="Arial"/>
                <w:color w:val="000000"/>
                <w:sz w:val="20"/>
                <w:szCs w:val="20"/>
              </w:rPr>
            </w:pPr>
            <w:r>
              <w:rPr>
                <w:rFonts w:ascii="Arial" w:hAnsi="Arial" w:cs="Arial"/>
                <w:color w:val="000000"/>
                <w:sz w:val="20"/>
                <w:szCs w:val="20"/>
              </w:rPr>
              <w:t>建立绿色农业规划的预算、支出和报告</w:t>
            </w:r>
            <w:r>
              <w:rPr>
                <w:rFonts w:ascii="Arial" w:hAnsi="Arial" w:cs="Arial"/>
                <w:color w:val="000000" w:themeColor="text1"/>
                <w:sz w:val="20"/>
                <w:szCs w:val="20"/>
                <w14:textFill>
                  <w14:solidFill>
                    <w14:schemeClr w14:val="tx1"/>
                  </w14:solidFill>
                </w14:textFill>
              </w:rPr>
              <w:t>绿色标签</w:t>
            </w:r>
            <w:r>
              <w:rPr>
                <w:rFonts w:ascii="Arial" w:hAnsi="Arial" w:cs="Arial"/>
                <w:color w:val="000000"/>
                <w:sz w:val="20"/>
                <w:szCs w:val="20"/>
              </w:rPr>
              <w:t>机制</w:t>
            </w:r>
          </w:p>
        </w:tc>
        <w:tc>
          <w:tcPr>
            <w:tcW w:w="1372" w:type="pct"/>
            <w:vMerge w:val="restart"/>
            <w:shd w:val="clear" w:color="auto" w:fill="auto"/>
            <w:tcMar>
              <w:top w:w="15" w:type="dxa"/>
              <w:left w:w="15" w:type="dxa"/>
              <w:bottom w:w="0" w:type="dxa"/>
              <w:right w:w="15" w:type="dxa"/>
            </w:tcMar>
          </w:tcPr>
          <w:p w14:paraId="6C972A7B">
            <w:pPr>
              <w:pStyle w:val="48"/>
              <w:numPr>
                <w:ilvl w:val="0"/>
                <w:numId w:val="38"/>
              </w:numPr>
              <w:adjustRightInd w:val="0"/>
              <w:snapToGrid w:val="0"/>
              <w:ind w:left="241" w:hanging="141" w:firstLineChars="0"/>
              <w:rPr>
                <w:rFonts w:ascii="Arial" w:hAnsi="Arial" w:cs="Arial"/>
                <w:sz w:val="20"/>
                <w:szCs w:val="20"/>
              </w:rPr>
            </w:pPr>
            <w:r>
              <w:rPr>
                <w:rFonts w:ascii="Arial" w:hAnsi="Arial" w:cs="Arial"/>
                <w:color w:val="000000"/>
                <w:sz w:val="20"/>
                <w:szCs w:val="20"/>
              </w:rPr>
              <w:t>实施研究活动本身不产生直接的负面环境与社会影响，仅</w:t>
            </w:r>
            <w:r>
              <w:rPr>
                <w:rFonts w:ascii="Arial" w:hAnsi="Arial" w:cs="Arial"/>
                <w:sz w:val="20"/>
                <w:szCs w:val="20"/>
              </w:rPr>
              <w:t>会涉及项目办和研究人员的健康与安全风险。</w:t>
            </w:r>
          </w:p>
          <w:p w14:paraId="7E4597B5">
            <w:pPr>
              <w:pStyle w:val="48"/>
              <w:numPr>
                <w:ilvl w:val="0"/>
                <w:numId w:val="38"/>
              </w:numPr>
              <w:adjustRightInd w:val="0"/>
              <w:snapToGrid w:val="0"/>
              <w:spacing w:before="120" w:after="120"/>
              <w:ind w:left="244" w:hanging="142" w:firstLineChars="0"/>
              <w:rPr>
                <w:rFonts w:ascii="Arial" w:hAnsi="Arial" w:cs="Arial"/>
                <w:sz w:val="20"/>
                <w:szCs w:val="20"/>
              </w:rPr>
            </w:pPr>
            <w:r>
              <w:rPr>
                <w:rFonts w:ascii="Arial" w:hAnsi="Arial" w:cs="Arial"/>
                <w:color w:val="000000"/>
                <w:sz w:val="20"/>
                <w:szCs w:val="20"/>
              </w:rPr>
              <w:t>这些活动属于方法研究、软件使用等技援活动，不会引发下游工程活动，没有明显的间接负面环境与社会影响，而且会</w:t>
            </w:r>
            <w:r>
              <w:rPr>
                <w:rFonts w:ascii="Arial" w:hAnsi="Arial" w:cs="Arial"/>
                <w:sz w:val="20"/>
                <w:szCs w:val="20"/>
              </w:rPr>
              <w:t>对后续环境社会管理和机构能力提升具有促进作用。</w:t>
            </w:r>
            <w:r>
              <w:rPr>
                <w:rFonts w:ascii="Arial" w:hAnsi="Arial" w:cs="Arial"/>
                <w:color w:val="000000"/>
                <w:sz w:val="20"/>
                <w:szCs w:val="20"/>
              </w:rPr>
              <w:t xml:space="preserve">     </w:t>
            </w:r>
          </w:p>
          <w:p w14:paraId="4ED9F1AA">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914" w:type="pct"/>
            <w:vMerge w:val="restart"/>
            <w:shd w:val="clear" w:color="auto" w:fill="auto"/>
            <w:tcMar>
              <w:top w:w="15" w:type="dxa"/>
              <w:left w:w="15" w:type="dxa"/>
              <w:bottom w:w="0" w:type="dxa"/>
              <w:right w:w="15" w:type="dxa"/>
            </w:tcMar>
          </w:tcPr>
          <w:p w14:paraId="1A18EACA">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技援没有实体工程施工，不涉及环境与社会敏感地区。</w:t>
            </w:r>
          </w:p>
          <w:p w14:paraId="48F40DA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711" w:type="pct"/>
            <w:vMerge w:val="restart"/>
            <w:shd w:val="clear" w:color="auto" w:fill="auto"/>
            <w:tcMar>
              <w:top w:w="15" w:type="dxa"/>
              <w:left w:w="15" w:type="dxa"/>
              <w:bottom w:w="0" w:type="dxa"/>
              <w:right w:w="15" w:type="dxa"/>
            </w:tcMar>
          </w:tcPr>
          <w:p w14:paraId="55BD1B22">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会涉及发改、财政、农业农村、乡村振兴等多个部门，实施过程中需要部门间协调与合作。</w:t>
            </w:r>
          </w:p>
          <w:p w14:paraId="52C6C22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vMerge w:val="restart"/>
            <w:shd w:val="clear" w:color="auto" w:fill="auto"/>
            <w:tcMar>
              <w:top w:w="15" w:type="dxa"/>
              <w:left w:w="15" w:type="dxa"/>
              <w:bottom w:w="0" w:type="dxa"/>
              <w:right w:w="15" w:type="dxa"/>
            </w:tcMar>
          </w:tcPr>
          <w:p w14:paraId="2E13A4CB">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42A5C9E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提高绿色农业管理水平，使当地居民从中受益，会受到公众的广泛支持，无声誉风险。</w:t>
            </w:r>
          </w:p>
          <w:p w14:paraId="6D405C3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vMerge w:val="restart"/>
            <w:shd w:val="clear" w:color="auto" w:fill="auto"/>
            <w:noWrap/>
            <w:tcMar>
              <w:top w:w="15" w:type="dxa"/>
              <w:left w:w="15" w:type="dxa"/>
              <w:bottom w:w="0" w:type="dxa"/>
              <w:right w:w="15" w:type="dxa"/>
            </w:tcMar>
          </w:tcPr>
          <w:p w14:paraId="591DAE7F">
            <w:pPr>
              <w:adjustRightInd w:val="0"/>
              <w:snapToGrid w:val="0"/>
              <w:rPr>
                <w:rFonts w:ascii="Arial" w:hAnsi="Arial" w:cs="Arial"/>
                <w:color w:val="000000"/>
                <w:sz w:val="20"/>
                <w:szCs w:val="20"/>
              </w:rPr>
            </w:pPr>
            <w:r>
              <w:rPr>
                <w:rFonts w:ascii="Arial" w:hAnsi="Arial" w:cs="Arial"/>
                <w:color w:val="000000"/>
                <w:sz w:val="20"/>
                <w:szCs w:val="20"/>
              </w:rPr>
              <w:t>中等</w:t>
            </w:r>
          </w:p>
        </w:tc>
      </w:tr>
      <w:tr w14:paraId="5068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68B67809">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3B27ED6D">
            <w:pPr>
              <w:adjustRightInd w:val="0"/>
              <w:snapToGrid w:val="0"/>
              <w:rPr>
                <w:rFonts w:ascii="Arial" w:hAnsi="Arial" w:cs="Arial"/>
                <w:color w:val="000000"/>
                <w:sz w:val="20"/>
                <w:szCs w:val="20"/>
              </w:rPr>
            </w:pPr>
            <w:r>
              <w:rPr>
                <w:rFonts w:ascii="Arial" w:hAnsi="Arial" w:cs="Arial"/>
                <w:color w:val="000000"/>
                <w:sz w:val="20"/>
                <w:szCs w:val="20"/>
              </w:rPr>
              <w:t>使用农村基础设施与公共服务制图、监测与评价平台</w:t>
            </w:r>
          </w:p>
        </w:tc>
        <w:tc>
          <w:tcPr>
            <w:tcW w:w="1372" w:type="pct"/>
            <w:vMerge w:val="continue"/>
            <w:shd w:val="clear" w:color="auto" w:fill="auto"/>
          </w:tcPr>
          <w:p w14:paraId="05CC479E">
            <w:pPr>
              <w:adjustRightInd w:val="0"/>
              <w:snapToGrid w:val="0"/>
              <w:rPr>
                <w:rFonts w:ascii="Arial" w:hAnsi="Arial" w:cs="Arial"/>
                <w:color w:val="000000"/>
                <w:sz w:val="20"/>
                <w:szCs w:val="20"/>
              </w:rPr>
            </w:pPr>
          </w:p>
        </w:tc>
        <w:tc>
          <w:tcPr>
            <w:tcW w:w="914" w:type="pct"/>
            <w:vMerge w:val="continue"/>
            <w:shd w:val="clear" w:color="auto" w:fill="auto"/>
          </w:tcPr>
          <w:p w14:paraId="08E423C9">
            <w:pPr>
              <w:adjustRightInd w:val="0"/>
              <w:snapToGrid w:val="0"/>
              <w:rPr>
                <w:rFonts w:ascii="Arial" w:hAnsi="Arial" w:cs="Arial"/>
                <w:color w:val="000000"/>
                <w:sz w:val="20"/>
                <w:szCs w:val="20"/>
              </w:rPr>
            </w:pPr>
          </w:p>
        </w:tc>
        <w:tc>
          <w:tcPr>
            <w:tcW w:w="711" w:type="pct"/>
            <w:vMerge w:val="continue"/>
            <w:shd w:val="clear" w:color="auto" w:fill="auto"/>
          </w:tcPr>
          <w:p w14:paraId="333D9004">
            <w:pPr>
              <w:adjustRightInd w:val="0"/>
              <w:snapToGrid w:val="0"/>
              <w:rPr>
                <w:rFonts w:ascii="Arial" w:hAnsi="Arial" w:cs="Arial"/>
                <w:color w:val="000000"/>
                <w:sz w:val="20"/>
                <w:szCs w:val="20"/>
              </w:rPr>
            </w:pPr>
          </w:p>
        </w:tc>
        <w:tc>
          <w:tcPr>
            <w:tcW w:w="763" w:type="pct"/>
            <w:vMerge w:val="continue"/>
            <w:shd w:val="clear" w:color="auto" w:fill="auto"/>
          </w:tcPr>
          <w:p w14:paraId="5BCAB38E">
            <w:pPr>
              <w:adjustRightInd w:val="0"/>
              <w:snapToGrid w:val="0"/>
              <w:rPr>
                <w:rFonts w:ascii="Arial" w:hAnsi="Arial" w:cs="Arial"/>
                <w:color w:val="000000"/>
                <w:sz w:val="20"/>
                <w:szCs w:val="20"/>
              </w:rPr>
            </w:pPr>
          </w:p>
        </w:tc>
        <w:tc>
          <w:tcPr>
            <w:tcW w:w="327" w:type="pct"/>
            <w:vMerge w:val="continue"/>
            <w:shd w:val="clear" w:color="auto" w:fill="auto"/>
          </w:tcPr>
          <w:p w14:paraId="0A574114">
            <w:pPr>
              <w:adjustRightInd w:val="0"/>
              <w:snapToGrid w:val="0"/>
              <w:rPr>
                <w:rFonts w:ascii="Arial" w:hAnsi="Arial" w:cs="Arial"/>
                <w:color w:val="000000"/>
                <w:sz w:val="20"/>
                <w:szCs w:val="20"/>
              </w:rPr>
            </w:pPr>
          </w:p>
        </w:tc>
      </w:tr>
      <w:tr w14:paraId="6396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4FECD97C">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4C604070">
            <w:pPr>
              <w:adjustRightInd w:val="0"/>
              <w:snapToGrid w:val="0"/>
              <w:rPr>
                <w:rFonts w:ascii="Arial" w:hAnsi="Arial" w:cs="Arial"/>
                <w:color w:val="000000"/>
                <w:sz w:val="20"/>
                <w:szCs w:val="20"/>
              </w:rPr>
            </w:pPr>
            <w:r>
              <w:rPr>
                <w:rFonts w:ascii="Arial" w:hAnsi="Arial" w:cs="Arial"/>
                <w:color w:val="000000"/>
                <w:sz w:val="20"/>
                <w:szCs w:val="20"/>
              </w:rPr>
              <w:t>制定绿色农技与人才培养框架</w:t>
            </w:r>
          </w:p>
        </w:tc>
        <w:tc>
          <w:tcPr>
            <w:tcW w:w="1372" w:type="pct"/>
            <w:vMerge w:val="continue"/>
            <w:shd w:val="clear" w:color="auto" w:fill="auto"/>
          </w:tcPr>
          <w:p w14:paraId="2394F316">
            <w:pPr>
              <w:adjustRightInd w:val="0"/>
              <w:snapToGrid w:val="0"/>
              <w:rPr>
                <w:rFonts w:ascii="Arial" w:hAnsi="Arial" w:cs="Arial"/>
                <w:color w:val="000000"/>
                <w:sz w:val="20"/>
                <w:szCs w:val="20"/>
              </w:rPr>
            </w:pPr>
          </w:p>
        </w:tc>
        <w:tc>
          <w:tcPr>
            <w:tcW w:w="914" w:type="pct"/>
            <w:vMerge w:val="continue"/>
            <w:shd w:val="clear" w:color="auto" w:fill="auto"/>
          </w:tcPr>
          <w:p w14:paraId="243E6A23">
            <w:pPr>
              <w:adjustRightInd w:val="0"/>
              <w:snapToGrid w:val="0"/>
              <w:rPr>
                <w:rFonts w:ascii="Arial" w:hAnsi="Arial" w:cs="Arial"/>
                <w:color w:val="000000"/>
                <w:sz w:val="20"/>
                <w:szCs w:val="20"/>
              </w:rPr>
            </w:pPr>
          </w:p>
        </w:tc>
        <w:tc>
          <w:tcPr>
            <w:tcW w:w="711" w:type="pct"/>
            <w:vMerge w:val="continue"/>
            <w:shd w:val="clear" w:color="auto" w:fill="auto"/>
          </w:tcPr>
          <w:p w14:paraId="097A7DB6">
            <w:pPr>
              <w:adjustRightInd w:val="0"/>
              <w:snapToGrid w:val="0"/>
              <w:rPr>
                <w:rFonts w:ascii="Arial" w:hAnsi="Arial" w:cs="Arial"/>
                <w:color w:val="000000"/>
                <w:sz w:val="20"/>
                <w:szCs w:val="20"/>
              </w:rPr>
            </w:pPr>
          </w:p>
        </w:tc>
        <w:tc>
          <w:tcPr>
            <w:tcW w:w="763" w:type="pct"/>
            <w:vMerge w:val="continue"/>
            <w:shd w:val="clear" w:color="auto" w:fill="auto"/>
          </w:tcPr>
          <w:p w14:paraId="3B355D0D">
            <w:pPr>
              <w:adjustRightInd w:val="0"/>
              <w:snapToGrid w:val="0"/>
              <w:rPr>
                <w:rFonts w:ascii="Arial" w:hAnsi="Arial" w:cs="Arial"/>
                <w:color w:val="000000"/>
                <w:sz w:val="20"/>
                <w:szCs w:val="20"/>
              </w:rPr>
            </w:pPr>
          </w:p>
        </w:tc>
        <w:tc>
          <w:tcPr>
            <w:tcW w:w="327" w:type="pct"/>
            <w:vMerge w:val="continue"/>
            <w:shd w:val="clear" w:color="auto" w:fill="auto"/>
          </w:tcPr>
          <w:p w14:paraId="093F7C77">
            <w:pPr>
              <w:adjustRightInd w:val="0"/>
              <w:snapToGrid w:val="0"/>
              <w:rPr>
                <w:rFonts w:ascii="Arial" w:hAnsi="Arial" w:cs="Arial"/>
                <w:color w:val="000000"/>
                <w:sz w:val="20"/>
                <w:szCs w:val="20"/>
              </w:rPr>
            </w:pPr>
          </w:p>
        </w:tc>
      </w:tr>
      <w:tr w14:paraId="48DA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restart"/>
            <w:shd w:val="clear" w:color="auto" w:fill="auto"/>
            <w:tcMar>
              <w:top w:w="15" w:type="dxa"/>
              <w:left w:w="15" w:type="dxa"/>
              <w:bottom w:w="0" w:type="dxa"/>
              <w:right w:w="15" w:type="dxa"/>
            </w:tcMar>
          </w:tcPr>
          <w:p w14:paraId="2277B991">
            <w:pPr>
              <w:adjustRightInd w:val="0"/>
              <w:snapToGrid w:val="0"/>
              <w:rPr>
                <w:rFonts w:ascii="Arial" w:hAnsi="Arial" w:cs="Arial"/>
                <w:color w:val="000000"/>
                <w:sz w:val="20"/>
                <w:szCs w:val="20"/>
              </w:rPr>
            </w:pPr>
            <w:r>
              <w:rPr>
                <w:rFonts w:ascii="Arial" w:hAnsi="Arial" w:cs="Arial"/>
                <w:color w:val="000000"/>
                <w:sz w:val="20"/>
                <w:szCs w:val="20"/>
              </w:rPr>
              <w:t xml:space="preserve">RA2 </w:t>
            </w:r>
            <w:r>
              <w:rPr>
                <w:rFonts w:hint="eastAsia" w:ascii="Arial" w:hAnsi="Arial" w:cs="Arial"/>
                <w:color w:val="000000"/>
                <w:sz w:val="20"/>
                <w:szCs w:val="20"/>
                <w:lang w:eastAsia="zh-CN"/>
              </w:rPr>
              <w:t>—</w:t>
            </w:r>
            <w:r>
              <w:rPr>
                <w:rFonts w:ascii="Arial" w:hAnsi="Arial" w:cs="Arial"/>
                <w:color w:val="000000"/>
                <w:sz w:val="20"/>
                <w:szCs w:val="20"/>
              </w:rPr>
              <w:t xml:space="preserve"> 农业产业链绿色发展</w:t>
            </w:r>
          </w:p>
        </w:tc>
        <w:tc>
          <w:tcPr>
            <w:tcW w:w="559" w:type="pct"/>
            <w:shd w:val="clear" w:color="auto" w:fill="auto"/>
            <w:tcMar>
              <w:top w:w="15" w:type="dxa"/>
              <w:left w:w="15" w:type="dxa"/>
              <w:bottom w:w="0" w:type="dxa"/>
              <w:right w:w="15" w:type="dxa"/>
            </w:tcMar>
          </w:tcPr>
          <w:p w14:paraId="6616B37C">
            <w:pPr>
              <w:adjustRightInd w:val="0"/>
              <w:snapToGrid w:val="0"/>
              <w:rPr>
                <w:rFonts w:ascii="Arial" w:hAnsi="Arial" w:cs="Arial"/>
                <w:color w:val="000000"/>
                <w:sz w:val="20"/>
                <w:szCs w:val="20"/>
              </w:rPr>
            </w:pPr>
            <w:r>
              <w:rPr>
                <w:rFonts w:ascii="Arial" w:hAnsi="Arial" w:cs="Arial"/>
                <w:color w:val="000000"/>
                <w:sz w:val="20"/>
                <w:szCs w:val="20"/>
              </w:rPr>
              <w:t>化肥减量、有毒农药减量、畜禽粪污的收集、处理和利用</w:t>
            </w:r>
          </w:p>
        </w:tc>
        <w:tc>
          <w:tcPr>
            <w:tcW w:w="1372" w:type="pct"/>
            <w:shd w:val="clear" w:color="auto" w:fill="auto"/>
            <w:tcMar>
              <w:top w:w="15" w:type="dxa"/>
              <w:left w:w="15" w:type="dxa"/>
              <w:bottom w:w="0" w:type="dxa"/>
              <w:right w:w="15" w:type="dxa"/>
            </w:tcMar>
          </w:tcPr>
          <w:p w14:paraId="0FF084A6">
            <w:pPr>
              <w:pStyle w:val="48"/>
              <w:numPr>
                <w:ilvl w:val="0"/>
                <w:numId w:val="38"/>
              </w:numPr>
              <w:adjustRightInd w:val="0"/>
              <w:snapToGrid w:val="0"/>
              <w:spacing w:after="120"/>
              <w:ind w:left="244" w:hanging="142" w:firstLineChars="0"/>
              <w:rPr>
                <w:rFonts w:ascii="Arial" w:hAnsi="Arial" w:cs="Arial"/>
                <w:color w:val="000000"/>
                <w:sz w:val="20"/>
                <w:szCs w:val="20"/>
              </w:rPr>
            </w:pPr>
            <w:r>
              <w:rPr>
                <w:rFonts w:ascii="Arial" w:hAnsi="Arial" w:cs="Arial"/>
                <w:color w:val="000000"/>
                <w:sz w:val="20"/>
                <w:szCs w:val="20"/>
              </w:rPr>
              <w:t xml:space="preserve">化肥减量会改善土壤环境、减轻面源污染，环境效益较高。但有可能影响农户生计收入，如增加肥料成本，减少农户收成的，需安排恰当的措施，减缓农户损失，尤其对于弱势群体；也会涉及工人与社区健康与安全、小规模的用工等。 </w:t>
            </w:r>
          </w:p>
          <w:p w14:paraId="191D9DAA">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农药减量会保障土壤质量和食品安全、减轻面源污染，社会和环境效益较高。农药使用中需加强管理，防止对环境和健康造成风险。</w:t>
            </w:r>
          </w:p>
          <w:p w14:paraId="20362F91">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畜禽粪污处理和利用活动可能产生污水影响环境，臭气影响工人和附近居民健康、病死动物致病菌风险；有机肥或农家肥质量不合格或施用过量都可能污染土壤环境。</w:t>
            </w:r>
          </w:p>
          <w:p w14:paraId="59CB98F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914" w:type="pct"/>
            <w:shd w:val="clear" w:color="auto" w:fill="auto"/>
            <w:tcMar>
              <w:top w:w="15" w:type="dxa"/>
              <w:left w:w="15" w:type="dxa"/>
              <w:bottom w:w="0" w:type="dxa"/>
              <w:right w:w="15" w:type="dxa"/>
            </w:tcMar>
          </w:tcPr>
          <w:p w14:paraId="72B89DB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农耕地区广泛存在农药、化肥、畜禽粪污等引发的农业面源污染问题，正在逐步治理当中。</w:t>
            </w:r>
          </w:p>
          <w:p w14:paraId="2F8748B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活动地点主要在农村地区，不涉及未经人类活动干扰的重要自然栖息地。</w:t>
            </w:r>
          </w:p>
          <w:p w14:paraId="73FDD9EA">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 xml:space="preserve">项目区存在少数民族村庄。 </w:t>
            </w:r>
          </w:p>
          <w:p w14:paraId="6C9DD7BF">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tcMar>
              <w:top w:w="15" w:type="dxa"/>
              <w:left w:w="15" w:type="dxa"/>
              <w:bottom w:w="0" w:type="dxa"/>
              <w:right w:w="15" w:type="dxa"/>
            </w:tcMar>
          </w:tcPr>
          <w:p w14:paraId="02395338">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会涉及发改、财政、农业农村、乡村振兴、生态环境、自然资源、市场监管、卫健等多个部门，实施过程中需要部门间协调与合作。</w:t>
            </w:r>
          </w:p>
          <w:p w14:paraId="7E6AB065">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若任一部门在农药、畜禽粪污等管理的任一环节不能同步协调，都会导致整个体系无法有效运行而增加污染风险或健康危害。</w:t>
            </w:r>
          </w:p>
          <w:p w14:paraId="5DFE1630">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763" w:type="pct"/>
            <w:shd w:val="clear" w:color="auto" w:fill="auto"/>
            <w:tcMar>
              <w:top w:w="15" w:type="dxa"/>
              <w:left w:w="15" w:type="dxa"/>
              <w:bottom w:w="0" w:type="dxa"/>
              <w:right w:w="15" w:type="dxa"/>
            </w:tcMar>
          </w:tcPr>
          <w:p w14:paraId="77A6273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3C3C86BC">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治理农业面源污染、推进绿色农业发展，使当地居民从中受益，会受到公众的广泛支持，无声誉风险。</w:t>
            </w:r>
          </w:p>
          <w:p w14:paraId="7909B508">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0472F2D7">
            <w:pPr>
              <w:adjustRightInd w:val="0"/>
              <w:snapToGrid w:val="0"/>
              <w:rPr>
                <w:rFonts w:ascii="Arial" w:hAnsi="Arial" w:cs="Arial"/>
                <w:color w:val="000000"/>
                <w:sz w:val="20"/>
                <w:szCs w:val="20"/>
              </w:rPr>
            </w:pPr>
            <w:r>
              <w:rPr>
                <w:rFonts w:ascii="Arial" w:hAnsi="Arial" w:cs="Arial"/>
                <w:color w:val="000000"/>
                <w:sz w:val="20"/>
                <w:szCs w:val="20"/>
              </w:rPr>
              <w:t>较高</w:t>
            </w:r>
          </w:p>
        </w:tc>
      </w:tr>
      <w:tr w14:paraId="7743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0C8B9A76">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62B1607B">
            <w:pPr>
              <w:adjustRightInd w:val="0"/>
              <w:snapToGrid w:val="0"/>
              <w:rPr>
                <w:rFonts w:ascii="Arial" w:hAnsi="Arial" w:cs="Arial"/>
                <w:color w:val="000000"/>
                <w:sz w:val="20"/>
                <w:szCs w:val="20"/>
              </w:rPr>
            </w:pPr>
            <w:r>
              <w:rPr>
                <w:rFonts w:ascii="Arial" w:hAnsi="Arial" w:cs="Arial"/>
                <w:color w:val="000000"/>
                <w:sz w:val="20"/>
                <w:szCs w:val="20"/>
                <w:lang w:val="en-GB"/>
              </w:rPr>
              <w:t>采用气候智慧型农业实践</w:t>
            </w:r>
            <w:r>
              <w:rPr>
                <w:rFonts w:ascii="Arial" w:hAnsi="Arial" w:cs="Arial"/>
                <w:color w:val="000000" w:themeColor="text1"/>
                <w:sz w:val="20"/>
                <w:szCs w:val="20"/>
                <w:lang w:val="en-GB"/>
                <w14:textFill>
                  <w14:solidFill>
                    <w14:schemeClr w14:val="tx1"/>
                  </w14:solidFill>
                </w14:textFill>
              </w:rPr>
              <w:t>（如提高灌溉效率、改善水稻用水机制）</w:t>
            </w:r>
          </w:p>
        </w:tc>
        <w:tc>
          <w:tcPr>
            <w:tcW w:w="1372" w:type="pct"/>
            <w:shd w:val="clear" w:color="auto" w:fill="auto"/>
            <w:tcMar>
              <w:top w:w="15" w:type="dxa"/>
              <w:left w:w="15" w:type="dxa"/>
              <w:bottom w:w="0" w:type="dxa"/>
              <w:right w:w="15" w:type="dxa"/>
            </w:tcMar>
          </w:tcPr>
          <w:p w14:paraId="49CF30B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 xml:space="preserve">绿色农业产业发展可能涉及土地流转、中低等级的工人与社区健康与安全、雇佣小规模的用工等社会问题； </w:t>
            </w:r>
          </w:p>
          <w:p w14:paraId="2C8BC042">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发展滴灌、水肥一体化、</w:t>
            </w:r>
            <w:r>
              <w:rPr>
                <w:rFonts w:ascii="Arial" w:hAnsi="Arial" w:cs="Arial"/>
                <w:color w:val="000000" w:themeColor="text1"/>
                <w:sz w:val="20"/>
                <w:szCs w:val="20"/>
                <w:lang w:val="en-GB"/>
                <w14:textFill>
                  <w14:solidFill>
                    <w14:schemeClr w14:val="tx1"/>
                  </w14:solidFill>
                </w14:textFill>
              </w:rPr>
              <w:t>改善水稻用水机制</w:t>
            </w:r>
            <w:r>
              <w:rPr>
                <w:rFonts w:ascii="Arial" w:hAnsi="Arial" w:cs="Arial"/>
                <w:color w:val="000000"/>
                <w:sz w:val="20"/>
                <w:szCs w:val="20"/>
              </w:rPr>
              <w:t>等方式仅涉及小型设施建设运行和农业生产实践，不会产生显著的环境与社会影响。通过节水增效，灌溉用水量和排水量都会降低，水资源分配也不会受到影响。</w:t>
            </w:r>
          </w:p>
          <w:p w14:paraId="085B622C">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914" w:type="pct"/>
            <w:shd w:val="clear" w:color="auto" w:fill="auto"/>
            <w:tcMar>
              <w:top w:w="15" w:type="dxa"/>
              <w:left w:w="15" w:type="dxa"/>
              <w:bottom w:w="0" w:type="dxa"/>
              <w:right w:w="15" w:type="dxa"/>
            </w:tcMar>
          </w:tcPr>
          <w:p w14:paraId="71FE015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活动地点主要在农村地区，不涉及未经人类活动干扰的重要自然栖息地等环境敏感区。</w:t>
            </w:r>
          </w:p>
          <w:p w14:paraId="38855DD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 xml:space="preserve">项目区存在少数民族村庄。 </w:t>
            </w:r>
          </w:p>
          <w:p w14:paraId="6F6EAE3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tcMar>
              <w:top w:w="15" w:type="dxa"/>
              <w:left w:w="15" w:type="dxa"/>
              <w:bottom w:w="0" w:type="dxa"/>
              <w:right w:w="15" w:type="dxa"/>
            </w:tcMar>
          </w:tcPr>
          <w:p w14:paraId="041F5AE4">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会涉及发改、财政、农业农村、乡村振兴、生态环境等多个部门，实施过程中需要部门间协调与合作。</w:t>
            </w:r>
          </w:p>
          <w:p w14:paraId="41EE92B4">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tcMar>
              <w:top w:w="15" w:type="dxa"/>
              <w:left w:w="15" w:type="dxa"/>
              <w:bottom w:w="0" w:type="dxa"/>
              <w:right w:w="15" w:type="dxa"/>
            </w:tcMar>
          </w:tcPr>
          <w:p w14:paraId="787ECDDE">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33ACAC9E">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推进绿色农业发展、保护环境，使当地居民从中受益，会受到公众的广泛支持，无声誉风险。</w:t>
            </w:r>
          </w:p>
          <w:p w14:paraId="026703B1">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45054C0E">
            <w:pPr>
              <w:adjustRightInd w:val="0"/>
              <w:snapToGrid w:val="0"/>
              <w:rPr>
                <w:rFonts w:ascii="Arial" w:hAnsi="Arial" w:cs="Arial"/>
                <w:color w:val="000000"/>
                <w:sz w:val="20"/>
                <w:szCs w:val="20"/>
              </w:rPr>
            </w:pPr>
            <w:r>
              <w:rPr>
                <w:rFonts w:ascii="Arial" w:hAnsi="Arial" w:cs="Arial"/>
                <w:color w:val="000000"/>
                <w:sz w:val="20"/>
                <w:szCs w:val="20"/>
              </w:rPr>
              <w:t>中等</w:t>
            </w:r>
          </w:p>
        </w:tc>
      </w:tr>
      <w:tr w14:paraId="20CA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77C8EC02">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72130315">
            <w:pPr>
              <w:adjustRightInd w:val="0"/>
              <w:snapToGrid w:val="0"/>
              <w:rPr>
                <w:rFonts w:ascii="Arial" w:hAnsi="Arial" w:cs="Arial"/>
                <w:color w:val="000000"/>
                <w:sz w:val="20"/>
                <w:szCs w:val="20"/>
                <w:lang w:val="en-GB"/>
              </w:rPr>
            </w:pPr>
            <w:r>
              <w:rPr>
                <w:rFonts w:ascii="Arial" w:hAnsi="Arial" w:cs="Arial"/>
                <w:color w:val="000000"/>
                <w:sz w:val="20"/>
                <w:szCs w:val="20"/>
              </w:rPr>
              <w:t>农村地区绿色农技与人才培养（培养农民合作社、农民用水协会、农资经销商、农业职业经理人等）</w:t>
            </w:r>
          </w:p>
        </w:tc>
        <w:tc>
          <w:tcPr>
            <w:tcW w:w="1372" w:type="pct"/>
            <w:shd w:val="clear" w:color="auto" w:fill="auto"/>
            <w:tcMar>
              <w:top w:w="15" w:type="dxa"/>
              <w:left w:w="15" w:type="dxa"/>
              <w:bottom w:w="0" w:type="dxa"/>
              <w:right w:w="15" w:type="dxa"/>
            </w:tcMar>
          </w:tcPr>
          <w:p w14:paraId="5E6A2E4B">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此类活动基本不产生负面环境与社会影响。仅在培训、考察等活动中涉及项目办以及培训机构人员的健康安全风险。</w:t>
            </w:r>
          </w:p>
          <w:p w14:paraId="2A7EE237">
            <w:pPr>
              <w:pStyle w:val="48"/>
              <w:numPr>
                <w:ilvl w:val="0"/>
                <w:numId w:val="38"/>
              </w:numPr>
              <w:adjustRightInd w:val="0"/>
              <w:snapToGrid w:val="0"/>
              <w:spacing w:before="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914" w:type="pct"/>
            <w:shd w:val="clear" w:color="auto" w:fill="auto"/>
            <w:tcMar>
              <w:top w:w="15" w:type="dxa"/>
              <w:left w:w="15" w:type="dxa"/>
              <w:bottom w:w="0" w:type="dxa"/>
              <w:right w:w="15" w:type="dxa"/>
            </w:tcMar>
          </w:tcPr>
          <w:p w14:paraId="60B9323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技援没有实体工程施工，不涉及环境与社会敏感地区。</w:t>
            </w:r>
          </w:p>
          <w:p w14:paraId="3BC77651">
            <w:pPr>
              <w:pStyle w:val="48"/>
              <w:numPr>
                <w:ilvl w:val="0"/>
                <w:numId w:val="38"/>
              </w:numPr>
              <w:adjustRightInd w:val="0"/>
              <w:snapToGrid w:val="0"/>
              <w:spacing w:before="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711" w:type="pct"/>
            <w:shd w:val="clear" w:color="auto" w:fill="auto"/>
            <w:tcMar>
              <w:top w:w="15" w:type="dxa"/>
              <w:left w:w="15" w:type="dxa"/>
              <w:bottom w:w="0" w:type="dxa"/>
              <w:right w:w="15" w:type="dxa"/>
            </w:tcMar>
          </w:tcPr>
          <w:p w14:paraId="6E12C635">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会涉财政、教育、农业农村、乡村振兴等多个部门，实施过程中需要部门间协调与合作。</w:t>
            </w:r>
          </w:p>
          <w:p w14:paraId="614AD5B7">
            <w:pPr>
              <w:pStyle w:val="48"/>
              <w:numPr>
                <w:ilvl w:val="0"/>
                <w:numId w:val="38"/>
              </w:numPr>
              <w:adjustRightInd w:val="0"/>
              <w:snapToGrid w:val="0"/>
              <w:spacing w:before="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tcMar>
              <w:top w:w="15" w:type="dxa"/>
              <w:left w:w="15" w:type="dxa"/>
              <w:bottom w:w="0" w:type="dxa"/>
              <w:right w:w="15" w:type="dxa"/>
            </w:tcMar>
          </w:tcPr>
          <w:p w14:paraId="0EF5AE1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02237AD3">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提高农民知识水平、生产和经营能力，会受到公众的广泛支持，无声誉风险。</w:t>
            </w:r>
          </w:p>
          <w:p w14:paraId="262BB06B">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p w14:paraId="751BC273">
            <w:pPr>
              <w:pStyle w:val="48"/>
              <w:numPr>
                <w:ilvl w:val="0"/>
                <w:numId w:val="38"/>
              </w:numPr>
              <w:adjustRightInd w:val="0"/>
              <w:snapToGrid w:val="0"/>
              <w:ind w:left="241" w:hanging="141" w:firstLineChars="0"/>
              <w:rPr>
                <w:rFonts w:ascii="Arial" w:hAnsi="Arial" w:cs="Arial"/>
                <w:color w:val="000000"/>
                <w:sz w:val="20"/>
                <w:szCs w:val="20"/>
              </w:rPr>
            </w:pPr>
          </w:p>
        </w:tc>
        <w:tc>
          <w:tcPr>
            <w:tcW w:w="327" w:type="pct"/>
            <w:shd w:val="clear" w:color="auto" w:fill="auto"/>
            <w:noWrap/>
            <w:tcMar>
              <w:top w:w="15" w:type="dxa"/>
              <w:left w:w="15" w:type="dxa"/>
              <w:bottom w:w="0" w:type="dxa"/>
              <w:right w:w="15" w:type="dxa"/>
            </w:tcMar>
          </w:tcPr>
          <w:p w14:paraId="44FFB4DB">
            <w:pPr>
              <w:adjustRightInd w:val="0"/>
              <w:snapToGrid w:val="0"/>
              <w:rPr>
                <w:rFonts w:ascii="Arial" w:hAnsi="Arial" w:cs="Arial"/>
                <w:color w:val="000000"/>
                <w:sz w:val="20"/>
                <w:szCs w:val="20"/>
              </w:rPr>
            </w:pPr>
            <w:r>
              <w:rPr>
                <w:rFonts w:ascii="Arial" w:hAnsi="Arial" w:cs="Arial"/>
                <w:color w:val="000000"/>
                <w:sz w:val="20"/>
                <w:szCs w:val="20"/>
              </w:rPr>
              <w:t>中等</w:t>
            </w:r>
          </w:p>
        </w:tc>
      </w:tr>
      <w:tr w14:paraId="01F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03198998">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05C02E77">
            <w:pPr>
              <w:adjustRightInd w:val="0"/>
              <w:snapToGrid w:val="0"/>
              <w:rPr>
                <w:rFonts w:ascii="Arial" w:hAnsi="Arial" w:cs="Arial"/>
                <w:color w:val="000000"/>
                <w:sz w:val="20"/>
                <w:szCs w:val="20"/>
              </w:rPr>
            </w:pPr>
            <w:r>
              <w:rPr>
                <w:rFonts w:ascii="Arial" w:hAnsi="Arial" w:cs="Arial"/>
                <w:color w:val="000000"/>
                <w:sz w:val="20"/>
                <w:szCs w:val="20"/>
                <w:lang w:val="en-GB"/>
              </w:rPr>
              <w:t>农业领域实施温室气体减排监测、报告和核验绿色标签机制</w:t>
            </w:r>
          </w:p>
        </w:tc>
        <w:tc>
          <w:tcPr>
            <w:tcW w:w="1372" w:type="pct"/>
            <w:shd w:val="clear" w:color="auto" w:fill="auto"/>
            <w:tcMar>
              <w:top w:w="15" w:type="dxa"/>
              <w:left w:w="15" w:type="dxa"/>
              <w:bottom w:w="0" w:type="dxa"/>
              <w:right w:w="15" w:type="dxa"/>
            </w:tcMar>
          </w:tcPr>
          <w:p w14:paraId="38C33F15">
            <w:pPr>
              <w:pStyle w:val="48"/>
              <w:numPr>
                <w:ilvl w:val="0"/>
                <w:numId w:val="38"/>
              </w:numPr>
              <w:adjustRightInd w:val="0"/>
              <w:snapToGrid w:val="0"/>
              <w:spacing w:after="120"/>
              <w:ind w:left="244" w:hanging="142" w:firstLineChars="0"/>
              <w:rPr>
                <w:rFonts w:ascii="Arial" w:hAnsi="Arial" w:cs="Arial"/>
                <w:sz w:val="20"/>
                <w:szCs w:val="20"/>
              </w:rPr>
            </w:pPr>
            <w:r>
              <w:rPr>
                <w:rFonts w:ascii="Arial" w:hAnsi="Arial" w:cs="Arial"/>
                <w:color w:val="000000"/>
                <w:sz w:val="20"/>
                <w:szCs w:val="20"/>
              </w:rPr>
              <w:t>这些监测、报告与核验活动不会引发下游工程活动，没有明显的间接负面环境与社会影响，而且会</w:t>
            </w:r>
            <w:r>
              <w:rPr>
                <w:rFonts w:ascii="Arial" w:hAnsi="Arial" w:cs="Arial"/>
                <w:sz w:val="20"/>
                <w:szCs w:val="20"/>
              </w:rPr>
              <w:t>对后续环境社会管理和机构能力提升具有促进作用。</w:t>
            </w:r>
            <w:r>
              <w:rPr>
                <w:rFonts w:ascii="Arial" w:hAnsi="Arial" w:cs="Arial"/>
                <w:color w:val="000000"/>
                <w:sz w:val="20"/>
                <w:szCs w:val="20"/>
              </w:rPr>
              <w:t xml:space="preserve">     </w:t>
            </w:r>
          </w:p>
          <w:p w14:paraId="3557EDC6">
            <w:pPr>
              <w:pStyle w:val="48"/>
              <w:numPr>
                <w:ilvl w:val="0"/>
                <w:numId w:val="38"/>
              </w:numPr>
              <w:adjustRightInd w:val="0"/>
              <w:snapToGrid w:val="0"/>
              <w:spacing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914" w:type="pct"/>
            <w:shd w:val="clear" w:color="auto" w:fill="auto"/>
            <w:tcMar>
              <w:top w:w="15" w:type="dxa"/>
              <w:left w:w="15" w:type="dxa"/>
              <w:bottom w:w="0" w:type="dxa"/>
              <w:right w:w="15" w:type="dxa"/>
            </w:tcMar>
          </w:tcPr>
          <w:p w14:paraId="094997BB">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没有实体工程施工，不涉及环境与社会敏感地区。</w:t>
            </w:r>
          </w:p>
          <w:p w14:paraId="674E8965">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711" w:type="pct"/>
            <w:shd w:val="clear" w:color="auto" w:fill="auto"/>
            <w:tcMar>
              <w:top w:w="15" w:type="dxa"/>
              <w:left w:w="15" w:type="dxa"/>
              <w:bottom w:w="0" w:type="dxa"/>
              <w:right w:w="15" w:type="dxa"/>
            </w:tcMar>
          </w:tcPr>
          <w:p w14:paraId="4AF9C4D4">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会涉财政、农业农村、乡村振兴、生态环境等多个部门，实施过程中需要部门间协调与合作。</w:t>
            </w:r>
          </w:p>
          <w:p w14:paraId="6B00CA63">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tcMar>
              <w:top w:w="15" w:type="dxa"/>
              <w:left w:w="15" w:type="dxa"/>
              <w:bottom w:w="0" w:type="dxa"/>
              <w:right w:w="15" w:type="dxa"/>
            </w:tcMar>
          </w:tcPr>
          <w:p w14:paraId="18611BD9">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60760C40">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提高绿色农业管理水平，使当地居民从中受益，会受到公众的广泛支持，无声誉风险。</w:t>
            </w:r>
          </w:p>
          <w:p w14:paraId="2BC0EAD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22FDE9B0">
            <w:pPr>
              <w:adjustRightInd w:val="0"/>
              <w:snapToGrid w:val="0"/>
              <w:rPr>
                <w:rFonts w:ascii="Arial" w:hAnsi="Arial" w:cs="Arial"/>
                <w:color w:val="000000"/>
                <w:sz w:val="20"/>
                <w:szCs w:val="20"/>
              </w:rPr>
            </w:pPr>
            <w:r>
              <w:rPr>
                <w:rFonts w:ascii="Arial" w:hAnsi="Arial" w:cs="Arial"/>
                <w:color w:val="000000"/>
                <w:sz w:val="20"/>
                <w:szCs w:val="20"/>
              </w:rPr>
              <w:t>中等</w:t>
            </w:r>
          </w:p>
        </w:tc>
      </w:tr>
      <w:tr w14:paraId="3183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restart"/>
            <w:shd w:val="clear" w:color="auto" w:fill="auto"/>
            <w:tcMar>
              <w:top w:w="15" w:type="dxa"/>
              <w:left w:w="15" w:type="dxa"/>
              <w:bottom w:w="0" w:type="dxa"/>
              <w:right w:w="15" w:type="dxa"/>
            </w:tcMar>
          </w:tcPr>
          <w:p w14:paraId="0C78958D">
            <w:pPr>
              <w:adjustRightInd w:val="0"/>
              <w:snapToGrid w:val="0"/>
              <w:rPr>
                <w:rFonts w:ascii="Arial" w:hAnsi="Arial" w:cs="Arial"/>
                <w:color w:val="000000"/>
                <w:sz w:val="20"/>
                <w:szCs w:val="20"/>
              </w:rPr>
            </w:pPr>
            <w:r>
              <w:rPr>
                <w:rFonts w:ascii="Arial" w:hAnsi="Arial" w:cs="Arial"/>
                <w:color w:val="000000"/>
                <w:sz w:val="20"/>
                <w:szCs w:val="20"/>
              </w:rPr>
              <w:t xml:space="preserve">RA3 </w:t>
            </w:r>
            <w:r>
              <w:rPr>
                <w:rFonts w:hint="eastAsia" w:ascii="Arial" w:hAnsi="Arial" w:cs="Arial"/>
                <w:color w:val="000000"/>
                <w:sz w:val="20"/>
                <w:szCs w:val="20"/>
                <w:lang w:eastAsia="zh-CN"/>
              </w:rPr>
              <w:t>—</w:t>
            </w:r>
            <w:r>
              <w:rPr>
                <w:rFonts w:ascii="Arial" w:hAnsi="Arial" w:cs="Arial"/>
                <w:color w:val="000000"/>
                <w:sz w:val="20"/>
                <w:szCs w:val="20"/>
              </w:rPr>
              <w:t xml:space="preserve"> 改善农村生活垃圾和生活污水服务</w:t>
            </w:r>
          </w:p>
        </w:tc>
        <w:tc>
          <w:tcPr>
            <w:tcW w:w="559" w:type="pct"/>
            <w:shd w:val="clear" w:color="auto" w:fill="auto"/>
            <w:tcMar>
              <w:top w:w="15" w:type="dxa"/>
              <w:left w:w="15" w:type="dxa"/>
              <w:bottom w:w="0" w:type="dxa"/>
              <w:right w:w="15" w:type="dxa"/>
            </w:tcMar>
          </w:tcPr>
          <w:p w14:paraId="090DFCF9">
            <w:pPr>
              <w:adjustRightInd w:val="0"/>
              <w:snapToGrid w:val="0"/>
              <w:rPr>
                <w:rFonts w:ascii="Arial" w:hAnsi="Arial" w:cs="Arial"/>
                <w:color w:val="000000"/>
                <w:sz w:val="20"/>
                <w:szCs w:val="20"/>
              </w:rPr>
            </w:pPr>
            <w:r>
              <w:rPr>
                <w:rFonts w:ascii="Arial" w:hAnsi="Arial" w:cs="Arial"/>
                <w:color w:val="000000"/>
                <w:sz w:val="20"/>
                <w:szCs w:val="20"/>
              </w:rPr>
              <w:t>制定多规合一村庄规划</w:t>
            </w:r>
          </w:p>
          <w:p w14:paraId="78AE9025">
            <w:pPr>
              <w:adjustRightInd w:val="0"/>
              <w:snapToGrid w:val="0"/>
              <w:rPr>
                <w:rFonts w:ascii="Arial" w:hAnsi="Arial" w:cs="Arial"/>
                <w:color w:val="000000"/>
                <w:sz w:val="20"/>
                <w:szCs w:val="20"/>
              </w:rPr>
            </w:pPr>
          </w:p>
        </w:tc>
        <w:tc>
          <w:tcPr>
            <w:tcW w:w="1372" w:type="pct"/>
            <w:shd w:val="clear" w:color="auto" w:fill="auto"/>
            <w:tcMar>
              <w:top w:w="15" w:type="dxa"/>
              <w:left w:w="15" w:type="dxa"/>
              <w:bottom w:w="0" w:type="dxa"/>
              <w:right w:w="15" w:type="dxa"/>
            </w:tcMar>
          </w:tcPr>
          <w:p w14:paraId="5BDCD91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规划编制活动本身不产生直接的负面环境与社会影响，仅</w:t>
            </w:r>
            <w:r>
              <w:rPr>
                <w:rFonts w:ascii="Arial" w:hAnsi="Arial" w:cs="Arial"/>
                <w:sz w:val="20"/>
                <w:szCs w:val="20"/>
              </w:rPr>
              <w:t>会涉及项目办和研究人员的健康与安全风险。</w:t>
            </w:r>
          </w:p>
          <w:p w14:paraId="428272F9">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规划实施后可能引发下游广泛的农村基础设施建设活动，而产生间接的环境与社会影响。按国内要求，由于村庄规划范围较小，不需要开展规划环评，且下游活动类型、范围和规模相对简单，总体影响不会太大。</w:t>
            </w:r>
          </w:p>
          <w:p w14:paraId="218185D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914" w:type="pct"/>
            <w:shd w:val="clear" w:color="auto" w:fill="auto"/>
            <w:tcMar>
              <w:top w:w="15" w:type="dxa"/>
              <w:left w:w="15" w:type="dxa"/>
              <w:bottom w:w="0" w:type="dxa"/>
              <w:right w:w="15" w:type="dxa"/>
            </w:tcMar>
          </w:tcPr>
          <w:p w14:paraId="00F8323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规划编制活动本身没有实体工程施工，不触及环境与社会敏感地区。</w:t>
            </w:r>
          </w:p>
          <w:p w14:paraId="4CAC43A6">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规划实施会涉及很广泛的范围，会存在少数民族村庄。</w:t>
            </w:r>
          </w:p>
          <w:p w14:paraId="07AC09F5">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后续引发的农村基础设施建设活动都在农村地区现有建设用地开展，且中国具有严格的自然保护地和生态保护红线制度，因此基本不会涉及自然栖息地等环境敏感区。</w:t>
            </w:r>
          </w:p>
          <w:p w14:paraId="6E06A1F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tcMar>
              <w:top w:w="15" w:type="dxa"/>
              <w:left w:w="15" w:type="dxa"/>
              <w:bottom w:w="0" w:type="dxa"/>
              <w:right w:w="15" w:type="dxa"/>
            </w:tcMar>
          </w:tcPr>
          <w:p w14:paraId="0F816AA3">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会涉及发改、财政、农业农村、乡村振兴、住建、自然资源、生态环境、交通、电力、水利等多个部门，实施过程中需要部门间协调与合作。</w:t>
            </w:r>
          </w:p>
          <w:p w14:paraId="72E4AF47">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tcMar>
              <w:top w:w="15" w:type="dxa"/>
              <w:left w:w="15" w:type="dxa"/>
              <w:bottom w:w="0" w:type="dxa"/>
              <w:right w:w="15" w:type="dxa"/>
            </w:tcMar>
          </w:tcPr>
          <w:p w14:paraId="4A251C3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0CB974A2">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改善农村生活条件，使当地居民从中受益，会受到公众的广泛支持，无声誉风险。</w:t>
            </w:r>
          </w:p>
          <w:p w14:paraId="41BC12D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672C81F9">
            <w:pPr>
              <w:adjustRightInd w:val="0"/>
              <w:snapToGrid w:val="0"/>
              <w:rPr>
                <w:rFonts w:ascii="Arial" w:hAnsi="Arial" w:cs="Arial"/>
                <w:color w:val="000000"/>
                <w:sz w:val="20"/>
                <w:szCs w:val="20"/>
              </w:rPr>
            </w:pPr>
            <w:r>
              <w:rPr>
                <w:rFonts w:ascii="Arial" w:hAnsi="Arial" w:cs="Arial"/>
                <w:color w:val="000000"/>
                <w:sz w:val="20"/>
                <w:szCs w:val="20"/>
              </w:rPr>
              <w:t>中等</w:t>
            </w:r>
          </w:p>
        </w:tc>
      </w:tr>
      <w:tr w14:paraId="4B9F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0D2B8439">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0AC3BC17">
            <w:pPr>
              <w:adjustRightInd w:val="0"/>
              <w:snapToGrid w:val="0"/>
              <w:rPr>
                <w:rFonts w:ascii="Arial" w:hAnsi="Arial" w:cs="Arial"/>
                <w:color w:val="000000"/>
                <w:sz w:val="20"/>
                <w:szCs w:val="20"/>
                <w:lang w:val="en-GB"/>
              </w:rPr>
            </w:pPr>
            <w:r>
              <w:rPr>
                <w:rFonts w:ascii="Arial" w:hAnsi="Arial" w:cs="Arial"/>
                <w:color w:val="000000"/>
                <w:sz w:val="20"/>
                <w:szCs w:val="20"/>
                <w:lang w:val="en-GB"/>
              </w:rPr>
              <w:t>建设</w:t>
            </w:r>
            <w:r>
              <w:rPr>
                <w:rFonts w:ascii="Arial" w:hAnsi="Arial" w:cs="Arial"/>
                <w:color w:val="000000" w:themeColor="text1"/>
                <w:sz w:val="20"/>
                <w:szCs w:val="20"/>
                <w:lang w:val="en-GB"/>
                <w14:textFill>
                  <w14:solidFill>
                    <w14:schemeClr w14:val="tx1"/>
                  </w14:solidFill>
                </w14:textFill>
              </w:rPr>
              <w:t>气候适应型</w:t>
            </w:r>
            <w:r>
              <w:rPr>
                <w:rFonts w:ascii="Arial" w:hAnsi="Arial" w:cs="Arial"/>
                <w:color w:val="000000"/>
                <w:sz w:val="20"/>
                <w:szCs w:val="20"/>
                <w:lang w:val="en-GB"/>
              </w:rPr>
              <w:t>农村生活污水管理系统（包括农村分散式处理设施、乡镇污水处理系统）</w:t>
            </w:r>
          </w:p>
        </w:tc>
        <w:tc>
          <w:tcPr>
            <w:tcW w:w="1372" w:type="pct"/>
            <w:vMerge w:val="restart"/>
            <w:shd w:val="clear" w:color="auto" w:fill="auto"/>
            <w:tcMar>
              <w:top w:w="15" w:type="dxa"/>
              <w:left w:w="15" w:type="dxa"/>
              <w:bottom w:w="0" w:type="dxa"/>
              <w:right w:w="15" w:type="dxa"/>
            </w:tcMar>
          </w:tcPr>
          <w:p w14:paraId="121366D2">
            <w:pPr>
              <w:pStyle w:val="48"/>
              <w:numPr>
                <w:ilvl w:val="0"/>
                <w:numId w:val="38"/>
              </w:numPr>
              <w:adjustRightInd w:val="0"/>
              <w:snapToGrid w:val="0"/>
              <w:spacing w:after="120" w:afterLines="50"/>
              <w:ind w:left="244" w:hanging="142" w:firstLineChars="0"/>
              <w:rPr>
                <w:rFonts w:ascii="Arial" w:hAnsi="Arial" w:cs="Arial"/>
                <w:color w:val="000000"/>
                <w:sz w:val="20"/>
                <w:szCs w:val="20"/>
              </w:rPr>
            </w:pPr>
            <w:r>
              <w:rPr>
                <w:rFonts w:ascii="Arial" w:hAnsi="Arial" w:cs="Arial"/>
                <w:color w:val="000000"/>
                <w:sz w:val="20"/>
                <w:szCs w:val="20"/>
              </w:rPr>
              <w:t>污水处理设施可能涉及小规模临时用地和土地复耕、管线接户成本投入、中小规模用工，弱势群体利益、社区健康与安全风险；</w:t>
            </w:r>
          </w:p>
          <w:p w14:paraId="0D5C3D1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垃圾转运站涉及小规模征地；建设和运行期间都涉及工人和社区居民的健康安全风险。</w:t>
            </w:r>
          </w:p>
          <w:p w14:paraId="269F6030">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工程施工会产生短期的、有限的环境影响，如扬尘、噪声、固废、废水等，并存在生境干扰、水土流失的风险；设施运行会产生臭气、污泥、渗滤液、噪声、固废等，以及工人和附近居民的生活和健康可能因此受到影响。</w:t>
            </w:r>
          </w:p>
          <w:p w14:paraId="4B39CEF4">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风险较高。</w:t>
            </w:r>
          </w:p>
        </w:tc>
        <w:tc>
          <w:tcPr>
            <w:tcW w:w="914" w:type="pct"/>
            <w:vMerge w:val="restart"/>
            <w:shd w:val="clear" w:color="auto" w:fill="auto"/>
            <w:tcMar>
              <w:top w:w="15" w:type="dxa"/>
              <w:left w:w="15" w:type="dxa"/>
              <w:bottom w:w="0" w:type="dxa"/>
              <w:right w:w="15" w:type="dxa"/>
            </w:tcMar>
          </w:tcPr>
          <w:p w14:paraId="03C5455B">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活动地点主要在农村地区，不涉及未经人类活动干扰的重要自然栖息地；若污水处理、垃圾转运等设施的位置触及环境敏感区，则排除于项目之外。</w:t>
            </w:r>
          </w:p>
          <w:p w14:paraId="420257F3">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项目区存在少数民族村庄。</w:t>
            </w:r>
          </w:p>
          <w:p w14:paraId="6EF4DF57">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711" w:type="pct"/>
            <w:vMerge w:val="restart"/>
            <w:shd w:val="clear" w:color="auto" w:fill="auto"/>
            <w:tcMar>
              <w:top w:w="15" w:type="dxa"/>
              <w:left w:w="15" w:type="dxa"/>
              <w:bottom w:w="0" w:type="dxa"/>
              <w:right w:w="15" w:type="dxa"/>
            </w:tcMar>
          </w:tcPr>
          <w:p w14:paraId="4328F32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会涉及发改、财政、生态环境、住建、城管、农业农村、自然资源、劳动、水利、乡村振兴、卫健、应急管理等多个政府部门，实施过程中需要部门间协调与合作。</w:t>
            </w:r>
          </w:p>
          <w:p w14:paraId="15061F2E">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若任一部门在污水、垃圾等管理的任一环节不能同步协调，都会导致整个体系无法有效运行而增加污染风险或健康危害。</w:t>
            </w:r>
          </w:p>
          <w:p w14:paraId="26E6D7AB">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763" w:type="pct"/>
            <w:vMerge w:val="restart"/>
            <w:shd w:val="clear" w:color="auto" w:fill="auto"/>
            <w:tcMar>
              <w:top w:w="15" w:type="dxa"/>
              <w:left w:w="15" w:type="dxa"/>
              <w:bottom w:w="0" w:type="dxa"/>
              <w:right w:w="15" w:type="dxa"/>
            </w:tcMar>
          </w:tcPr>
          <w:p w14:paraId="00EC783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0ACBA4B4">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完善农村基础设施、治理农村环境污染、改善农村人居环境，使当地居民从中受益，会受到公众的广泛支持，无声誉风险。</w:t>
            </w:r>
          </w:p>
          <w:p w14:paraId="417A4A02">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327" w:type="pct"/>
            <w:vMerge w:val="restart"/>
            <w:shd w:val="clear" w:color="auto" w:fill="auto"/>
            <w:noWrap/>
            <w:tcMar>
              <w:top w:w="15" w:type="dxa"/>
              <w:left w:w="15" w:type="dxa"/>
              <w:bottom w:w="0" w:type="dxa"/>
              <w:right w:w="15" w:type="dxa"/>
            </w:tcMar>
          </w:tcPr>
          <w:p w14:paraId="0B76120C">
            <w:pPr>
              <w:adjustRightInd w:val="0"/>
              <w:snapToGrid w:val="0"/>
              <w:rPr>
                <w:rFonts w:ascii="Arial" w:hAnsi="Arial" w:cs="Arial"/>
                <w:color w:val="000000"/>
                <w:sz w:val="20"/>
                <w:szCs w:val="20"/>
              </w:rPr>
            </w:pPr>
            <w:r>
              <w:rPr>
                <w:rFonts w:ascii="Arial" w:hAnsi="Arial" w:cs="Arial"/>
                <w:color w:val="000000"/>
                <w:sz w:val="20"/>
                <w:szCs w:val="20"/>
              </w:rPr>
              <w:t>较高</w:t>
            </w:r>
          </w:p>
        </w:tc>
      </w:tr>
      <w:tr w14:paraId="7179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30CD36F5">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4BC21B23">
            <w:pPr>
              <w:adjustRightInd w:val="0"/>
              <w:snapToGrid w:val="0"/>
              <w:rPr>
                <w:rFonts w:ascii="Arial" w:hAnsi="Arial" w:cs="Arial"/>
                <w:color w:val="000000"/>
                <w:sz w:val="20"/>
                <w:szCs w:val="20"/>
                <w:lang w:val="en-GB"/>
              </w:rPr>
            </w:pPr>
            <w:r>
              <w:rPr>
                <w:rFonts w:ascii="Arial" w:hAnsi="Arial" w:cs="Arial"/>
                <w:color w:val="000000"/>
                <w:sz w:val="20"/>
                <w:szCs w:val="20"/>
                <w:lang w:val="en-GB"/>
              </w:rPr>
              <w:t>建设</w:t>
            </w:r>
            <w:r>
              <w:rPr>
                <w:rFonts w:ascii="Arial" w:hAnsi="Arial" w:cs="Arial"/>
                <w:color w:val="000000" w:themeColor="text1"/>
                <w:sz w:val="20"/>
                <w:szCs w:val="20"/>
                <w:lang w:val="en-GB"/>
                <w14:textFill>
                  <w14:solidFill>
                    <w14:schemeClr w14:val="tx1"/>
                  </w14:solidFill>
                </w14:textFill>
              </w:rPr>
              <w:t>气候适应型</w:t>
            </w:r>
            <w:r>
              <w:rPr>
                <w:rFonts w:ascii="Arial" w:hAnsi="Arial" w:cs="Arial"/>
                <w:color w:val="000000"/>
                <w:sz w:val="20"/>
                <w:szCs w:val="20"/>
                <w:lang w:val="en-GB"/>
              </w:rPr>
              <w:t>农村生活垃圾管理系统（包括分类、收集、回收利用等）</w:t>
            </w:r>
          </w:p>
          <w:p w14:paraId="7097E827">
            <w:pPr>
              <w:adjustRightInd w:val="0"/>
              <w:snapToGrid w:val="0"/>
              <w:rPr>
                <w:rFonts w:ascii="Arial" w:hAnsi="Arial" w:cs="Arial"/>
                <w:color w:val="000000"/>
                <w:sz w:val="20"/>
                <w:szCs w:val="20"/>
                <w:lang w:val="en-GB"/>
              </w:rPr>
            </w:pPr>
          </w:p>
        </w:tc>
        <w:tc>
          <w:tcPr>
            <w:tcW w:w="1372" w:type="pct"/>
            <w:vMerge w:val="continue"/>
            <w:shd w:val="clear" w:color="auto" w:fill="auto"/>
            <w:tcMar>
              <w:top w:w="15" w:type="dxa"/>
              <w:left w:w="15" w:type="dxa"/>
              <w:bottom w:w="0" w:type="dxa"/>
              <w:right w:w="15" w:type="dxa"/>
            </w:tcMar>
          </w:tcPr>
          <w:p w14:paraId="0EB2033A">
            <w:pPr>
              <w:pStyle w:val="48"/>
              <w:numPr>
                <w:ilvl w:val="0"/>
                <w:numId w:val="38"/>
              </w:numPr>
              <w:adjustRightInd w:val="0"/>
              <w:snapToGrid w:val="0"/>
              <w:spacing w:after="120" w:afterLines="50"/>
              <w:ind w:left="244" w:hanging="142" w:firstLineChars="0"/>
              <w:rPr>
                <w:rFonts w:ascii="Arial" w:hAnsi="Arial" w:cs="Arial"/>
                <w:color w:val="000000"/>
                <w:sz w:val="20"/>
                <w:szCs w:val="20"/>
              </w:rPr>
            </w:pPr>
          </w:p>
        </w:tc>
        <w:tc>
          <w:tcPr>
            <w:tcW w:w="914" w:type="pct"/>
            <w:vMerge w:val="continue"/>
            <w:shd w:val="clear" w:color="auto" w:fill="auto"/>
            <w:tcMar>
              <w:top w:w="15" w:type="dxa"/>
              <w:left w:w="15" w:type="dxa"/>
              <w:bottom w:w="0" w:type="dxa"/>
              <w:right w:w="15" w:type="dxa"/>
            </w:tcMar>
          </w:tcPr>
          <w:p w14:paraId="5E3280A4">
            <w:pPr>
              <w:pStyle w:val="48"/>
              <w:numPr>
                <w:ilvl w:val="0"/>
                <w:numId w:val="38"/>
              </w:numPr>
              <w:adjustRightInd w:val="0"/>
              <w:snapToGrid w:val="0"/>
              <w:ind w:left="241" w:hanging="141" w:firstLineChars="0"/>
              <w:rPr>
                <w:rFonts w:ascii="Arial" w:hAnsi="Arial" w:cs="Arial"/>
                <w:color w:val="000000"/>
                <w:sz w:val="20"/>
                <w:szCs w:val="20"/>
              </w:rPr>
            </w:pPr>
          </w:p>
        </w:tc>
        <w:tc>
          <w:tcPr>
            <w:tcW w:w="711" w:type="pct"/>
            <w:vMerge w:val="continue"/>
            <w:shd w:val="clear" w:color="auto" w:fill="auto"/>
            <w:tcMar>
              <w:top w:w="15" w:type="dxa"/>
              <w:left w:w="15" w:type="dxa"/>
              <w:bottom w:w="0" w:type="dxa"/>
              <w:right w:w="15" w:type="dxa"/>
            </w:tcMar>
          </w:tcPr>
          <w:p w14:paraId="527DF2BC">
            <w:pPr>
              <w:pStyle w:val="48"/>
              <w:numPr>
                <w:ilvl w:val="0"/>
                <w:numId w:val="38"/>
              </w:numPr>
              <w:adjustRightInd w:val="0"/>
              <w:snapToGrid w:val="0"/>
              <w:ind w:left="241" w:hanging="141" w:firstLineChars="0"/>
              <w:rPr>
                <w:rFonts w:ascii="Arial" w:hAnsi="Arial" w:cs="Arial"/>
                <w:color w:val="000000"/>
                <w:sz w:val="20"/>
                <w:szCs w:val="20"/>
              </w:rPr>
            </w:pPr>
          </w:p>
        </w:tc>
        <w:tc>
          <w:tcPr>
            <w:tcW w:w="763" w:type="pct"/>
            <w:vMerge w:val="continue"/>
            <w:shd w:val="clear" w:color="auto" w:fill="auto"/>
            <w:tcMar>
              <w:top w:w="15" w:type="dxa"/>
              <w:left w:w="15" w:type="dxa"/>
              <w:bottom w:w="0" w:type="dxa"/>
              <w:right w:w="15" w:type="dxa"/>
            </w:tcMar>
          </w:tcPr>
          <w:p w14:paraId="44D60A5C">
            <w:pPr>
              <w:pStyle w:val="48"/>
              <w:numPr>
                <w:ilvl w:val="0"/>
                <w:numId w:val="38"/>
              </w:numPr>
              <w:adjustRightInd w:val="0"/>
              <w:snapToGrid w:val="0"/>
              <w:ind w:left="241" w:hanging="141" w:firstLineChars="0"/>
              <w:rPr>
                <w:rFonts w:ascii="Arial" w:hAnsi="Arial" w:cs="Arial"/>
                <w:color w:val="000000"/>
                <w:sz w:val="20"/>
                <w:szCs w:val="20"/>
              </w:rPr>
            </w:pPr>
          </w:p>
        </w:tc>
        <w:tc>
          <w:tcPr>
            <w:tcW w:w="327" w:type="pct"/>
            <w:vMerge w:val="continue"/>
            <w:shd w:val="clear" w:color="auto" w:fill="auto"/>
            <w:noWrap/>
            <w:tcMar>
              <w:top w:w="15" w:type="dxa"/>
              <w:left w:w="15" w:type="dxa"/>
              <w:bottom w:w="0" w:type="dxa"/>
              <w:right w:w="15" w:type="dxa"/>
            </w:tcMar>
          </w:tcPr>
          <w:p w14:paraId="6258531F">
            <w:pPr>
              <w:adjustRightInd w:val="0"/>
              <w:snapToGrid w:val="0"/>
              <w:rPr>
                <w:rFonts w:ascii="Arial" w:hAnsi="Arial" w:cs="Arial"/>
                <w:color w:val="000000"/>
                <w:sz w:val="20"/>
                <w:szCs w:val="20"/>
              </w:rPr>
            </w:pPr>
          </w:p>
        </w:tc>
      </w:tr>
      <w:tr w14:paraId="2770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6524EB40">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5461E392">
            <w:pPr>
              <w:adjustRightInd w:val="0"/>
              <w:snapToGrid w:val="0"/>
              <w:rPr>
                <w:rFonts w:ascii="Arial" w:hAnsi="Arial" w:cs="Arial"/>
                <w:color w:val="000000"/>
                <w:sz w:val="20"/>
                <w:szCs w:val="20"/>
              </w:rPr>
            </w:pPr>
            <w:r>
              <w:rPr>
                <w:rFonts w:ascii="Arial" w:hAnsi="Arial" w:cs="Arial"/>
                <w:color w:val="000000"/>
                <w:sz w:val="20"/>
                <w:szCs w:val="20"/>
                <w:lang w:val="en-GB"/>
              </w:rPr>
              <w:t>开展生活污水与生活垃圾管理系统运行维护培训</w:t>
            </w:r>
          </w:p>
        </w:tc>
        <w:tc>
          <w:tcPr>
            <w:tcW w:w="1372" w:type="pct"/>
            <w:shd w:val="clear" w:color="auto" w:fill="auto"/>
            <w:noWrap/>
            <w:tcMar>
              <w:top w:w="15" w:type="dxa"/>
              <w:left w:w="15" w:type="dxa"/>
              <w:bottom w:w="0" w:type="dxa"/>
              <w:right w:w="15" w:type="dxa"/>
            </w:tcMar>
          </w:tcPr>
          <w:p w14:paraId="4A643267">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此类活动基本不产生负面环境与社会影响。仅在培训等活动中涉及项目办以及培训机构人员的健康安全风险。</w:t>
            </w:r>
          </w:p>
          <w:p w14:paraId="00EE7582">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914" w:type="pct"/>
            <w:shd w:val="clear" w:color="auto" w:fill="auto"/>
            <w:noWrap/>
            <w:tcMar>
              <w:top w:w="15" w:type="dxa"/>
              <w:left w:w="15" w:type="dxa"/>
              <w:bottom w:w="0" w:type="dxa"/>
              <w:right w:w="15" w:type="dxa"/>
            </w:tcMar>
          </w:tcPr>
          <w:p w14:paraId="571EB8C4">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没有实体工程施工，不涉及环境与社会敏感地区。</w:t>
            </w:r>
          </w:p>
          <w:p w14:paraId="50A32E6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tc>
        <w:tc>
          <w:tcPr>
            <w:tcW w:w="711" w:type="pct"/>
            <w:shd w:val="clear" w:color="auto" w:fill="auto"/>
            <w:noWrap/>
            <w:tcMar>
              <w:top w:w="15" w:type="dxa"/>
              <w:left w:w="15" w:type="dxa"/>
              <w:bottom w:w="0" w:type="dxa"/>
              <w:right w:w="15" w:type="dxa"/>
            </w:tcMar>
          </w:tcPr>
          <w:p w14:paraId="1F387D7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w:t>
            </w:r>
            <w:r>
              <w:rPr>
                <w:rFonts w:hint="eastAsia" w:ascii="Arial" w:hAnsi="Arial" w:cs="Arial"/>
                <w:color w:val="000000"/>
                <w:sz w:val="20"/>
                <w:szCs w:val="20"/>
                <w:lang w:eastAsia="zh-CN"/>
              </w:rPr>
              <w:t>涉及</w:t>
            </w:r>
            <w:r>
              <w:rPr>
                <w:rFonts w:ascii="Arial" w:hAnsi="Arial" w:cs="Arial"/>
                <w:color w:val="000000"/>
                <w:sz w:val="20"/>
                <w:szCs w:val="20"/>
              </w:rPr>
              <w:t>生态环境、住建、城管、农业农村、乡村振兴等多个部门，实施过程中需要部门间协调与合作。</w:t>
            </w:r>
          </w:p>
          <w:p w14:paraId="5530FEDD">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noWrap/>
            <w:tcMar>
              <w:top w:w="15" w:type="dxa"/>
              <w:left w:w="15" w:type="dxa"/>
              <w:bottom w:w="0" w:type="dxa"/>
              <w:right w:w="15" w:type="dxa"/>
            </w:tcMar>
          </w:tcPr>
          <w:p w14:paraId="53AE4192">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5F165D59">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提高设施运维水平、防止环境污染，会受到公众的广泛支持，无声誉风险。</w:t>
            </w:r>
          </w:p>
          <w:p w14:paraId="7807FAF7">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风险较低。</w:t>
            </w:r>
          </w:p>
          <w:p w14:paraId="6533DB8D">
            <w:pPr>
              <w:adjustRightInd w:val="0"/>
              <w:snapToGrid w:val="0"/>
              <w:rPr>
                <w:rFonts w:ascii="Arial" w:hAnsi="Arial" w:cs="Arial"/>
                <w:color w:val="000000"/>
                <w:sz w:val="20"/>
                <w:szCs w:val="20"/>
              </w:rPr>
            </w:pPr>
          </w:p>
        </w:tc>
        <w:tc>
          <w:tcPr>
            <w:tcW w:w="327" w:type="pct"/>
            <w:shd w:val="clear" w:color="auto" w:fill="auto"/>
            <w:noWrap/>
            <w:tcMar>
              <w:top w:w="15" w:type="dxa"/>
              <w:left w:w="15" w:type="dxa"/>
              <w:bottom w:w="0" w:type="dxa"/>
              <w:right w:w="15" w:type="dxa"/>
            </w:tcMar>
          </w:tcPr>
          <w:p w14:paraId="117A99F3">
            <w:pPr>
              <w:adjustRightInd w:val="0"/>
              <w:snapToGrid w:val="0"/>
              <w:rPr>
                <w:rFonts w:ascii="Arial" w:hAnsi="Arial" w:cs="Arial"/>
                <w:color w:val="000000"/>
                <w:sz w:val="20"/>
                <w:szCs w:val="20"/>
              </w:rPr>
            </w:pPr>
            <w:r>
              <w:rPr>
                <w:rFonts w:ascii="Arial" w:hAnsi="Arial" w:cs="Arial"/>
                <w:color w:val="000000"/>
                <w:sz w:val="20"/>
                <w:szCs w:val="20"/>
              </w:rPr>
              <w:t>中等</w:t>
            </w:r>
          </w:p>
        </w:tc>
      </w:tr>
      <w:tr w14:paraId="535A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restart"/>
            <w:shd w:val="clear" w:color="auto" w:fill="auto"/>
          </w:tcPr>
          <w:p w14:paraId="2B387442">
            <w:pPr>
              <w:adjustRightInd w:val="0"/>
              <w:snapToGrid w:val="0"/>
              <w:rPr>
                <w:rFonts w:ascii="Arial" w:hAnsi="Arial" w:cs="Arial"/>
                <w:color w:val="000000"/>
                <w:sz w:val="20"/>
                <w:szCs w:val="20"/>
              </w:rPr>
            </w:pPr>
            <w:r>
              <w:rPr>
                <w:rFonts w:ascii="Arial" w:hAnsi="Arial" w:cs="Arial"/>
                <w:color w:val="000000"/>
                <w:sz w:val="20"/>
                <w:szCs w:val="20"/>
              </w:rPr>
              <w:t xml:space="preserve">RA4 </w:t>
            </w:r>
            <w:r>
              <w:rPr>
                <w:rFonts w:hint="eastAsia" w:ascii="Arial" w:hAnsi="Arial" w:cs="Arial"/>
                <w:color w:val="000000"/>
                <w:sz w:val="20"/>
                <w:szCs w:val="20"/>
                <w:lang w:eastAsia="zh-CN"/>
              </w:rPr>
              <w:t>—</w:t>
            </w:r>
            <w:r>
              <w:rPr>
                <w:rFonts w:ascii="Arial" w:hAnsi="Arial" w:cs="Arial"/>
                <w:color w:val="000000"/>
                <w:sz w:val="20"/>
                <w:szCs w:val="20"/>
              </w:rPr>
              <w:t xml:space="preserve"> 恢复和保护农业生态系统</w:t>
            </w:r>
          </w:p>
        </w:tc>
        <w:tc>
          <w:tcPr>
            <w:tcW w:w="559" w:type="pct"/>
            <w:shd w:val="clear" w:color="auto" w:fill="auto"/>
            <w:tcMar>
              <w:top w:w="15" w:type="dxa"/>
              <w:left w:w="15" w:type="dxa"/>
              <w:bottom w:w="0" w:type="dxa"/>
              <w:right w:w="15" w:type="dxa"/>
            </w:tcMar>
          </w:tcPr>
          <w:p w14:paraId="2FD0D8E7">
            <w:pPr>
              <w:adjustRightInd w:val="0"/>
              <w:snapToGrid w:val="0"/>
              <w:rPr>
                <w:rFonts w:ascii="Arial" w:hAnsi="Arial" w:cs="Arial"/>
                <w:color w:val="000000"/>
                <w:sz w:val="20"/>
                <w:szCs w:val="20"/>
              </w:rPr>
            </w:pPr>
            <w:r>
              <w:rPr>
                <w:rFonts w:ascii="Arial" w:hAnsi="Arial" w:cs="Arial"/>
                <w:color w:val="000000"/>
                <w:sz w:val="20"/>
                <w:szCs w:val="20"/>
              </w:rPr>
              <w:t>编制农业生态系统可持续管理计划</w:t>
            </w:r>
          </w:p>
        </w:tc>
        <w:tc>
          <w:tcPr>
            <w:tcW w:w="1372" w:type="pct"/>
            <w:shd w:val="clear" w:color="auto" w:fill="auto"/>
            <w:noWrap/>
            <w:tcMar>
              <w:top w:w="15" w:type="dxa"/>
              <w:left w:w="15" w:type="dxa"/>
              <w:bottom w:w="0" w:type="dxa"/>
              <w:right w:w="15" w:type="dxa"/>
            </w:tcMar>
          </w:tcPr>
          <w:p w14:paraId="7A1DCFFC">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管理计划编制活动本身不产生直接的负面环境与社会影响，仅</w:t>
            </w:r>
            <w:r>
              <w:rPr>
                <w:rFonts w:ascii="Arial" w:hAnsi="Arial" w:cs="Arial"/>
                <w:sz w:val="20"/>
                <w:szCs w:val="20"/>
              </w:rPr>
              <w:t>会涉及项目办和研究人员的健康与安全风险。</w:t>
            </w:r>
          </w:p>
          <w:p w14:paraId="64C0EDFB">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计划实施后可能引发下游广泛的农业生产实践转型或升级活动，而产生间接的环境与社会影响。</w:t>
            </w:r>
          </w:p>
          <w:p w14:paraId="5876A4B4">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914" w:type="pct"/>
            <w:shd w:val="clear" w:color="auto" w:fill="auto"/>
            <w:noWrap/>
            <w:tcMar>
              <w:top w:w="15" w:type="dxa"/>
              <w:left w:w="15" w:type="dxa"/>
              <w:bottom w:w="0" w:type="dxa"/>
              <w:right w:w="15" w:type="dxa"/>
            </w:tcMar>
          </w:tcPr>
          <w:p w14:paraId="5A996428">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计划编制活动本身没有实体工程施工，不触及环境与社会敏感地区。</w:t>
            </w:r>
          </w:p>
          <w:p w14:paraId="49A43968">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计划实施会涉及很广泛的范围，会存在少数民族村庄。</w:t>
            </w:r>
          </w:p>
          <w:p w14:paraId="3C3B33AE">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后续引发的农业生产活动都在现有农业用地开展，且中国具有严格的自然保护地和生态保护红线制度，因此基本不会涉及自然栖息地等环境敏感区。</w:t>
            </w:r>
          </w:p>
          <w:p w14:paraId="463A7F7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noWrap/>
            <w:tcMar>
              <w:top w:w="15" w:type="dxa"/>
              <w:left w:w="15" w:type="dxa"/>
              <w:bottom w:w="0" w:type="dxa"/>
              <w:right w:w="15" w:type="dxa"/>
            </w:tcMar>
          </w:tcPr>
          <w:p w14:paraId="4D37D4B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会涉及发改、财政、农业农村、乡村振兴、自然资源、生态环境、水利等多个部门，实施过程中需要部门间协调与合作。</w:t>
            </w:r>
          </w:p>
          <w:p w14:paraId="71E92375">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noWrap/>
            <w:tcMar>
              <w:top w:w="15" w:type="dxa"/>
              <w:left w:w="15" w:type="dxa"/>
              <w:bottom w:w="0" w:type="dxa"/>
              <w:right w:w="15" w:type="dxa"/>
            </w:tcMar>
          </w:tcPr>
          <w:p w14:paraId="180246A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2A5E2866">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改善农业生态环境，使当地居民从中受益，会受到公众的广泛支持，无声誉风险。</w:t>
            </w:r>
          </w:p>
          <w:p w14:paraId="7940AAD1">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40E604FE">
            <w:pPr>
              <w:adjustRightInd w:val="0"/>
              <w:snapToGrid w:val="0"/>
              <w:rPr>
                <w:rFonts w:ascii="Arial" w:hAnsi="Arial" w:cs="Arial"/>
                <w:color w:val="000000"/>
                <w:sz w:val="20"/>
                <w:szCs w:val="20"/>
              </w:rPr>
            </w:pPr>
            <w:r>
              <w:rPr>
                <w:rFonts w:ascii="Arial" w:hAnsi="Arial" w:cs="Arial"/>
                <w:color w:val="000000"/>
                <w:sz w:val="20"/>
                <w:szCs w:val="20"/>
              </w:rPr>
              <w:t>中等</w:t>
            </w:r>
          </w:p>
        </w:tc>
      </w:tr>
      <w:tr w14:paraId="15BD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4D6909BD">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51A7892D">
            <w:pPr>
              <w:adjustRightInd w:val="0"/>
              <w:snapToGrid w:val="0"/>
              <w:rPr>
                <w:rFonts w:ascii="Arial" w:hAnsi="Arial" w:cs="Arial"/>
                <w:color w:val="000000"/>
                <w:sz w:val="20"/>
                <w:szCs w:val="20"/>
              </w:rPr>
            </w:pPr>
            <w:r>
              <w:rPr>
                <w:rFonts w:ascii="Arial" w:hAnsi="Arial" w:cs="Arial"/>
                <w:color w:val="000000"/>
                <w:sz w:val="20"/>
                <w:szCs w:val="20"/>
              </w:rPr>
              <w:t>秸秆还田以增加土壤有机质</w:t>
            </w:r>
          </w:p>
        </w:tc>
        <w:tc>
          <w:tcPr>
            <w:tcW w:w="1372" w:type="pct"/>
            <w:shd w:val="clear" w:color="auto" w:fill="auto"/>
            <w:noWrap/>
            <w:tcMar>
              <w:top w:w="15" w:type="dxa"/>
              <w:left w:w="15" w:type="dxa"/>
              <w:bottom w:w="0" w:type="dxa"/>
              <w:right w:w="15" w:type="dxa"/>
            </w:tcMar>
          </w:tcPr>
          <w:p w14:paraId="2346644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仅涉及简单的农艺活动，秸秆还田将改善土壤环境质量，但需要防止还田的秸秆不存在重金属超标问题。</w:t>
            </w:r>
          </w:p>
          <w:p w14:paraId="5E82DFD2">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914" w:type="pct"/>
            <w:shd w:val="clear" w:color="auto" w:fill="auto"/>
            <w:noWrap/>
            <w:tcMar>
              <w:top w:w="15" w:type="dxa"/>
              <w:left w:w="15" w:type="dxa"/>
              <w:bottom w:w="0" w:type="dxa"/>
              <w:right w:w="15" w:type="dxa"/>
            </w:tcMar>
          </w:tcPr>
          <w:p w14:paraId="5DD1732C">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活动所在农田可能存在重金属污染问题，需要逐步解决。</w:t>
            </w:r>
          </w:p>
          <w:p w14:paraId="473C50CD">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 xml:space="preserve">项目区存在少数民族村庄。 </w:t>
            </w:r>
          </w:p>
          <w:p w14:paraId="6FF49EF0">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noWrap/>
            <w:tcMar>
              <w:top w:w="15" w:type="dxa"/>
              <w:left w:w="15" w:type="dxa"/>
              <w:bottom w:w="0" w:type="dxa"/>
              <w:right w:w="15" w:type="dxa"/>
            </w:tcMar>
          </w:tcPr>
          <w:p w14:paraId="16824E8F">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会涉及农业农村、乡村振兴、自然资源等多个部门，实施过程中需要部门间协调与合作。</w:t>
            </w:r>
          </w:p>
          <w:p w14:paraId="200C70AF">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63" w:type="pct"/>
            <w:shd w:val="clear" w:color="auto" w:fill="auto"/>
            <w:noWrap/>
            <w:tcMar>
              <w:top w:w="15" w:type="dxa"/>
              <w:left w:w="15" w:type="dxa"/>
              <w:bottom w:w="0" w:type="dxa"/>
              <w:right w:w="15" w:type="dxa"/>
            </w:tcMar>
          </w:tcPr>
          <w:p w14:paraId="184BADE9">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2A5B904C">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提高土壤环境质量，使当地居民从中受益，会受到公众的广泛支持，无声誉风险。</w:t>
            </w:r>
          </w:p>
          <w:p w14:paraId="15BB867C">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5622F27A">
            <w:pPr>
              <w:adjustRightInd w:val="0"/>
              <w:snapToGrid w:val="0"/>
              <w:rPr>
                <w:rFonts w:ascii="Arial" w:hAnsi="Arial" w:cs="Arial"/>
                <w:color w:val="000000"/>
                <w:sz w:val="20"/>
                <w:szCs w:val="20"/>
              </w:rPr>
            </w:pPr>
            <w:r>
              <w:rPr>
                <w:rFonts w:ascii="Arial" w:hAnsi="Arial" w:cs="Arial"/>
                <w:color w:val="000000"/>
                <w:sz w:val="20"/>
                <w:szCs w:val="20"/>
              </w:rPr>
              <w:t>中等</w:t>
            </w:r>
          </w:p>
        </w:tc>
      </w:tr>
      <w:tr w14:paraId="3911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1068B3FE">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1BCDD145">
            <w:pPr>
              <w:adjustRightInd w:val="0"/>
              <w:snapToGrid w:val="0"/>
              <w:rPr>
                <w:rFonts w:ascii="Arial" w:hAnsi="Arial" w:cs="Arial"/>
                <w:color w:val="000000"/>
                <w:sz w:val="20"/>
                <w:szCs w:val="20"/>
              </w:rPr>
            </w:pPr>
            <w:r>
              <w:rPr>
                <w:rFonts w:ascii="Arial" w:hAnsi="Arial" w:cs="Arial"/>
                <w:color w:val="000000"/>
                <w:sz w:val="20"/>
                <w:szCs w:val="20"/>
              </w:rPr>
              <w:t>重金属污染农田管理，提高土壤健康水平和食品安全水平</w:t>
            </w:r>
          </w:p>
        </w:tc>
        <w:tc>
          <w:tcPr>
            <w:tcW w:w="1372" w:type="pct"/>
            <w:shd w:val="clear" w:color="auto" w:fill="auto"/>
            <w:noWrap/>
            <w:tcMar>
              <w:top w:w="15" w:type="dxa"/>
              <w:left w:w="15" w:type="dxa"/>
              <w:bottom w:w="0" w:type="dxa"/>
              <w:right w:w="15" w:type="dxa"/>
            </w:tcMar>
          </w:tcPr>
          <w:p w14:paraId="41E20E2C">
            <w:pPr>
              <w:pStyle w:val="48"/>
              <w:numPr>
                <w:ilvl w:val="0"/>
                <w:numId w:val="38"/>
              </w:numPr>
              <w:adjustRightInd w:val="0"/>
              <w:snapToGrid w:val="0"/>
              <w:spacing w:after="120" w:afterLines="50"/>
              <w:ind w:left="244" w:hanging="142" w:firstLineChars="0"/>
              <w:rPr>
                <w:rFonts w:ascii="Arial" w:hAnsi="Arial" w:cs="Arial"/>
                <w:color w:val="000000"/>
                <w:sz w:val="20"/>
                <w:szCs w:val="20"/>
              </w:rPr>
            </w:pPr>
            <w:r>
              <w:rPr>
                <w:rFonts w:ascii="Arial" w:hAnsi="Arial" w:cs="Arial"/>
                <w:color w:val="000000"/>
                <w:sz w:val="20"/>
                <w:szCs w:val="20"/>
              </w:rPr>
              <w:t>重金属污染农田修复中，含超标重金属的秸秆、稻谷、酒糟等若不能妥善处置而进入食物链，将影响食品安全；低吸收品种替代、土壤改制等也可能影响农户的经济效益。</w:t>
            </w:r>
          </w:p>
          <w:p w14:paraId="18467A1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风险较高。</w:t>
            </w:r>
          </w:p>
        </w:tc>
        <w:tc>
          <w:tcPr>
            <w:tcW w:w="914" w:type="pct"/>
            <w:shd w:val="clear" w:color="auto" w:fill="auto"/>
            <w:noWrap/>
            <w:tcMar>
              <w:top w:w="15" w:type="dxa"/>
              <w:left w:w="15" w:type="dxa"/>
              <w:bottom w:w="0" w:type="dxa"/>
              <w:right w:w="15" w:type="dxa"/>
            </w:tcMar>
          </w:tcPr>
          <w:p w14:paraId="62C772F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活动所在农田可能存在重金属污染问题，需要逐步解决。</w:t>
            </w:r>
          </w:p>
          <w:p w14:paraId="1893468E">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 xml:space="preserve">项目区存在少数民族村庄。 </w:t>
            </w:r>
          </w:p>
          <w:p w14:paraId="6506659D">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noWrap/>
            <w:tcMar>
              <w:top w:w="15" w:type="dxa"/>
              <w:left w:w="15" w:type="dxa"/>
              <w:bottom w:w="0" w:type="dxa"/>
              <w:right w:w="15" w:type="dxa"/>
            </w:tcMar>
          </w:tcPr>
          <w:p w14:paraId="35C19BA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会涉及发改、财政、农业农村、乡村振兴、自然资源、生态环境、卫健、市场监管等多个部门，实施过程中需要部门间协调与合作。</w:t>
            </w:r>
          </w:p>
          <w:p w14:paraId="4175226F">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若任一部门在污染源、污染土壤、污染粮食等管理的任一环节不能同步协调，都会导致整个体系无法有效运行而增加食品安全风险。</w:t>
            </w:r>
          </w:p>
          <w:p w14:paraId="45B6D377">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763" w:type="pct"/>
            <w:shd w:val="clear" w:color="auto" w:fill="auto"/>
            <w:noWrap/>
            <w:tcMar>
              <w:top w:w="15" w:type="dxa"/>
              <w:left w:w="15" w:type="dxa"/>
              <w:bottom w:w="0" w:type="dxa"/>
              <w:right w:w="15" w:type="dxa"/>
            </w:tcMar>
          </w:tcPr>
          <w:p w14:paraId="11DB5F97">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27EED1CA">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提高土壤环境质量，使当地居民从中受益，会受到公众的广泛支持，无声誉风险。</w:t>
            </w:r>
          </w:p>
          <w:p w14:paraId="0FF2F32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7665C3B3">
            <w:pPr>
              <w:adjustRightInd w:val="0"/>
              <w:snapToGrid w:val="0"/>
              <w:rPr>
                <w:rFonts w:ascii="Arial" w:hAnsi="Arial" w:cs="Arial"/>
                <w:color w:val="000000"/>
                <w:sz w:val="20"/>
                <w:szCs w:val="20"/>
              </w:rPr>
            </w:pPr>
            <w:r>
              <w:rPr>
                <w:rFonts w:ascii="Arial" w:hAnsi="Arial" w:cs="Arial"/>
                <w:color w:val="000000"/>
                <w:sz w:val="20"/>
                <w:szCs w:val="20"/>
              </w:rPr>
              <w:t>较高</w:t>
            </w:r>
          </w:p>
        </w:tc>
      </w:tr>
      <w:tr w14:paraId="1138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354" w:type="pct"/>
            <w:vMerge w:val="continue"/>
            <w:shd w:val="clear" w:color="auto" w:fill="auto"/>
          </w:tcPr>
          <w:p w14:paraId="75970CEF">
            <w:pPr>
              <w:adjustRightInd w:val="0"/>
              <w:snapToGrid w:val="0"/>
              <w:rPr>
                <w:rFonts w:ascii="Arial" w:hAnsi="Arial" w:cs="Arial"/>
                <w:color w:val="000000"/>
                <w:sz w:val="20"/>
                <w:szCs w:val="20"/>
              </w:rPr>
            </w:pPr>
          </w:p>
        </w:tc>
        <w:tc>
          <w:tcPr>
            <w:tcW w:w="559" w:type="pct"/>
            <w:shd w:val="clear" w:color="auto" w:fill="auto"/>
            <w:tcMar>
              <w:top w:w="15" w:type="dxa"/>
              <w:left w:w="15" w:type="dxa"/>
              <w:bottom w:w="0" w:type="dxa"/>
              <w:right w:w="15" w:type="dxa"/>
            </w:tcMar>
          </w:tcPr>
          <w:p w14:paraId="3ED8235C">
            <w:pPr>
              <w:adjustRightInd w:val="0"/>
              <w:snapToGrid w:val="0"/>
              <w:rPr>
                <w:rFonts w:ascii="Arial" w:hAnsi="Arial" w:cs="Arial"/>
                <w:color w:val="000000"/>
                <w:sz w:val="20"/>
                <w:szCs w:val="20"/>
              </w:rPr>
            </w:pPr>
            <w:r>
              <w:rPr>
                <w:rFonts w:ascii="Arial" w:hAnsi="Arial" w:cs="Arial"/>
                <w:color w:val="000000"/>
                <w:sz w:val="20"/>
                <w:szCs w:val="20"/>
              </w:rPr>
              <w:t>水产养殖尾水治理以减少温室气体排放量和入河污染物排放量</w:t>
            </w:r>
          </w:p>
        </w:tc>
        <w:tc>
          <w:tcPr>
            <w:tcW w:w="1372" w:type="pct"/>
            <w:shd w:val="clear" w:color="auto" w:fill="auto"/>
            <w:noWrap/>
            <w:tcMar>
              <w:top w:w="15" w:type="dxa"/>
              <w:left w:w="15" w:type="dxa"/>
              <w:bottom w:w="0" w:type="dxa"/>
              <w:right w:w="15" w:type="dxa"/>
            </w:tcMar>
          </w:tcPr>
          <w:p w14:paraId="04D1680D">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养殖尾水妥善处理后循环利用或达标排放，一般不会产生显著的环境影响；但目前水产养殖尾水治理尚在起步阶段，尾水监测安排、监管机制、法规标准体系等还有待建立健全。</w:t>
            </w:r>
          </w:p>
          <w:p w14:paraId="70917637">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914" w:type="pct"/>
            <w:shd w:val="clear" w:color="auto" w:fill="auto"/>
            <w:noWrap/>
            <w:tcMar>
              <w:top w:w="15" w:type="dxa"/>
              <w:left w:w="15" w:type="dxa"/>
              <w:bottom w:w="0" w:type="dxa"/>
              <w:right w:w="15" w:type="dxa"/>
            </w:tcMar>
          </w:tcPr>
          <w:p w14:paraId="1770FE5D">
            <w:pPr>
              <w:pStyle w:val="48"/>
              <w:numPr>
                <w:ilvl w:val="0"/>
                <w:numId w:val="38"/>
              </w:numPr>
              <w:adjustRightInd w:val="0"/>
              <w:snapToGrid w:val="0"/>
              <w:spacing w:after="120"/>
              <w:ind w:left="244" w:hanging="142" w:firstLineChars="0"/>
              <w:rPr>
                <w:rFonts w:ascii="Arial" w:hAnsi="Arial" w:cs="Arial"/>
                <w:color w:val="000000"/>
                <w:sz w:val="20"/>
                <w:szCs w:val="20"/>
              </w:rPr>
            </w:pPr>
            <w:r>
              <w:rPr>
                <w:rFonts w:ascii="Arial" w:hAnsi="Arial" w:cs="Arial"/>
                <w:color w:val="000000"/>
                <w:sz w:val="20"/>
                <w:szCs w:val="20"/>
              </w:rPr>
              <w:t>活动所在水域可能存在水产养殖污染问题，需要逐步解决。</w:t>
            </w:r>
          </w:p>
          <w:p w14:paraId="64DAFC4A">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 xml:space="preserve">项目区存在少数民族村庄。 </w:t>
            </w:r>
          </w:p>
          <w:p w14:paraId="400DA02A">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风险中等。</w:t>
            </w:r>
          </w:p>
        </w:tc>
        <w:tc>
          <w:tcPr>
            <w:tcW w:w="711" w:type="pct"/>
            <w:shd w:val="clear" w:color="auto" w:fill="auto"/>
            <w:noWrap/>
            <w:tcMar>
              <w:top w:w="15" w:type="dxa"/>
              <w:left w:w="15" w:type="dxa"/>
              <w:bottom w:w="0" w:type="dxa"/>
              <w:right w:w="15" w:type="dxa"/>
            </w:tcMar>
          </w:tcPr>
          <w:p w14:paraId="28FB3403">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会涉及发改、财政、农业农村、乡村振兴、生态环境、水利等多个部门间协调与合作。</w:t>
            </w:r>
          </w:p>
          <w:p w14:paraId="65C639B5">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若任一部门在尾水管理的任一环节不能同步协调，都会导致整个体系无法有效运行。且养殖尾水管理尚处于起步阶段，需完善与加强。</w:t>
            </w:r>
          </w:p>
          <w:p w14:paraId="00A0B56A">
            <w:pPr>
              <w:pStyle w:val="48"/>
              <w:numPr>
                <w:ilvl w:val="0"/>
                <w:numId w:val="38"/>
              </w:numPr>
              <w:adjustRightInd w:val="0"/>
              <w:snapToGrid w:val="0"/>
              <w:spacing w:before="120" w:beforeLines="50"/>
              <w:ind w:left="244" w:hanging="142" w:firstLineChars="0"/>
              <w:rPr>
                <w:rFonts w:ascii="Arial" w:hAnsi="Arial" w:cs="Arial"/>
                <w:color w:val="000000"/>
                <w:sz w:val="20"/>
                <w:szCs w:val="20"/>
              </w:rPr>
            </w:pPr>
            <w:r>
              <w:rPr>
                <w:rFonts w:ascii="Arial" w:hAnsi="Arial" w:cs="Arial"/>
                <w:color w:val="000000"/>
                <w:sz w:val="20"/>
                <w:szCs w:val="20"/>
              </w:rPr>
              <w:t>风险较高。</w:t>
            </w:r>
          </w:p>
        </w:tc>
        <w:tc>
          <w:tcPr>
            <w:tcW w:w="763" w:type="pct"/>
            <w:shd w:val="clear" w:color="auto" w:fill="auto"/>
            <w:noWrap/>
            <w:tcMar>
              <w:top w:w="15" w:type="dxa"/>
              <w:left w:w="15" w:type="dxa"/>
              <w:bottom w:w="0" w:type="dxa"/>
              <w:right w:w="15" w:type="dxa"/>
            </w:tcMar>
          </w:tcPr>
          <w:p w14:paraId="305C6320">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符合国家和地方法律法规、政策和程序要求，无政治风险。</w:t>
            </w:r>
          </w:p>
          <w:p w14:paraId="63537E44">
            <w:pPr>
              <w:pStyle w:val="48"/>
              <w:numPr>
                <w:ilvl w:val="0"/>
                <w:numId w:val="38"/>
              </w:numPr>
              <w:adjustRightInd w:val="0"/>
              <w:snapToGrid w:val="0"/>
              <w:spacing w:before="120" w:after="120"/>
              <w:ind w:left="244" w:hanging="142" w:firstLineChars="0"/>
              <w:rPr>
                <w:rFonts w:ascii="Arial" w:hAnsi="Arial" w:cs="Arial"/>
                <w:color w:val="000000"/>
                <w:sz w:val="20"/>
                <w:szCs w:val="20"/>
              </w:rPr>
            </w:pPr>
            <w:r>
              <w:rPr>
                <w:rFonts w:ascii="Arial" w:hAnsi="Arial" w:cs="Arial"/>
                <w:color w:val="000000"/>
                <w:sz w:val="20"/>
                <w:szCs w:val="20"/>
              </w:rPr>
              <w:t>活动</w:t>
            </w:r>
            <w:r>
              <w:rPr>
                <w:rFonts w:hint="eastAsia" w:ascii="Arial" w:hAnsi="Arial" w:cs="Arial"/>
                <w:color w:val="000000"/>
                <w:sz w:val="20"/>
                <w:szCs w:val="20"/>
                <w:lang w:eastAsia="zh-CN"/>
              </w:rPr>
              <w:t>目的是</w:t>
            </w:r>
            <w:r>
              <w:rPr>
                <w:rFonts w:ascii="Arial" w:hAnsi="Arial" w:cs="Arial"/>
                <w:color w:val="000000"/>
                <w:sz w:val="20"/>
                <w:szCs w:val="20"/>
              </w:rPr>
              <w:t>改善水环境质量，使当地居民从中受益，会受到公众的广泛支持，无声誉风险。</w:t>
            </w:r>
          </w:p>
          <w:p w14:paraId="151FF286">
            <w:pPr>
              <w:pStyle w:val="48"/>
              <w:numPr>
                <w:ilvl w:val="0"/>
                <w:numId w:val="38"/>
              </w:numPr>
              <w:adjustRightInd w:val="0"/>
              <w:snapToGrid w:val="0"/>
              <w:ind w:left="241" w:hanging="141" w:firstLineChars="0"/>
              <w:rPr>
                <w:rFonts w:ascii="Arial" w:hAnsi="Arial" w:cs="Arial"/>
                <w:color w:val="000000"/>
                <w:sz w:val="20"/>
                <w:szCs w:val="20"/>
              </w:rPr>
            </w:pPr>
            <w:r>
              <w:rPr>
                <w:rFonts w:ascii="Arial" w:hAnsi="Arial" w:cs="Arial"/>
                <w:color w:val="000000"/>
                <w:sz w:val="20"/>
                <w:szCs w:val="20"/>
              </w:rPr>
              <w:t>风险较低。</w:t>
            </w:r>
          </w:p>
        </w:tc>
        <w:tc>
          <w:tcPr>
            <w:tcW w:w="327" w:type="pct"/>
            <w:shd w:val="clear" w:color="auto" w:fill="auto"/>
            <w:noWrap/>
            <w:tcMar>
              <w:top w:w="15" w:type="dxa"/>
              <w:left w:w="15" w:type="dxa"/>
              <w:bottom w:w="0" w:type="dxa"/>
              <w:right w:w="15" w:type="dxa"/>
            </w:tcMar>
          </w:tcPr>
          <w:p w14:paraId="05A7CB8F">
            <w:pPr>
              <w:adjustRightInd w:val="0"/>
              <w:snapToGrid w:val="0"/>
              <w:rPr>
                <w:rFonts w:ascii="Arial" w:hAnsi="Arial" w:cs="Arial"/>
                <w:color w:val="000000"/>
                <w:sz w:val="20"/>
                <w:szCs w:val="20"/>
              </w:rPr>
            </w:pPr>
            <w:r>
              <w:rPr>
                <w:rFonts w:ascii="Arial" w:hAnsi="Arial" w:cs="Arial"/>
                <w:color w:val="000000"/>
                <w:sz w:val="20"/>
                <w:szCs w:val="20"/>
              </w:rPr>
              <w:t>较高</w:t>
            </w:r>
          </w:p>
        </w:tc>
      </w:tr>
    </w:tbl>
    <w:p w14:paraId="501D2F37">
      <w:pPr>
        <w:rPr>
          <w:rFonts w:ascii="Arial" w:hAnsi="Arial" w:cs="Arial"/>
          <w:b/>
          <w:bCs/>
          <w:kern w:val="44"/>
          <w:sz w:val="28"/>
          <w:szCs w:val="32"/>
        </w:rPr>
      </w:pPr>
      <w:r>
        <w:rPr>
          <w:rFonts w:ascii="Arial" w:hAnsi="Arial" w:cs="Arial"/>
          <w:sz w:val="28"/>
          <w:szCs w:val="32"/>
        </w:rPr>
        <w:t xml:space="preserve"> </w:t>
      </w:r>
      <w:r>
        <w:rPr>
          <w:rFonts w:ascii="Arial" w:hAnsi="Arial" w:cs="Arial"/>
          <w:sz w:val="28"/>
          <w:szCs w:val="32"/>
        </w:rPr>
        <w:br w:type="page"/>
      </w:r>
    </w:p>
    <w:p w14:paraId="0AA92B1F">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53" w:name="_Toc119937333"/>
      <w:bookmarkStart w:id="754" w:name="_Ref91096120"/>
      <w:bookmarkStart w:id="755" w:name="_Ref91099889"/>
      <w:r>
        <w:rPr>
          <w:rFonts w:ascii="Arial" w:hAnsi="Arial" w:cs="Arial"/>
          <w:color w:val="000000" w:themeColor="text1"/>
          <w:sz w:val="28"/>
          <w:szCs w:val="28"/>
          <w14:textFill>
            <w14:solidFill>
              <w14:schemeClr w14:val="tx1"/>
            </w14:solidFill>
          </w14:textFill>
        </w:rPr>
        <w:t>附件3：环境与社会管理体系和世行政策对照分析</w:t>
      </w:r>
      <w:bookmarkEnd w:id="752"/>
      <w:bookmarkEnd w:id="753"/>
      <w:bookmarkEnd w:id="754"/>
      <w:bookmarkEnd w:id="755"/>
    </w:p>
    <w:p w14:paraId="16E80B72">
      <w:pPr>
        <w:adjustRightInd w:val="0"/>
        <w:snapToGrid w:val="0"/>
        <w:rPr>
          <w:rFonts w:ascii="Arial" w:hAnsi="Arial" w:cs="Arial"/>
          <w:b/>
          <w:bCs/>
          <w:color w:val="1F4E79" w:themeColor="accent5" w:themeShade="80"/>
          <w:sz w:val="20"/>
          <w:szCs w:val="20"/>
        </w:rPr>
      </w:pPr>
    </w:p>
    <w:p w14:paraId="5F0BDD51">
      <w:pPr>
        <w:adjustRightInd w:val="0"/>
        <w:snapToGrid w:val="0"/>
        <w:rPr>
          <w:rFonts w:ascii="Arial" w:hAnsi="Arial" w:cs="Arial"/>
          <w:sz w:val="20"/>
          <w:szCs w:val="20"/>
        </w:rPr>
      </w:pPr>
      <w:r>
        <w:rPr>
          <w:rFonts w:ascii="Arial" w:hAnsi="Arial" w:cs="Arial"/>
          <w:b/>
          <w:bCs/>
          <w:color w:val="1F4E79" w:themeColor="accent5" w:themeShade="80"/>
          <w:sz w:val="20"/>
          <w:szCs w:val="20"/>
        </w:rPr>
        <w:t>核心原则1</w:t>
      </w:r>
      <w:r>
        <w:rPr>
          <w:rFonts w:ascii="Arial" w:hAnsi="Arial" w:cs="Arial"/>
          <w:b/>
          <w:bCs/>
          <w:sz w:val="20"/>
          <w:szCs w:val="20"/>
        </w:rPr>
        <w:t>：</w:t>
      </w:r>
      <w:r>
        <w:rPr>
          <w:rFonts w:ascii="Arial" w:hAnsi="Arial" w:cs="Arial"/>
          <w:sz w:val="20"/>
          <w:szCs w:val="20"/>
        </w:rPr>
        <w:t>项目的环境与社会管理系统应该可以：</w:t>
      </w:r>
      <w:r>
        <w:rPr>
          <w:rFonts w:hint="eastAsia" w:ascii="Arial" w:hAnsi="Arial" w:cs="Arial"/>
          <w:sz w:val="20"/>
          <w:szCs w:val="20"/>
          <w:lang w:val="en-GB" w:eastAsia="zh-CN"/>
        </w:rPr>
        <w:t>（</w:t>
      </w:r>
      <w:r>
        <w:rPr>
          <w:rFonts w:ascii="Arial" w:hAnsi="Arial" w:cs="Arial"/>
          <w:sz w:val="20"/>
          <w:szCs w:val="20"/>
          <w:lang w:val="en-GB"/>
        </w:rPr>
        <w:t>a</w:t>
      </w:r>
      <w:r>
        <w:rPr>
          <w:rFonts w:hint="eastAsia" w:ascii="Arial" w:hAnsi="Arial" w:cs="Arial"/>
          <w:sz w:val="20"/>
          <w:szCs w:val="20"/>
          <w:lang w:val="en-GB" w:eastAsia="zh-CN"/>
        </w:rPr>
        <w:t>）</w:t>
      </w:r>
      <w:r>
        <w:rPr>
          <w:rFonts w:ascii="Arial" w:hAnsi="Arial" w:cs="Arial"/>
          <w:sz w:val="20"/>
          <w:szCs w:val="20"/>
          <w:lang w:val="en-GB"/>
        </w:rPr>
        <w:t xml:space="preserve"> </w:t>
      </w:r>
      <w:r>
        <w:rPr>
          <w:rFonts w:ascii="Arial" w:hAnsi="Arial" w:cs="Arial"/>
          <w:sz w:val="20"/>
          <w:szCs w:val="20"/>
        </w:rPr>
        <w:t>在项目设计中促进环境与社会可持续性；</w:t>
      </w:r>
      <w:r>
        <w:rPr>
          <w:rFonts w:hint="eastAsia" w:ascii="Arial" w:hAnsi="Arial" w:cs="Arial"/>
          <w:sz w:val="20"/>
          <w:szCs w:val="20"/>
          <w:lang w:val="en-GB" w:eastAsia="zh-CN"/>
        </w:rPr>
        <w:t>（</w:t>
      </w:r>
      <w:r>
        <w:rPr>
          <w:rFonts w:ascii="Arial" w:hAnsi="Arial" w:cs="Arial"/>
          <w:sz w:val="20"/>
          <w:szCs w:val="20"/>
          <w:lang w:val="en-GB"/>
        </w:rPr>
        <w:t>b</w:t>
      </w:r>
      <w:r>
        <w:rPr>
          <w:rFonts w:hint="eastAsia" w:ascii="Arial" w:hAnsi="Arial" w:cs="Arial"/>
          <w:sz w:val="20"/>
          <w:szCs w:val="20"/>
          <w:lang w:val="en-GB" w:eastAsia="zh-CN"/>
        </w:rPr>
        <w:t>）</w:t>
      </w:r>
      <w:r>
        <w:rPr>
          <w:rFonts w:ascii="Arial" w:hAnsi="Arial" w:cs="Arial"/>
          <w:sz w:val="20"/>
          <w:szCs w:val="20"/>
          <w:lang w:val="en-GB"/>
        </w:rPr>
        <w:t xml:space="preserve"> </w:t>
      </w:r>
      <w:r>
        <w:rPr>
          <w:rFonts w:ascii="Arial" w:hAnsi="Arial" w:cs="Arial"/>
          <w:sz w:val="20"/>
          <w:szCs w:val="20"/>
        </w:rPr>
        <w:t>避免、减少或缓解不利影响；</w:t>
      </w:r>
      <w:r>
        <w:rPr>
          <w:rFonts w:hint="eastAsia" w:ascii="Arial" w:hAnsi="Arial" w:cs="Arial"/>
          <w:sz w:val="20"/>
          <w:szCs w:val="20"/>
          <w:lang w:val="en-GB" w:eastAsia="zh-CN"/>
        </w:rPr>
        <w:t>（</w:t>
      </w:r>
      <w:r>
        <w:rPr>
          <w:rFonts w:ascii="Arial" w:hAnsi="Arial" w:cs="Arial"/>
          <w:sz w:val="20"/>
          <w:szCs w:val="20"/>
          <w:lang w:val="en-GB"/>
        </w:rPr>
        <w:t>c</w:t>
      </w:r>
      <w:r>
        <w:rPr>
          <w:rFonts w:hint="eastAsia" w:ascii="Arial" w:hAnsi="Arial" w:cs="Arial"/>
          <w:sz w:val="20"/>
          <w:szCs w:val="20"/>
          <w:lang w:val="en-GB" w:eastAsia="zh-CN"/>
        </w:rPr>
        <w:t>）</w:t>
      </w:r>
      <w:r>
        <w:rPr>
          <w:rFonts w:ascii="Arial" w:hAnsi="Arial" w:cs="Arial"/>
          <w:sz w:val="20"/>
          <w:szCs w:val="20"/>
          <w:lang w:val="en-GB"/>
        </w:rPr>
        <w:t xml:space="preserve"> </w:t>
      </w:r>
      <w:r>
        <w:rPr>
          <w:rFonts w:ascii="Arial" w:hAnsi="Arial" w:cs="Arial"/>
          <w:sz w:val="20"/>
          <w:szCs w:val="20"/>
        </w:rPr>
        <w:t>在环境与社会影响方面推动本项目的</w:t>
      </w:r>
      <w:r>
        <w:rPr>
          <w:rFonts w:ascii="Arial" w:hAnsi="Arial" w:cs="Arial"/>
          <w:sz w:val="20"/>
          <w:szCs w:val="20"/>
          <w:lang w:val="en-GB"/>
        </w:rPr>
        <w:t>合理</w:t>
      </w:r>
      <w:r>
        <w:rPr>
          <w:rFonts w:ascii="Arial" w:hAnsi="Arial" w:cs="Arial"/>
          <w:sz w:val="20"/>
          <w:szCs w:val="20"/>
        </w:rPr>
        <w:t>决策。</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62"/>
        <w:gridCol w:w="11391"/>
        <w:gridCol w:w="1673"/>
      </w:tblGrid>
      <w:tr w14:paraId="2C8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34" w:type="pct"/>
            <w:shd w:val="clear" w:color="auto" w:fill="auto"/>
          </w:tcPr>
          <w:p w14:paraId="65366283">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894" w:type="pct"/>
            <w:shd w:val="clear" w:color="auto" w:fill="auto"/>
          </w:tcPr>
          <w:p w14:paraId="726E1F9E">
            <w:pPr>
              <w:adjustRightInd w:val="0"/>
              <w:snapToGrid w:val="0"/>
              <w:jc w:val="center"/>
              <w:rPr>
                <w:rFonts w:ascii="Arial" w:hAnsi="Arial" w:cs="Arial"/>
                <w:b/>
                <w:bCs/>
                <w:sz w:val="20"/>
                <w:szCs w:val="20"/>
              </w:rPr>
            </w:pPr>
            <w:r>
              <w:rPr>
                <w:rFonts w:ascii="Arial" w:hAnsi="Arial" w:cs="Arial"/>
                <w:b/>
                <w:bCs/>
                <w:sz w:val="20"/>
                <w:szCs w:val="20"/>
              </w:rPr>
              <w:t>中国环境与社会管理系统</w:t>
            </w:r>
          </w:p>
        </w:tc>
        <w:tc>
          <w:tcPr>
            <w:tcW w:w="572" w:type="pct"/>
            <w:shd w:val="clear" w:color="auto" w:fill="auto"/>
          </w:tcPr>
          <w:p w14:paraId="05BFDD0C">
            <w:pPr>
              <w:adjustRightInd w:val="0"/>
              <w:snapToGrid w:val="0"/>
              <w:jc w:val="center"/>
              <w:rPr>
                <w:rFonts w:ascii="Arial" w:hAnsi="Arial" w:cs="Arial"/>
                <w:b/>
                <w:bCs/>
                <w:sz w:val="20"/>
                <w:szCs w:val="20"/>
              </w:rPr>
            </w:pPr>
            <w:r>
              <w:rPr>
                <w:rFonts w:ascii="Arial" w:hAnsi="Arial" w:cs="Arial"/>
                <w:b/>
                <w:bCs/>
                <w:sz w:val="20"/>
                <w:szCs w:val="20"/>
              </w:rPr>
              <w:t>一致性分析与建议</w:t>
            </w:r>
          </w:p>
        </w:tc>
      </w:tr>
      <w:tr w14:paraId="4D32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254BF211">
            <w:pPr>
              <w:adjustRightInd w:val="0"/>
              <w:snapToGrid w:val="0"/>
              <w:rPr>
                <w:rFonts w:ascii="Arial" w:hAnsi="Arial" w:cs="Arial"/>
                <w:sz w:val="20"/>
                <w:szCs w:val="20"/>
              </w:rPr>
            </w:pPr>
            <w:r>
              <w:rPr>
                <w:rFonts w:ascii="Arial" w:hAnsi="Arial" w:cs="Arial"/>
                <w:b/>
                <w:bCs/>
                <w:sz w:val="20"/>
                <w:szCs w:val="20"/>
              </w:rPr>
              <w:t>要素1</w:t>
            </w:r>
            <w:r>
              <w:rPr>
                <w:rFonts w:ascii="Arial" w:hAnsi="Arial" w:cs="Arial"/>
                <w:sz w:val="20"/>
                <w:szCs w:val="20"/>
              </w:rPr>
              <w:t>：具有充分的法律与管理框架用以指导本项目在规划层面开展环境与社会影响评价、消减、管理与监测等工作。</w:t>
            </w:r>
          </w:p>
        </w:tc>
        <w:tc>
          <w:tcPr>
            <w:tcW w:w="3894" w:type="pct"/>
            <w:shd w:val="clear" w:color="auto" w:fill="auto"/>
          </w:tcPr>
          <w:p w14:paraId="20B2BF86">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：本项目具有充分的环境法律与管理框架。</w:t>
            </w:r>
            <w:r>
              <w:rPr>
                <w:rFonts w:hint="eastAsia" w:ascii="Arial" w:hAnsi="Arial" w:cs="Arial"/>
                <w:color w:val="000000" w:themeColor="text1"/>
                <w:sz w:val="20"/>
                <w:szCs w:val="20"/>
                <w:lang w:val="en-GB" w:eastAsia="zh-CN"/>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1</w:t>
            </w:r>
            <w:r>
              <w:rPr>
                <w:rFonts w:hint="eastAsia" w:ascii="Arial" w:hAnsi="Arial" w:cs="Arial"/>
                <w:color w:val="000000" w:themeColor="text1"/>
                <w:sz w:val="20"/>
                <w:szCs w:val="20"/>
                <w:lang w:val="en-GB" w:eastAsia="zh-CN"/>
                <w14:textFill>
                  <w14:solidFill>
                    <w14:schemeClr w14:val="tx1"/>
                  </w14:solidFill>
                </w14:textFill>
              </w:rPr>
              <w:t>）</w:t>
            </w:r>
            <w:r>
              <w:rPr>
                <w:rFonts w:ascii="Arial" w:hAnsi="Arial" w:cs="Arial"/>
                <w:color w:val="000000" w:themeColor="text1"/>
                <w:sz w:val="20"/>
                <w:szCs w:val="20"/>
                <w:lang w:val="en-GB"/>
                <w14:textFill>
                  <w14:solidFill>
                    <w14:schemeClr w14:val="tx1"/>
                  </w14:solidFill>
                </w14:textFill>
              </w:rPr>
              <w:t xml:space="preserve"> </w:t>
            </w:r>
            <w:r>
              <w:rPr>
                <w:rFonts w:ascii="Arial" w:hAnsi="Arial" w:cs="Arial"/>
                <w:color w:val="000000" w:themeColor="text1"/>
                <w:sz w:val="20"/>
                <w:szCs w:val="20"/>
                <w14:textFill>
                  <w14:solidFill>
                    <w14:schemeClr w14:val="tx1"/>
                  </w14:solidFill>
                </w14:textFill>
              </w:rPr>
              <w:t>中国基于《</w:t>
            </w:r>
            <w:r>
              <w:rPr>
                <w:rFonts w:hint="eastAsia" w:ascii="Arial" w:hAnsi="Arial" w:cs="Arial"/>
                <w:color w:val="000000" w:themeColor="text1"/>
                <w:sz w:val="20"/>
                <w:szCs w:val="20"/>
                <w:lang w:eastAsia="zh-CN"/>
                <w14:textFill>
                  <w14:solidFill>
                    <w14:schemeClr w14:val="tx1"/>
                  </w14:solidFill>
                </w14:textFill>
              </w:rPr>
              <w:t>中华人民共和国环境保护法</w:t>
            </w:r>
            <w:r>
              <w:rPr>
                <w:rFonts w:ascii="Arial" w:hAnsi="Arial" w:cs="Arial"/>
                <w:color w:val="000000" w:themeColor="text1"/>
                <w:sz w:val="20"/>
                <w:szCs w:val="20"/>
                <w14:textFill>
                  <w14:solidFill>
                    <w14:schemeClr w14:val="tx1"/>
                  </w14:solidFill>
                </w14:textFill>
              </w:rPr>
              <w:t>》确立了</w:t>
            </w:r>
            <w:r>
              <w:rPr>
                <w:rFonts w:hint="eastAsia" w:ascii="Arial" w:hAnsi="Arial" w:cs="Arial"/>
                <w:color w:val="000000" w:themeColor="text1"/>
                <w:sz w:val="20"/>
                <w:szCs w:val="20"/>
                <w:lang w:eastAsia="zh-CN"/>
                <w14:textFill>
                  <w14:solidFill>
                    <w14:schemeClr w14:val="tx1"/>
                  </w14:solidFill>
                </w14:textFill>
              </w:rPr>
              <w:t>众多</w:t>
            </w:r>
            <w:r>
              <w:rPr>
                <w:rFonts w:ascii="Arial" w:hAnsi="Arial" w:cs="Arial"/>
                <w:color w:val="000000" w:themeColor="text1"/>
                <w:sz w:val="20"/>
                <w:szCs w:val="20"/>
                <w14:textFill>
                  <w14:solidFill>
                    <w14:schemeClr w14:val="tx1"/>
                  </w14:solidFill>
                </w14:textFill>
              </w:rPr>
              <w:t>环境管理</w:t>
            </w:r>
            <w:r>
              <w:rPr>
                <w:rFonts w:hint="eastAsia" w:ascii="Arial" w:hAnsi="Arial" w:cs="Arial"/>
                <w:color w:val="000000" w:themeColor="text1"/>
                <w:sz w:val="20"/>
                <w:szCs w:val="20"/>
                <w:lang w:eastAsia="zh-CN"/>
                <w14:textFill>
                  <w14:solidFill>
                    <w14:schemeClr w14:val="tx1"/>
                  </w14:solidFill>
                </w14:textFill>
              </w:rPr>
              <w:t>法律法规</w:t>
            </w:r>
            <w:r>
              <w:rPr>
                <w:rFonts w:ascii="Arial" w:hAnsi="Arial" w:cs="Arial"/>
                <w:color w:val="000000" w:themeColor="text1"/>
                <w:sz w:val="20"/>
                <w:szCs w:val="20"/>
                <w14:textFill>
                  <w14:solidFill>
                    <w14:schemeClr w14:val="tx1"/>
                  </w14:solidFill>
                </w14:textFill>
              </w:rPr>
              <w:t>、标准、规范，如《</w:t>
            </w:r>
            <w:r>
              <w:rPr>
                <w:rFonts w:hint="eastAsia" w:ascii="Arial" w:hAnsi="Arial" w:cs="Arial"/>
                <w:color w:val="000000" w:themeColor="text1"/>
                <w:sz w:val="20"/>
                <w:szCs w:val="20"/>
                <w:lang w:eastAsia="zh-CN"/>
                <w14:textFill>
                  <w14:solidFill>
                    <w14:schemeClr w14:val="tx1"/>
                  </w14:solidFill>
                </w14:textFill>
              </w:rPr>
              <w:t>中华人民共和国环境影响评价法</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2018</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中华人民共和国水污染防治法</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2017</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中华人民共和国大气污染防治法</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2018</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中华人民共和国固体废物污染环境防治法</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2020</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中华人民共和国土壤污染防治法</w:t>
            </w:r>
            <w:r>
              <w:rPr>
                <w:rFonts w:ascii="Arial" w:hAnsi="Arial" w:cs="Arial"/>
                <w:color w:val="000000" w:themeColor="text1"/>
                <w:sz w:val="20"/>
                <w:szCs w:val="20"/>
                <w14:textFill>
                  <w14:solidFill>
                    <w14:schemeClr w14:val="tx1"/>
                  </w14:solidFill>
                </w14:textFill>
              </w:rPr>
              <w:t>》</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2018</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、《建设项目环境保护管理条例》</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2017</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、《建设项目环境影响评价分类管理名录》</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2021</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、《环境影响评价技术导则》等，为本项目环境评价与后续管理提供了基本的实施机制。</w:t>
            </w:r>
            <w:r>
              <w:rPr>
                <w:rFonts w:hint="eastAsia" w:ascii="Arial" w:hAnsi="Arial" w:cs="Arial"/>
                <w:sz w:val="20"/>
                <w:szCs w:val="20"/>
                <w:lang w:eastAsia="zh-CN"/>
              </w:rPr>
              <w:t>（</w:t>
            </w:r>
            <w:r>
              <w:rPr>
                <w:rFonts w:ascii="Arial" w:hAnsi="Arial" w:cs="Arial"/>
                <w:sz w:val="20"/>
                <w:szCs w:val="20"/>
              </w:rPr>
              <w:t>2</w:t>
            </w:r>
            <w:r>
              <w:rPr>
                <w:rFonts w:hint="eastAsia" w:ascii="Arial" w:hAnsi="Arial" w:cs="Arial"/>
                <w:sz w:val="20"/>
                <w:szCs w:val="20"/>
                <w:lang w:eastAsia="zh-CN"/>
              </w:rPr>
              <w:t>）</w:t>
            </w:r>
            <w:r>
              <w:rPr>
                <w:rFonts w:ascii="Arial" w:hAnsi="Arial" w:cs="Arial"/>
                <w:sz w:val="20"/>
                <w:szCs w:val="20"/>
              </w:rPr>
              <w:t xml:space="preserve"> 湖南和湖北两省均成立了省级项目办，协调相关省级部门（如生态环境、农业农村、住建、自然资源、水利、林业</w:t>
            </w:r>
            <w:r>
              <w:rPr>
                <w:rFonts w:ascii="Arial" w:hAnsi="Arial" w:cs="Arial"/>
                <w:color w:val="000000" w:themeColor="text1"/>
                <w:sz w:val="20"/>
                <w:szCs w:val="20"/>
                <w14:textFill>
                  <w14:solidFill>
                    <w14:schemeClr w14:val="tx1"/>
                  </w14:solidFill>
                </w14:textFill>
              </w:rPr>
              <w:t>等</w:t>
            </w:r>
            <w:r>
              <w:rPr>
                <w:rFonts w:ascii="Arial" w:hAnsi="Arial" w:cs="Arial"/>
                <w:sz w:val="20"/>
                <w:szCs w:val="20"/>
              </w:rPr>
              <w:t>）共同开展本项目实施与监管。这些省级部门及其地方机构是负责调动资源、采取行动，落实环境法律法规、管理本项目环境影响与风险的法定监管机构。经本次评价检查，中国的环境管理体系具有有效的法律和管理框架，足以指导本项目在规划层面开展环境影响评价、消减、管理与监测等工作。</w:t>
            </w:r>
          </w:p>
          <w:p w14:paraId="7BB544C8">
            <w:pPr>
              <w:adjustRightInd w:val="0"/>
              <w:snapToGrid w:val="0"/>
              <w:spacing w:before="120" w:beforeLines="50"/>
              <w:jc w:val="both"/>
              <w:rPr>
                <w:rFonts w:ascii="Arial" w:hAnsi="Arial" w:cs="Arial"/>
                <w:sz w:val="20"/>
                <w:szCs w:val="20"/>
              </w:rPr>
            </w:pPr>
            <w:r>
              <w:rPr>
                <w:rFonts w:ascii="Arial" w:hAnsi="Arial" w:cs="Arial"/>
                <w:sz w:val="20"/>
                <w:szCs w:val="20"/>
              </w:rPr>
              <w:t>本报告还针对国内环境管理系统与世行的“环境健康与安全指南”及良好的国际行业实践进行了对比分析：</w:t>
            </w:r>
          </w:p>
          <w:p w14:paraId="09B615F8">
            <w:pPr>
              <w:adjustRightInd w:val="0"/>
              <w:snapToGrid w:val="0"/>
              <w:spacing w:before="120" w:beforeLines="50"/>
              <w:jc w:val="both"/>
              <w:rPr>
                <w:rFonts w:ascii="Arial" w:hAnsi="Arial" w:cs="Arial"/>
                <w:sz w:val="20"/>
                <w:szCs w:val="20"/>
              </w:rPr>
            </w:pPr>
            <w:r>
              <w:rPr>
                <w:rFonts w:ascii="Arial" w:hAnsi="Arial" w:cs="Arial"/>
                <w:sz w:val="20"/>
                <w:szCs w:val="20"/>
              </w:rPr>
              <w:t>生活垃圾管理系统总体上与世行的《废物管理设施环境健康与安全指南》相符合，并涵盖了良好的国际行业实践，如在每个家庭使用容器或袋子收集垃圾；在垃圾产生点分类收集可回收废物；在整个运输路线中对收集和转运车辆进行覆盖以避免垃圾被风吹散；鼓励居民在指定地点倾倒垃圾等。</w:t>
            </w:r>
          </w:p>
          <w:p w14:paraId="29757355">
            <w:pPr>
              <w:adjustRightInd w:val="0"/>
              <w:snapToGrid w:val="0"/>
              <w:spacing w:before="120" w:beforeLines="50"/>
              <w:jc w:val="both"/>
              <w:rPr>
                <w:rFonts w:ascii="Arial" w:hAnsi="Arial" w:cs="Arial"/>
                <w:sz w:val="20"/>
                <w:szCs w:val="20"/>
              </w:rPr>
            </w:pPr>
            <w:r>
              <w:rPr>
                <w:rFonts w:ascii="Arial" w:hAnsi="Arial" w:cs="Arial"/>
                <w:sz w:val="20"/>
                <w:szCs w:val="20"/>
              </w:rPr>
              <w:t>生活污水收集与处理系统也与世行的《水和卫生环境健康与安全指南》基本相符，并涵盖了良好的国际行业实践，如改进化粪池设计和运行维护水平；在新建排水系统的总体规划和设计中考虑雨污分流体制；制定污水设施日常维护计划；妥善运营和维护污水处理设施并达到国家出水水质标准；根据需要对臭气产生和排放点（如曝气池、污泥浓缩池）进行密闭处理以减少臭气影响等。中国各地方的《农村生活污水处理设施水污染物排放标准》均规定了BOD、COD、悬浮物、总氮和总磷的允许排放限值，与世行《水和卫生环境健康与安全指南》的建议相同。</w:t>
            </w:r>
          </w:p>
        </w:tc>
        <w:tc>
          <w:tcPr>
            <w:tcW w:w="572" w:type="pct"/>
            <w:shd w:val="clear" w:color="auto" w:fill="auto"/>
          </w:tcPr>
          <w:p w14:paraId="19D64C1D">
            <w:pPr>
              <w:adjustRightInd w:val="0"/>
              <w:snapToGrid w:val="0"/>
              <w:rPr>
                <w:rFonts w:ascii="Arial" w:hAnsi="Arial" w:cs="Arial"/>
                <w:sz w:val="20"/>
                <w:szCs w:val="20"/>
              </w:rPr>
            </w:pPr>
            <w:r>
              <w:rPr>
                <w:rFonts w:ascii="Arial" w:hAnsi="Arial" w:cs="Arial"/>
                <w:sz w:val="20"/>
                <w:szCs w:val="20"/>
              </w:rPr>
              <w:t>一致。</w:t>
            </w:r>
          </w:p>
        </w:tc>
      </w:tr>
      <w:tr w14:paraId="7192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2BF9C60A">
            <w:pPr>
              <w:adjustRightInd w:val="0"/>
              <w:snapToGrid w:val="0"/>
              <w:rPr>
                <w:rFonts w:ascii="Arial" w:hAnsi="Arial" w:cs="Arial"/>
                <w:b/>
                <w:bCs/>
                <w:sz w:val="20"/>
                <w:szCs w:val="20"/>
              </w:rPr>
            </w:pPr>
          </w:p>
        </w:tc>
        <w:tc>
          <w:tcPr>
            <w:tcW w:w="3894" w:type="pct"/>
            <w:shd w:val="clear" w:color="auto" w:fill="auto"/>
          </w:tcPr>
          <w:p w14:paraId="282F308C">
            <w:pPr>
              <w:adjustRightInd w:val="0"/>
              <w:snapToGrid w:val="0"/>
              <w:rPr>
                <w:rFonts w:ascii="Arial" w:hAnsi="Arial" w:cs="Arial"/>
                <w:sz w:val="20"/>
                <w:szCs w:val="20"/>
              </w:rPr>
            </w:pPr>
            <w:r>
              <w:rPr>
                <w:rFonts w:ascii="Arial" w:hAnsi="Arial" w:cs="Arial"/>
                <w:b/>
                <w:bCs/>
                <w:sz w:val="20"/>
                <w:szCs w:val="20"/>
              </w:rPr>
              <w:t>社会</w:t>
            </w:r>
            <w:r>
              <w:rPr>
                <w:rFonts w:ascii="Arial" w:hAnsi="Arial" w:cs="Arial"/>
                <w:sz w:val="20"/>
                <w:szCs w:val="20"/>
              </w:rPr>
              <w:t>：i）《国家发展改革委关于印发国家发展改革委重大固定资产投资项目社会稳定风险评估暂行办法的通知》（发改投资2012），在中国境内建设实施的固定资产投资项目，项目单位在组织开展重大项目前期工作时，应当对社会稳定风险进行调查分析，征询相关群众意见，查找并列出风险点、风险发生的可能性及影响程度，提出</w:t>
            </w:r>
            <w:r>
              <w:rPr>
                <w:rFonts w:hint="eastAsia" w:ascii="Arial" w:hAnsi="Arial" w:cs="Arial"/>
                <w:sz w:val="20"/>
                <w:szCs w:val="20"/>
                <w:lang w:eastAsia="zh-CN"/>
              </w:rPr>
              <w:t>防范化解风险</w:t>
            </w:r>
            <w:r>
              <w:rPr>
                <w:rFonts w:ascii="Arial" w:hAnsi="Arial" w:cs="Arial"/>
                <w:sz w:val="20"/>
                <w:szCs w:val="20"/>
              </w:rPr>
              <w:t>的方案措施，提出采取相关措施后的社会稳定风险等级建议。</w:t>
            </w:r>
            <w:r>
              <w:rPr>
                <w:rFonts w:hint="eastAsia" w:ascii="Arial" w:hAnsi="Arial" w:cs="Arial"/>
                <w:sz w:val="20"/>
                <w:szCs w:val="20"/>
                <w:lang w:eastAsia="zh-CN"/>
              </w:rPr>
              <w:t>ⅱ</w:t>
            </w:r>
            <w:r>
              <w:rPr>
                <w:rFonts w:ascii="Arial" w:hAnsi="Arial" w:cs="Arial"/>
                <w:sz w:val="20"/>
                <w:szCs w:val="20"/>
              </w:rPr>
              <w:t>）《关于建立健全重大决策事项社会稳定风险评估机制的指导意见（试行）》（中办发〔2012〕2号），对需开展社会稳定风险评估的项目内容作了具体明确，凡是直接关系人民群众切身利益且涉及面广、容易引发社会稳定问题的重大决策事项，涉及征地拆迁、农民负担、国有企业改制、环境影响、社会保障、公益事业等方面的重大工程项目建设、重大政策制定以及其他对社会稳定有较大影响的重大决策事项。</w:t>
            </w:r>
          </w:p>
          <w:p w14:paraId="35662634">
            <w:pPr>
              <w:adjustRightInd w:val="0"/>
              <w:snapToGrid w:val="0"/>
              <w:rPr>
                <w:rFonts w:ascii="Arial" w:hAnsi="Arial" w:cs="Arial"/>
                <w:sz w:val="20"/>
                <w:szCs w:val="20"/>
              </w:rPr>
            </w:pPr>
            <w:r>
              <w:rPr>
                <w:rFonts w:hint="eastAsia" w:ascii="Arial" w:hAnsi="Arial" w:cs="Arial"/>
                <w:sz w:val="20"/>
                <w:szCs w:val="20"/>
                <w:lang w:eastAsia="zh-CN"/>
              </w:rPr>
              <w:t>ⅲ）</w:t>
            </w:r>
            <w:r>
              <w:rPr>
                <w:rFonts w:ascii="Arial" w:hAnsi="Arial" w:cs="Arial"/>
                <w:sz w:val="20"/>
                <w:szCs w:val="20"/>
              </w:rPr>
              <w:t>2020年2月，中共中央办公厅和国务院办公厅发出了《关于加强新形势下重大决策社会稳定风险评估机制建设的意见》</w:t>
            </w:r>
            <w:r>
              <w:rPr>
                <w:rFonts w:hint="eastAsia" w:ascii="Arial" w:hAnsi="Arial" w:cs="Arial"/>
                <w:sz w:val="20"/>
                <w:szCs w:val="20"/>
                <w:lang w:eastAsia="zh-CN"/>
              </w:rPr>
              <w:t>，</w:t>
            </w:r>
            <w:r>
              <w:rPr>
                <w:rFonts w:ascii="Arial" w:hAnsi="Arial" w:cs="Arial"/>
                <w:sz w:val="20"/>
                <w:szCs w:val="20"/>
              </w:rPr>
              <w:t>要求包括重要建设项目在内的重大事项决策之前，均必须进行社会稳定风险评估。该意见对社会稳定风险评估的内容、评估方式、评估程序、评估管理、评估结果运用等方面做出了规定。《意见》特别强调社会稳定风险评估内容是项目可行性研究、项目申请报告必不可少的内容。</w:t>
            </w:r>
          </w:p>
          <w:p w14:paraId="2AD46D56">
            <w:pPr>
              <w:adjustRightInd w:val="0"/>
              <w:snapToGrid w:val="0"/>
              <w:rPr>
                <w:rFonts w:ascii="Arial" w:hAnsi="Arial" w:cs="Arial"/>
                <w:sz w:val="20"/>
                <w:szCs w:val="20"/>
              </w:rPr>
            </w:pPr>
            <w:r>
              <w:rPr>
                <w:rFonts w:ascii="Arial" w:hAnsi="Arial" w:cs="Arial"/>
                <w:sz w:val="20"/>
                <w:szCs w:val="20"/>
              </w:rPr>
              <w:t>本评估认为，适用于本项目的社会影响评价体系是较充分的。具体法律法规通过以下各原则及要素分析进行了梳理。</w:t>
            </w:r>
          </w:p>
        </w:tc>
        <w:tc>
          <w:tcPr>
            <w:tcW w:w="572" w:type="pct"/>
            <w:shd w:val="clear" w:color="auto" w:fill="auto"/>
          </w:tcPr>
          <w:p w14:paraId="0CA002A8">
            <w:pPr>
              <w:adjustRightInd w:val="0"/>
              <w:snapToGrid w:val="0"/>
              <w:rPr>
                <w:rFonts w:ascii="Arial" w:hAnsi="Arial" w:cs="Arial"/>
                <w:sz w:val="20"/>
                <w:szCs w:val="20"/>
              </w:rPr>
            </w:pPr>
            <w:r>
              <w:rPr>
                <w:rFonts w:ascii="Arial" w:hAnsi="Arial" w:cs="Arial"/>
                <w:sz w:val="20"/>
                <w:szCs w:val="20"/>
              </w:rPr>
              <w:t>一致。</w:t>
            </w:r>
          </w:p>
        </w:tc>
      </w:tr>
      <w:tr w14:paraId="28E3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21A2AEDD">
            <w:pPr>
              <w:adjustRightInd w:val="0"/>
              <w:snapToGrid w:val="0"/>
              <w:rPr>
                <w:rFonts w:ascii="Arial" w:hAnsi="Arial" w:cs="Arial"/>
                <w:sz w:val="20"/>
                <w:szCs w:val="20"/>
              </w:rPr>
            </w:pPr>
            <w:r>
              <w:rPr>
                <w:rFonts w:ascii="Arial" w:hAnsi="Arial" w:cs="Arial"/>
                <w:b/>
                <w:bCs/>
                <w:sz w:val="20"/>
                <w:szCs w:val="20"/>
              </w:rPr>
              <w:t>要素2</w:t>
            </w:r>
            <w:r>
              <w:rPr>
                <w:rFonts w:ascii="Arial" w:hAnsi="Arial" w:cs="Arial"/>
                <w:sz w:val="20"/>
                <w:szCs w:val="20"/>
              </w:rPr>
              <w:t>：具有环境与社会影响评价的良好实践，包括以下方面：</w:t>
            </w:r>
          </w:p>
        </w:tc>
        <w:tc>
          <w:tcPr>
            <w:tcW w:w="3894" w:type="pct"/>
            <w:shd w:val="clear" w:color="auto" w:fill="auto"/>
          </w:tcPr>
          <w:p w14:paraId="791B2188">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中国已建立了全面的环境影响评价制度，涵盖环境影响识别、方案比选、选址合理性分析、影响评价（正面与负面、直接与间接、累积影响等）、环保措施、管理机构与责任、环保投资、公众参与、信息披露等方面。调研中获取了许多类似项目的环评文件样本，证明这是一个运行良好的环评体系。以下从六个方面进行总结。</w:t>
            </w:r>
          </w:p>
        </w:tc>
        <w:tc>
          <w:tcPr>
            <w:tcW w:w="572" w:type="pct"/>
            <w:shd w:val="clear" w:color="auto" w:fill="auto"/>
          </w:tcPr>
          <w:p w14:paraId="20E26907">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rPr>
              <w:t>一致。</w:t>
            </w:r>
          </w:p>
        </w:tc>
      </w:tr>
      <w:tr w14:paraId="6963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4A0F3FE7">
            <w:pPr>
              <w:adjustRightInd w:val="0"/>
              <w:snapToGrid w:val="0"/>
              <w:rPr>
                <w:rFonts w:ascii="Arial" w:hAnsi="Arial" w:cs="Arial"/>
                <w:b/>
                <w:bCs/>
                <w:sz w:val="20"/>
                <w:szCs w:val="20"/>
              </w:rPr>
            </w:pPr>
          </w:p>
        </w:tc>
        <w:tc>
          <w:tcPr>
            <w:tcW w:w="3894" w:type="pct"/>
            <w:shd w:val="clear" w:color="auto" w:fill="auto"/>
          </w:tcPr>
          <w:p w14:paraId="6EA1E0C0">
            <w:pPr>
              <w:adjustRightInd w:val="0"/>
              <w:snapToGrid w:val="0"/>
              <w:rPr>
                <w:rFonts w:ascii="Arial" w:hAnsi="Arial" w:cs="Arial"/>
                <w:sz w:val="20"/>
                <w:szCs w:val="20"/>
                <w:highlight w:val="cyan"/>
              </w:rPr>
            </w:pPr>
            <w:r>
              <w:rPr>
                <w:rFonts w:ascii="Arial" w:hAnsi="Arial" w:cs="Arial"/>
                <w:b/>
                <w:bCs/>
                <w:sz w:val="20"/>
                <w:szCs w:val="20"/>
              </w:rPr>
              <w:t>社会：</w:t>
            </w:r>
            <w:r>
              <w:rPr>
                <w:rFonts w:ascii="Arial" w:hAnsi="Arial" w:cs="Arial"/>
                <w:sz w:val="20"/>
                <w:szCs w:val="20"/>
              </w:rPr>
              <w:t>国家关于项目筛选的法律法规有《建设项目用地预审管理办法》（2008.11.29），《</w:t>
            </w:r>
            <w:r>
              <w:rPr>
                <w:rFonts w:hint="eastAsia" w:ascii="Arial" w:hAnsi="Arial" w:cs="Arial"/>
                <w:sz w:val="20"/>
                <w:szCs w:val="20"/>
                <w:lang w:eastAsia="zh-CN"/>
              </w:rPr>
              <w:t>中华人民共和国文物保护法</w:t>
            </w:r>
            <w:r>
              <w:rPr>
                <w:rFonts w:ascii="Arial" w:hAnsi="Arial" w:cs="Arial"/>
                <w:sz w:val="20"/>
                <w:szCs w:val="20"/>
              </w:rPr>
              <w:t>》（2017年修订），《</w:t>
            </w:r>
            <w:r>
              <w:rPr>
                <w:rFonts w:hint="eastAsia" w:ascii="Arial" w:hAnsi="Arial" w:cs="Arial"/>
                <w:sz w:val="20"/>
                <w:szCs w:val="20"/>
                <w:lang w:eastAsia="zh-CN"/>
              </w:rPr>
              <w:t>中华人民共和国土地管理法</w:t>
            </w:r>
            <w:r>
              <w:rPr>
                <w:rFonts w:ascii="Arial" w:hAnsi="Arial" w:cs="Arial"/>
                <w:sz w:val="20"/>
                <w:szCs w:val="20"/>
              </w:rPr>
              <w:t>》（2020.1.1），《地质灾害防治条例》（2004.3.1）</w:t>
            </w:r>
            <w:r>
              <w:rPr>
                <w:rFonts w:hint="eastAsia" w:ascii="Arial" w:hAnsi="Arial" w:cs="Arial"/>
                <w:sz w:val="20"/>
                <w:szCs w:val="20"/>
                <w:lang w:eastAsia="zh-CN"/>
              </w:rPr>
              <w:t>，</w:t>
            </w:r>
            <w:r>
              <w:rPr>
                <w:rFonts w:ascii="Arial" w:hAnsi="Arial" w:cs="Arial"/>
                <w:sz w:val="20"/>
                <w:szCs w:val="20"/>
              </w:rPr>
              <w:t>《国家发展改革委关于印发国家发展改革委重大固定资产投资项目社会稳定风险评估暂行办法的通知》（发改投资2012），《关于加强新形势下重大决策社会稳定风险评估机制建设的意见》（国务院办公厅2020.2.22）。</w:t>
            </w:r>
          </w:p>
        </w:tc>
        <w:tc>
          <w:tcPr>
            <w:tcW w:w="572" w:type="pct"/>
            <w:shd w:val="clear" w:color="auto" w:fill="auto"/>
          </w:tcPr>
          <w:p w14:paraId="53381E29">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p w14:paraId="2AE9E0D7">
            <w:pPr>
              <w:pStyle w:val="66"/>
              <w:tabs>
                <w:tab w:val="clear" w:pos="540"/>
              </w:tabs>
              <w:adjustRightInd w:val="0"/>
              <w:snapToGrid w:val="0"/>
              <w:spacing w:before="0" w:after="0"/>
              <w:rPr>
                <w:rFonts w:ascii="Arial" w:hAnsi="Arial" w:eastAsia="宋体" w:cs="Arial"/>
                <w:sz w:val="20"/>
                <w:szCs w:val="20"/>
                <w:lang w:eastAsia="zh-CN"/>
              </w:rPr>
            </w:pPr>
          </w:p>
        </w:tc>
      </w:tr>
      <w:tr w14:paraId="5AE1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234E6E2C">
            <w:pPr>
              <w:adjustRightInd w:val="0"/>
              <w:snapToGrid w:val="0"/>
              <w:rPr>
                <w:rFonts w:ascii="Arial" w:hAnsi="Arial" w:cs="Arial"/>
                <w:b/>
                <w:bCs/>
                <w:sz w:val="20"/>
                <w:szCs w:val="20"/>
              </w:rPr>
            </w:pPr>
            <w:r>
              <w:rPr>
                <w:rFonts w:hint="eastAsia" w:ascii="Arial" w:hAnsi="Arial" w:cs="Arial"/>
                <w:sz w:val="20"/>
                <w:szCs w:val="20"/>
                <w:lang w:eastAsia="zh-CN"/>
              </w:rPr>
              <w:t>（</w:t>
            </w:r>
            <w:r>
              <w:rPr>
                <w:rFonts w:ascii="Arial" w:hAnsi="Arial" w:cs="Arial"/>
                <w:sz w:val="20"/>
                <w:szCs w:val="20"/>
              </w:rPr>
              <w:t>i</w:t>
            </w:r>
            <w:r>
              <w:rPr>
                <w:rFonts w:hint="eastAsia" w:ascii="Arial" w:hAnsi="Arial" w:cs="Arial"/>
                <w:sz w:val="20"/>
                <w:szCs w:val="20"/>
                <w:lang w:eastAsia="zh-CN"/>
              </w:rPr>
              <w:t>）</w:t>
            </w:r>
            <w:r>
              <w:rPr>
                <w:rFonts w:ascii="Arial" w:hAnsi="Arial" w:cs="Arial"/>
                <w:sz w:val="20"/>
                <w:szCs w:val="20"/>
              </w:rPr>
              <w:t xml:space="preserve"> 早期影响筛查；</w:t>
            </w:r>
          </w:p>
        </w:tc>
        <w:tc>
          <w:tcPr>
            <w:tcW w:w="3894" w:type="pct"/>
            <w:shd w:val="clear" w:color="auto" w:fill="auto"/>
          </w:tcPr>
          <w:p w14:paraId="12E548BB">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w:t>
            </w:r>
            <w:r>
              <w:rPr>
                <w:rFonts w:hint="eastAsia" w:ascii="Arial" w:hAnsi="Arial" w:cs="Arial"/>
                <w:sz w:val="20"/>
                <w:szCs w:val="20"/>
                <w:lang w:eastAsia="zh-CN"/>
              </w:rPr>
              <w:t>中华人民共和国环境影响评价法</w:t>
            </w:r>
            <w:r>
              <w:rPr>
                <w:rFonts w:ascii="Arial" w:hAnsi="Arial" w:cs="Arial"/>
                <w:sz w:val="20"/>
                <w:szCs w:val="20"/>
              </w:rPr>
              <w:t>》明确要求每个建设项目在立项阶段开展早期筛查、明确环评分类。《建设项目环境影响评价分类管理名录》</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 xml:space="preserve"> 规定了55 个行业、173类项目的具体环评分类指南。该名录综合考虑项目类型、规模、所在地区的环境敏感性，提出了划分重大影响、中等影响和很小影响的划分标准，分别编制环境影响报告书（重大环境影响）、报告表（中等影响）或填报登记表（影响很小）。环境影响识别和环评分类是每个建设项目都必须开展的程序。 </w:t>
            </w:r>
          </w:p>
        </w:tc>
        <w:tc>
          <w:tcPr>
            <w:tcW w:w="572" w:type="pct"/>
            <w:shd w:val="clear" w:color="auto" w:fill="auto"/>
          </w:tcPr>
          <w:p w14:paraId="0123F100">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5EA6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0BF81694">
            <w:pPr>
              <w:adjustRightInd w:val="0"/>
              <w:snapToGrid w:val="0"/>
              <w:rPr>
                <w:rFonts w:ascii="Arial" w:hAnsi="Arial" w:cs="Arial"/>
                <w:sz w:val="20"/>
                <w:szCs w:val="20"/>
              </w:rPr>
            </w:pPr>
          </w:p>
        </w:tc>
        <w:tc>
          <w:tcPr>
            <w:tcW w:w="3894" w:type="pct"/>
            <w:shd w:val="clear" w:color="auto" w:fill="auto"/>
          </w:tcPr>
          <w:p w14:paraId="4786E04A">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w:t>
            </w:r>
            <w:r>
              <w:rPr>
                <w:rFonts w:ascii="Arial" w:hAnsi="Arial" w:cs="Arial"/>
                <w:b/>
                <w:bCs/>
                <w:sz w:val="20"/>
                <w:szCs w:val="20"/>
              </w:rPr>
              <w:t>《关于建立重大决策事项社会稳定风险评估机制指导意见（试行）》：</w:t>
            </w:r>
            <w:r>
              <w:rPr>
                <w:rFonts w:ascii="Arial" w:hAnsi="Arial" w:cs="Arial"/>
                <w:sz w:val="20"/>
                <w:szCs w:val="20"/>
              </w:rPr>
              <w:t>评估范围。凡是直接关系人民群众切身利益且涉及面广、容易引发社会稳定问题的重大决策事项，包括涉及征地拆迁、农民负担、国有企业改制、环境影响、社会保障、公益事业等方面的重大工程项目建设、重大政策制定以及其他对社会稳定有较大影响的重大决策事项，党政机关作出决策前都要进行社会稳定风险评估。需要评估的具体决策事项由各地区各有关部门根据上述规定和实际情况确定。重大工程项目建设需要进行社会稳定风险评估的，应当把社会稳定风险评估作为工程项目可行性研究的重要内容，不再另行评估。</w:t>
            </w:r>
            <w:r>
              <w:rPr>
                <w:rFonts w:ascii="Arial" w:hAnsi="Arial" w:cs="Arial"/>
                <w:b/>
                <w:bCs/>
                <w:sz w:val="20"/>
                <w:szCs w:val="20"/>
              </w:rPr>
              <w:t>《建设项目用地预审管理办法》</w:t>
            </w:r>
            <w:r>
              <w:rPr>
                <w:rFonts w:ascii="Arial" w:hAnsi="Arial" w:cs="Arial"/>
                <w:sz w:val="20"/>
                <w:szCs w:val="20"/>
              </w:rPr>
              <w:t>要求在审批项目可行性研究报告或审核项目建议书前，对拟提供给项目的土地面积和类型进行鉴别，避免项目征用基本农田、自然保护区等土地。</w:t>
            </w:r>
          </w:p>
        </w:tc>
        <w:tc>
          <w:tcPr>
            <w:tcW w:w="572" w:type="pct"/>
            <w:shd w:val="clear" w:color="auto" w:fill="auto"/>
          </w:tcPr>
          <w:p w14:paraId="1C575D63">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5BB9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307E6AA7">
            <w:pPr>
              <w:adjustRightInd w:val="0"/>
              <w:snapToGrid w:val="0"/>
              <w:rPr>
                <w:rFonts w:ascii="Arial" w:hAnsi="Arial" w:cs="Arial"/>
                <w:b/>
                <w:bCs/>
                <w:sz w:val="20"/>
                <w:szCs w:val="20"/>
              </w:rPr>
            </w:pPr>
            <w:r>
              <w:rPr>
                <w:rFonts w:hint="eastAsia" w:ascii="Arial" w:hAnsi="Arial" w:cs="Arial"/>
                <w:sz w:val="20"/>
                <w:szCs w:val="20"/>
                <w:lang w:eastAsia="zh-CN"/>
              </w:rPr>
              <w:t>（ⅱ）</w:t>
            </w:r>
            <w:r>
              <w:rPr>
                <w:rFonts w:ascii="Arial" w:hAnsi="Arial" w:cs="Arial"/>
                <w:sz w:val="20"/>
                <w:szCs w:val="20"/>
              </w:rPr>
              <w:t xml:space="preserve"> 考虑战略、技术和场地备选方案（包括无项目方案）；</w:t>
            </w:r>
          </w:p>
        </w:tc>
        <w:tc>
          <w:tcPr>
            <w:tcW w:w="3894" w:type="pct"/>
            <w:shd w:val="clear" w:color="auto" w:fill="auto"/>
          </w:tcPr>
          <w:p w14:paraId="7CCE497A">
            <w:pPr>
              <w:adjustRightInd w:val="0"/>
              <w:snapToGrid w:val="0"/>
              <w:rPr>
                <w:rFonts w:ascii="Arial" w:hAnsi="Arial" w:cs="Arial"/>
                <w:b/>
                <w:bCs/>
                <w:sz w:val="20"/>
                <w:szCs w:val="20"/>
              </w:rPr>
            </w:pPr>
            <w:r>
              <w:rPr>
                <w:rFonts w:ascii="Arial" w:hAnsi="Arial" w:cs="Arial"/>
                <w:b/>
                <w:bCs/>
                <w:sz w:val="20"/>
                <w:szCs w:val="20"/>
              </w:rPr>
              <w:t>环境</w:t>
            </w:r>
            <w:r>
              <w:rPr>
                <w:rFonts w:ascii="Arial" w:hAnsi="Arial" w:cs="Arial"/>
                <w:sz w:val="20"/>
                <w:szCs w:val="20"/>
              </w:rPr>
              <w:t>：在建设项目环评中，要求对建设方案开展环境条件比选，尤其是涉及环境敏感区的情况；同时从选线或选址、污染防治措施或处理工艺、环境经济效益和损失等多方面进行不同方案比选。环评还会对历史遗留环境问题进行回顾，说明在不开展拟定规划或拟建项目的情况下环境状况将继续变差的情况，这项工作相当于“无项目”方案分析比选。</w:t>
            </w:r>
          </w:p>
        </w:tc>
        <w:tc>
          <w:tcPr>
            <w:tcW w:w="572" w:type="pct"/>
            <w:shd w:val="clear" w:color="auto" w:fill="auto"/>
          </w:tcPr>
          <w:p w14:paraId="10E5D219">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3C7E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7EC01469">
            <w:pPr>
              <w:adjustRightInd w:val="0"/>
              <w:snapToGrid w:val="0"/>
              <w:rPr>
                <w:rFonts w:ascii="Arial" w:hAnsi="Arial" w:cs="Arial"/>
                <w:sz w:val="20"/>
                <w:szCs w:val="20"/>
              </w:rPr>
            </w:pPr>
          </w:p>
        </w:tc>
        <w:tc>
          <w:tcPr>
            <w:tcW w:w="3894" w:type="pct"/>
            <w:shd w:val="clear" w:color="auto" w:fill="auto"/>
          </w:tcPr>
          <w:p w14:paraId="29DC0B96">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w:t>
            </w:r>
            <w:r>
              <w:rPr>
                <w:rFonts w:ascii="Arial" w:hAnsi="Arial" w:cs="Arial"/>
                <w:b/>
                <w:bCs/>
                <w:sz w:val="20"/>
                <w:szCs w:val="20"/>
              </w:rPr>
              <w:t>《</w:t>
            </w:r>
            <w:r>
              <w:rPr>
                <w:rFonts w:hint="eastAsia" w:ascii="Arial" w:hAnsi="Arial" w:cs="Arial"/>
                <w:b/>
                <w:bCs/>
                <w:sz w:val="20"/>
                <w:szCs w:val="20"/>
                <w:lang w:eastAsia="zh-CN"/>
              </w:rPr>
              <w:t>中华人民共和国文物保护法》第二十条</w:t>
            </w:r>
            <w:r>
              <w:rPr>
                <w:rFonts w:ascii="Arial" w:hAnsi="Arial" w:cs="Arial"/>
                <w:b/>
                <w:bCs/>
                <w:sz w:val="20"/>
                <w:szCs w:val="20"/>
              </w:rPr>
              <w:t>：</w:t>
            </w:r>
            <w:r>
              <w:rPr>
                <w:rFonts w:ascii="Arial" w:hAnsi="Arial" w:cs="Arial"/>
                <w:sz w:val="20"/>
                <w:szCs w:val="20"/>
              </w:rPr>
              <w:t>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w:t>
            </w:r>
            <w:r>
              <w:rPr>
                <w:rFonts w:ascii="Arial" w:hAnsi="Arial" w:cs="Arial"/>
                <w:b/>
                <w:bCs/>
                <w:sz w:val="20"/>
                <w:szCs w:val="20"/>
              </w:rPr>
              <w:t>《地质灾害防治条例》</w:t>
            </w:r>
            <w:r>
              <w:rPr>
                <w:rFonts w:hint="eastAsia" w:ascii="Arial" w:hAnsi="Arial" w:cs="Arial"/>
                <w:b/>
                <w:bCs/>
                <w:sz w:val="20"/>
                <w:szCs w:val="20"/>
                <w:lang w:eastAsia="zh-CN"/>
              </w:rPr>
              <w:t>第十三条</w:t>
            </w:r>
            <w:r>
              <w:rPr>
                <w:rFonts w:ascii="Arial" w:hAnsi="Arial" w:cs="Arial"/>
                <w:sz w:val="20"/>
                <w:szCs w:val="20"/>
              </w:rPr>
              <w:t>，制定和实施土地利用总体规划等重大建设工程项目规划，应当充分考虑地质灾害防治要求，避免和减轻地质灾害造成的损失。编制城市总体规划、村庄和集镇规划，应当将地质灾害防治规划作为其组成部分。</w:t>
            </w:r>
          </w:p>
        </w:tc>
        <w:tc>
          <w:tcPr>
            <w:tcW w:w="572" w:type="pct"/>
            <w:shd w:val="clear" w:color="auto" w:fill="auto"/>
          </w:tcPr>
          <w:p w14:paraId="79B554AD">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0363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5A172DA5">
            <w:pPr>
              <w:adjustRightInd w:val="0"/>
              <w:snapToGrid w:val="0"/>
              <w:rPr>
                <w:rFonts w:ascii="Arial" w:hAnsi="Arial" w:cs="Arial"/>
                <w:b/>
                <w:bCs/>
                <w:sz w:val="20"/>
                <w:szCs w:val="20"/>
              </w:rPr>
            </w:pPr>
            <w:r>
              <w:rPr>
                <w:rFonts w:hint="eastAsia" w:ascii="Arial" w:hAnsi="Arial" w:cs="Arial"/>
                <w:sz w:val="20"/>
                <w:szCs w:val="20"/>
                <w:lang w:eastAsia="zh-CN"/>
              </w:rPr>
              <w:t>（ⅲ）</w:t>
            </w:r>
            <w:r>
              <w:rPr>
                <w:rFonts w:ascii="Arial" w:hAnsi="Arial" w:cs="Arial"/>
                <w:sz w:val="20"/>
                <w:szCs w:val="20"/>
              </w:rPr>
              <w:t xml:space="preserve"> 诱发、累积和跨境影响评价；</w:t>
            </w:r>
          </w:p>
        </w:tc>
        <w:tc>
          <w:tcPr>
            <w:tcW w:w="3894" w:type="pct"/>
            <w:shd w:val="clear" w:color="auto" w:fill="auto"/>
          </w:tcPr>
          <w:p w14:paraId="463EE7E9">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w:t>
            </w:r>
            <w:r>
              <w:rPr>
                <w:rFonts w:ascii="Arial" w:hAnsi="Arial" w:cs="Arial"/>
                <w:bCs/>
                <w:sz w:val="20"/>
                <w:szCs w:val="20"/>
              </w:rPr>
              <w:t>当开展建设项目环评时，根据《建设项目环境影响评价技术导则》，若排放污染物对环境存在累积影响，应预测项目实施在时间和空间上的累积环境影响。</w:t>
            </w:r>
          </w:p>
        </w:tc>
        <w:tc>
          <w:tcPr>
            <w:tcW w:w="572" w:type="pct"/>
            <w:shd w:val="clear" w:color="auto" w:fill="auto"/>
          </w:tcPr>
          <w:p w14:paraId="7653AEBB">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4BFD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10DBBE54">
            <w:pPr>
              <w:adjustRightInd w:val="0"/>
              <w:snapToGrid w:val="0"/>
              <w:rPr>
                <w:rFonts w:ascii="Arial" w:hAnsi="Arial" w:cs="Arial"/>
                <w:sz w:val="20"/>
                <w:szCs w:val="20"/>
              </w:rPr>
            </w:pPr>
          </w:p>
        </w:tc>
        <w:tc>
          <w:tcPr>
            <w:tcW w:w="3894" w:type="pct"/>
            <w:shd w:val="clear" w:color="auto" w:fill="auto"/>
          </w:tcPr>
          <w:p w14:paraId="592166FE">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：《重大固定资产投资项目社会稳定风险分析篇章和评估报告编制大纲（试行）的通知（发改办投资</w:t>
            </w:r>
            <w:r>
              <w:rPr>
                <w:rFonts w:hint="eastAsia" w:ascii="Arial" w:hAnsi="Arial" w:cs="Arial"/>
                <w:sz w:val="20"/>
                <w:szCs w:val="20"/>
                <w:lang w:eastAsia="zh-CN"/>
              </w:rPr>
              <w:t>〔2013〕428号</w:t>
            </w:r>
            <w:r>
              <w:rPr>
                <w:rFonts w:ascii="Arial" w:hAnsi="Arial" w:cs="Arial"/>
                <w:sz w:val="20"/>
                <w:szCs w:val="20"/>
              </w:rPr>
              <w:t>）》：项目单位在开展《社会稳定评估》时，要对累积性、诱发性社会风险进行分析，并采取有效管理措施。</w:t>
            </w:r>
          </w:p>
        </w:tc>
        <w:tc>
          <w:tcPr>
            <w:tcW w:w="572" w:type="pct"/>
            <w:shd w:val="clear" w:color="auto" w:fill="auto"/>
          </w:tcPr>
          <w:p w14:paraId="71790D3D">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01EA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653069CF">
            <w:pPr>
              <w:adjustRightInd w:val="0"/>
              <w:snapToGrid w:val="0"/>
              <w:rPr>
                <w:rFonts w:ascii="Arial" w:hAnsi="Arial" w:cs="Arial"/>
                <w:b/>
                <w:bCs/>
                <w:sz w:val="20"/>
                <w:szCs w:val="20"/>
              </w:rPr>
            </w:pPr>
            <w:r>
              <w:rPr>
                <w:rFonts w:hint="eastAsia" w:ascii="Arial" w:hAnsi="Arial" w:cs="Arial"/>
                <w:sz w:val="20"/>
                <w:szCs w:val="20"/>
                <w:lang w:eastAsia="zh-CN"/>
              </w:rPr>
              <w:t>（ⅳ）</w:t>
            </w:r>
            <w:r>
              <w:rPr>
                <w:rFonts w:ascii="Arial" w:hAnsi="Arial" w:cs="Arial"/>
                <w:sz w:val="20"/>
                <w:szCs w:val="20"/>
              </w:rPr>
              <w:t xml:space="preserve"> 制定措施避免、减少和减缓环境影响；</w:t>
            </w:r>
          </w:p>
        </w:tc>
        <w:tc>
          <w:tcPr>
            <w:tcW w:w="3894" w:type="pct"/>
            <w:shd w:val="clear" w:color="auto" w:fill="auto"/>
          </w:tcPr>
          <w:p w14:paraId="0D58155A">
            <w:pPr>
              <w:adjustRightInd w:val="0"/>
              <w:snapToGrid w:val="0"/>
              <w:rPr>
                <w:rFonts w:ascii="Arial" w:hAnsi="Arial" w:cs="Arial"/>
                <w:b/>
                <w:bCs/>
                <w:sz w:val="20"/>
                <w:szCs w:val="20"/>
              </w:rPr>
            </w:pPr>
            <w:r>
              <w:rPr>
                <w:rFonts w:ascii="Arial" w:hAnsi="Arial" w:cs="Arial"/>
                <w:b/>
                <w:bCs/>
                <w:sz w:val="20"/>
                <w:szCs w:val="20"/>
              </w:rPr>
              <w:t>环境</w:t>
            </w:r>
            <w:r>
              <w:rPr>
                <w:rFonts w:ascii="Arial" w:hAnsi="Arial" w:cs="Arial"/>
                <w:sz w:val="20"/>
                <w:szCs w:val="20"/>
              </w:rPr>
              <w:t>：《</w:t>
            </w:r>
            <w:r>
              <w:rPr>
                <w:rFonts w:hint="eastAsia" w:ascii="Arial" w:hAnsi="Arial" w:cs="Arial"/>
                <w:sz w:val="20"/>
                <w:szCs w:val="20"/>
                <w:lang w:eastAsia="zh-CN"/>
              </w:rPr>
              <w:t>中华人民共和国环境影响评价法</w:t>
            </w:r>
            <w:r>
              <w:rPr>
                <w:rFonts w:ascii="Arial" w:hAnsi="Arial" w:cs="Arial"/>
                <w:sz w:val="20"/>
                <w:szCs w:val="20"/>
              </w:rPr>
              <w:t>》明确要求建设项目的环评要提出预防或者减轻不良环境影响的对策和措施。按照《</w:t>
            </w:r>
            <w:r>
              <w:rPr>
                <w:rFonts w:ascii="Arial" w:hAnsi="Arial" w:cs="Arial"/>
                <w:bCs/>
                <w:sz w:val="20"/>
                <w:szCs w:val="20"/>
              </w:rPr>
              <w:t>环境影响评价技术导则</w:t>
            </w:r>
            <w:r>
              <w:rPr>
                <w:rFonts w:ascii="Arial" w:hAnsi="Arial" w:cs="Arial"/>
                <w:sz w:val="20"/>
                <w:szCs w:val="20"/>
              </w:rPr>
              <w:t>》的要求，环评文件中都会根据具体的环境影响制定有针对性和可操作性的环保措施，并纳入环境管理计划。环评文件没有适当的环保措施和实施安排不会通过审批。</w:t>
            </w:r>
          </w:p>
        </w:tc>
        <w:tc>
          <w:tcPr>
            <w:tcW w:w="572" w:type="pct"/>
            <w:shd w:val="clear" w:color="auto" w:fill="auto"/>
          </w:tcPr>
          <w:p w14:paraId="0737C76F">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21116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22277EA3">
            <w:pPr>
              <w:adjustRightInd w:val="0"/>
              <w:snapToGrid w:val="0"/>
              <w:rPr>
                <w:rFonts w:ascii="Arial" w:hAnsi="Arial" w:cs="Arial"/>
                <w:sz w:val="20"/>
                <w:szCs w:val="20"/>
              </w:rPr>
            </w:pPr>
          </w:p>
        </w:tc>
        <w:tc>
          <w:tcPr>
            <w:tcW w:w="3894" w:type="pct"/>
            <w:shd w:val="clear" w:color="auto" w:fill="auto"/>
          </w:tcPr>
          <w:p w14:paraId="6031F71A">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w:t>
            </w:r>
            <w:r>
              <w:rPr>
                <w:rFonts w:ascii="Arial" w:hAnsi="Arial" w:cs="Arial"/>
                <w:b/>
                <w:bCs/>
                <w:sz w:val="20"/>
                <w:szCs w:val="20"/>
              </w:rPr>
              <w:t>《关于建立重大决策事项社会稳定风险评估机制指导意见（试行）》：</w:t>
            </w:r>
            <w:r>
              <w:rPr>
                <w:rFonts w:ascii="Arial" w:hAnsi="Arial" w:cs="Arial"/>
                <w:sz w:val="20"/>
                <w:szCs w:val="20"/>
              </w:rPr>
              <w:t>评估报告应当包括评估事项和评估过程，各方意见及其采纳情况，决策可能引发的社会稳定风险，风险评估结论和对策建议，风险防范和化解措施以及应急处置预案等内容。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评估报告由评估主体主要负责人签字后报送决策机关，需要多级党政机关决策的要逐级上报，并抄送决策实施部门和政法、综治、维稳、法制、信访等有关部门。</w:t>
            </w:r>
          </w:p>
        </w:tc>
        <w:tc>
          <w:tcPr>
            <w:tcW w:w="572" w:type="pct"/>
            <w:shd w:val="clear" w:color="auto" w:fill="auto"/>
          </w:tcPr>
          <w:p w14:paraId="77E180A6">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22C6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33FD9DF9">
            <w:pPr>
              <w:adjustRightInd w:val="0"/>
              <w:snapToGrid w:val="0"/>
              <w:rPr>
                <w:rFonts w:ascii="Arial" w:hAnsi="Arial" w:cs="Arial"/>
                <w:sz w:val="20"/>
                <w:szCs w:val="20"/>
              </w:rPr>
            </w:pPr>
            <w:r>
              <w:rPr>
                <w:rFonts w:hint="eastAsia" w:ascii="Arial" w:hAnsi="Arial" w:cs="Arial"/>
                <w:sz w:val="20"/>
                <w:szCs w:val="20"/>
                <w:lang w:eastAsia="zh-CN"/>
              </w:rPr>
              <w:t>（</w:t>
            </w:r>
            <w:r>
              <w:rPr>
                <w:rFonts w:ascii="Arial" w:hAnsi="Arial" w:cs="Arial"/>
                <w:sz w:val="20"/>
                <w:szCs w:val="20"/>
              </w:rPr>
              <w:t>v</w:t>
            </w:r>
            <w:r>
              <w:rPr>
                <w:rFonts w:hint="eastAsia" w:ascii="Arial" w:hAnsi="Arial" w:cs="Arial"/>
                <w:sz w:val="20"/>
                <w:szCs w:val="20"/>
                <w:lang w:eastAsia="zh-CN"/>
              </w:rPr>
              <w:t>）</w:t>
            </w:r>
            <w:r>
              <w:rPr>
                <w:rFonts w:ascii="Arial" w:hAnsi="Arial" w:cs="Arial"/>
                <w:sz w:val="20"/>
                <w:szCs w:val="20"/>
              </w:rPr>
              <w:t xml:space="preserve"> 明确实施减缓措施的机构职责和资源预算；</w:t>
            </w:r>
          </w:p>
        </w:tc>
        <w:tc>
          <w:tcPr>
            <w:tcW w:w="3894" w:type="pct"/>
            <w:shd w:val="clear" w:color="auto" w:fill="auto"/>
          </w:tcPr>
          <w:p w14:paraId="23A22822">
            <w:pPr>
              <w:adjustRightInd w:val="0"/>
              <w:snapToGrid w:val="0"/>
              <w:rPr>
                <w:rFonts w:ascii="Arial" w:hAnsi="Arial" w:cs="Arial"/>
                <w:b/>
                <w:bCs/>
                <w:sz w:val="20"/>
                <w:szCs w:val="20"/>
              </w:rPr>
            </w:pPr>
            <w:r>
              <w:rPr>
                <w:rFonts w:ascii="Arial" w:hAnsi="Arial" w:cs="Arial"/>
                <w:b/>
                <w:bCs/>
                <w:sz w:val="20"/>
                <w:szCs w:val="20"/>
              </w:rPr>
              <w:t>环境</w:t>
            </w:r>
            <w:r>
              <w:rPr>
                <w:rFonts w:ascii="Arial" w:hAnsi="Arial" w:cs="Arial"/>
                <w:sz w:val="20"/>
                <w:szCs w:val="20"/>
              </w:rPr>
              <w:t>：《</w:t>
            </w:r>
            <w:r>
              <w:rPr>
                <w:rFonts w:ascii="Arial" w:hAnsi="Arial" w:cs="Arial"/>
                <w:bCs/>
                <w:sz w:val="20"/>
                <w:szCs w:val="20"/>
              </w:rPr>
              <w:t>环境影响评价技术导则</w:t>
            </w:r>
            <w:r>
              <w:rPr>
                <w:rFonts w:ascii="Arial" w:hAnsi="Arial" w:cs="Arial"/>
                <w:sz w:val="20"/>
                <w:szCs w:val="20"/>
              </w:rPr>
              <w:t>》要求环评文件明确各项环保措施的管理机构、责任与分工、投资估算和资金来源，并制定监测与监管安排，包括内容、指标、时间、频率等。</w:t>
            </w:r>
          </w:p>
        </w:tc>
        <w:tc>
          <w:tcPr>
            <w:tcW w:w="572" w:type="pct"/>
            <w:shd w:val="clear" w:color="auto" w:fill="auto"/>
          </w:tcPr>
          <w:p w14:paraId="1EEA6F8E">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03BF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2CA4EDE0">
            <w:pPr>
              <w:adjustRightInd w:val="0"/>
              <w:snapToGrid w:val="0"/>
              <w:rPr>
                <w:rFonts w:ascii="Arial" w:hAnsi="Arial" w:cs="Arial"/>
                <w:sz w:val="20"/>
                <w:szCs w:val="20"/>
              </w:rPr>
            </w:pPr>
          </w:p>
        </w:tc>
        <w:tc>
          <w:tcPr>
            <w:tcW w:w="3894" w:type="pct"/>
            <w:shd w:val="clear" w:color="auto" w:fill="auto"/>
          </w:tcPr>
          <w:p w14:paraId="4E4669C4">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w:t>
            </w:r>
            <w:r>
              <w:rPr>
                <w:rFonts w:ascii="Arial" w:hAnsi="Arial" w:cs="Arial"/>
                <w:b/>
                <w:bCs/>
                <w:sz w:val="20"/>
                <w:szCs w:val="20"/>
              </w:rPr>
              <w:t>《关于建立重大决策事项社会稳定风险评估机制指导意见（试行）》：</w:t>
            </w:r>
            <w:r>
              <w:rPr>
                <w:rFonts w:ascii="Arial" w:hAnsi="Arial" w:cs="Arial"/>
                <w:sz w:val="20"/>
                <w:szCs w:val="20"/>
              </w:rPr>
              <w:t>评估主体。重大决策社会稳定风险评估工作由评估主体组织实施。地方党委和政府作出决策的，由党委和政府指定的部门作为评估主体。党委和政府有关部门作出决策的，由该部门或者牵头部门商其他有关部门指定的机构作为评估主体。需要多级党政机关作出决策的，由初次决策的机关指定评估主体，不重复评估。根据工作需要，评估主体可以组成由政法、综治、维稳、法制、信访等有关部门，有关社会组织、专业机构、专家学者，以及决策所涉及群众代表等参加的评估小区进行评估。</w:t>
            </w:r>
            <w:r>
              <w:rPr>
                <w:rFonts w:ascii="Arial" w:hAnsi="Arial" w:cs="Arial"/>
                <w:b/>
                <w:bCs/>
                <w:sz w:val="20"/>
                <w:szCs w:val="20"/>
              </w:rPr>
              <w:t>《国家发展改革委关于印发国家发展改革委重大固定资产投资项目社会稳定风险评估暂行办法的通知》</w:t>
            </w:r>
            <w:r>
              <w:rPr>
                <w:rFonts w:hint="eastAsia" w:ascii="Arial" w:hAnsi="Arial" w:cs="Arial"/>
                <w:b/>
                <w:bCs/>
                <w:sz w:val="20"/>
                <w:szCs w:val="20"/>
                <w:lang w:eastAsia="zh-CN"/>
              </w:rPr>
              <w:t>第三条，在</w:t>
            </w:r>
            <w:r>
              <w:rPr>
                <w:rFonts w:ascii="Arial" w:hAnsi="Arial" w:cs="Arial"/>
                <w:sz w:val="20"/>
                <w:szCs w:val="20"/>
              </w:rPr>
              <w:t>项目可行性研究阶段，实施单位（委托专业机构）开展社会风险评价，进行影响识别、公众咨询、提出减缓措施并编制《项目社会稳定性风险评价》。</w:t>
            </w:r>
            <w:r>
              <w:rPr>
                <w:rFonts w:ascii="Arial" w:hAnsi="Arial" w:cs="Arial"/>
                <w:b/>
                <w:bCs/>
                <w:sz w:val="20"/>
                <w:szCs w:val="20"/>
              </w:rPr>
              <w:t>《</w:t>
            </w:r>
            <w:r>
              <w:rPr>
                <w:rFonts w:hint="eastAsia" w:ascii="Arial" w:hAnsi="Arial" w:cs="Arial"/>
                <w:b/>
                <w:bCs/>
                <w:sz w:val="20"/>
                <w:szCs w:val="20"/>
                <w:lang w:eastAsia="zh-CN"/>
              </w:rPr>
              <w:t>中华人民共和国土地管理法实施条例</w:t>
            </w:r>
            <w:r>
              <w:rPr>
                <w:rFonts w:ascii="Arial" w:hAnsi="Arial" w:cs="Arial"/>
                <w:b/>
                <w:bCs/>
                <w:sz w:val="20"/>
                <w:szCs w:val="20"/>
              </w:rPr>
              <w:t>》</w:t>
            </w:r>
            <w:r>
              <w:rPr>
                <w:rFonts w:hint="eastAsia" w:ascii="Arial" w:hAnsi="Arial" w:cs="Arial"/>
                <w:b/>
                <w:bCs/>
                <w:sz w:val="20"/>
                <w:szCs w:val="20"/>
                <w:lang w:eastAsia="zh-CN"/>
              </w:rPr>
              <w:t>第二十五条</w:t>
            </w:r>
            <w:r>
              <w:rPr>
                <w:rFonts w:ascii="Arial" w:hAnsi="Arial" w:cs="Arial"/>
                <w:b/>
                <w:bCs/>
                <w:sz w:val="20"/>
                <w:szCs w:val="20"/>
              </w:rPr>
              <w:t>，</w:t>
            </w:r>
            <w:r>
              <w:rPr>
                <w:rFonts w:ascii="Arial" w:hAnsi="Arial" w:cs="Arial"/>
                <w:sz w:val="20"/>
                <w:szCs w:val="20"/>
              </w:rPr>
              <w:t>市、县人民政府土地行政主管部门根据经批准的征收土地方案，会同有关部门拟订征地补偿、安置方案，在被征收土地所在地的乡（镇）、村予以公告，听取被征收土地的农村集体经济组织和农民的意见。征收土地的各项费用应当自征地补偿、安置方案批准之日起3个月内全额支付。</w:t>
            </w:r>
          </w:p>
        </w:tc>
        <w:tc>
          <w:tcPr>
            <w:tcW w:w="572" w:type="pct"/>
            <w:shd w:val="clear" w:color="auto" w:fill="auto"/>
          </w:tcPr>
          <w:p w14:paraId="7E54514D">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691E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75F33118">
            <w:pPr>
              <w:adjustRightInd w:val="0"/>
              <w:snapToGrid w:val="0"/>
              <w:rPr>
                <w:rFonts w:ascii="Arial" w:hAnsi="Arial" w:cs="Arial"/>
                <w:sz w:val="20"/>
                <w:szCs w:val="20"/>
              </w:rPr>
            </w:pPr>
            <w:r>
              <w:rPr>
                <w:rFonts w:hint="eastAsia" w:ascii="Arial" w:hAnsi="Arial" w:cs="Arial"/>
                <w:sz w:val="20"/>
                <w:szCs w:val="20"/>
                <w:lang w:eastAsia="zh-CN"/>
              </w:rPr>
              <w:t>（</w:t>
            </w:r>
            <w:r>
              <w:rPr>
                <w:rFonts w:ascii="Arial" w:hAnsi="Arial" w:cs="Arial"/>
                <w:sz w:val="20"/>
                <w:szCs w:val="20"/>
              </w:rPr>
              <w:t>vi</w:t>
            </w:r>
            <w:r>
              <w:rPr>
                <w:rFonts w:hint="eastAsia" w:ascii="Arial" w:hAnsi="Arial" w:cs="Arial"/>
                <w:sz w:val="20"/>
                <w:szCs w:val="20"/>
                <w:lang w:eastAsia="zh-CN"/>
              </w:rPr>
              <w:t>）</w:t>
            </w:r>
            <w:r>
              <w:rPr>
                <w:rFonts w:ascii="Arial" w:hAnsi="Arial" w:cs="Arial"/>
                <w:sz w:val="20"/>
                <w:szCs w:val="20"/>
              </w:rPr>
              <w:t xml:space="preserve"> 通过公众参与、信息发布和投诉机制，听取公众意见。</w:t>
            </w:r>
          </w:p>
        </w:tc>
        <w:tc>
          <w:tcPr>
            <w:tcW w:w="3894" w:type="pct"/>
            <w:shd w:val="clear" w:color="auto" w:fill="auto"/>
          </w:tcPr>
          <w:p w14:paraId="0DAF6759">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w:t>
            </w:r>
            <w:r>
              <w:rPr>
                <w:rFonts w:hint="eastAsia" w:ascii="Arial" w:hAnsi="Arial" w:cs="Arial"/>
                <w:sz w:val="20"/>
                <w:szCs w:val="20"/>
                <w:lang w:eastAsia="zh-CN"/>
              </w:rPr>
              <w:t>中华人民共和国环境影响评价法</w:t>
            </w:r>
            <w:r>
              <w:rPr>
                <w:rFonts w:ascii="Arial" w:hAnsi="Arial" w:cs="Arial"/>
                <w:sz w:val="20"/>
                <w:szCs w:val="20"/>
              </w:rPr>
              <w:t>》要求依法应当编制环境影响报告书的建设项目环评，应开展公众参与。对于需要编制报告表的项目，法律法规没有强制要求开展公众参与，但在实际操作中针对可能对周边敏感点产生影响（比如粪污处理设施产生恶臭）的报告表项目，地方生态环境部门一般会要求或建议建设单位开展公众参与活动。《建设项目环境影响评价信息公开机制方案》要求建设单位对项目选址、建设、运营全过程环境信息公开；生态环境部门应公开报告书/报告表的受理、审查、审批情况以及项目全过程监管信息。</w:t>
            </w:r>
          </w:p>
        </w:tc>
        <w:tc>
          <w:tcPr>
            <w:tcW w:w="572" w:type="pct"/>
            <w:shd w:val="clear" w:color="auto" w:fill="auto"/>
          </w:tcPr>
          <w:p w14:paraId="1D1C7E1A">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r w14:paraId="641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4EF560D8">
            <w:pPr>
              <w:adjustRightInd w:val="0"/>
              <w:snapToGrid w:val="0"/>
              <w:rPr>
                <w:rFonts w:ascii="Arial" w:hAnsi="Arial" w:cs="Arial"/>
                <w:sz w:val="20"/>
                <w:szCs w:val="20"/>
              </w:rPr>
            </w:pPr>
          </w:p>
        </w:tc>
        <w:tc>
          <w:tcPr>
            <w:tcW w:w="3894" w:type="pct"/>
            <w:shd w:val="clear" w:color="auto" w:fill="auto"/>
          </w:tcPr>
          <w:p w14:paraId="369114C9">
            <w:pPr>
              <w:adjustRightInd w:val="0"/>
              <w:snapToGrid w:val="0"/>
              <w:rPr>
                <w:rFonts w:ascii="Arial" w:hAnsi="Arial" w:cs="Arial"/>
                <w:b/>
                <w:bCs/>
                <w:sz w:val="20"/>
                <w:szCs w:val="20"/>
              </w:rPr>
            </w:pPr>
            <w:r>
              <w:rPr>
                <w:rFonts w:ascii="Arial" w:hAnsi="Arial" w:cs="Arial"/>
                <w:b/>
                <w:bCs/>
                <w:sz w:val="20"/>
                <w:szCs w:val="20"/>
              </w:rPr>
              <w:t>社会</w:t>
            </w:r>
            <w:r>
              <w:rPr>
                <w:rFonts w:ascii="Arial" w:hAnsi="Arial" w:cs="Arial"/>
                <w:sz w:val="20"/>
                <w:szCs w:val="20"/>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第四十七条</w:t>
            </w:r>
            <w:r>
              <w:rPr>
                <w:rFonts w:ascii="Arial" w:hAnsi="Arial" w:cs="Arial"/>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被征地的农村集体经济组织及其成员、村民委员会和其他利害关系人的意见。</w:t>
            </w:r>
          </w:p>
        </w:tc>
        <w:tc>
          <w:tcPr>
            <w:tcW w:w="572" w:type="pct"/>
            <w:shd w:val="clear" w:color="auto" w:fill="auto"/>
          </w:tcPr>
          <w:p w14:paraId="3BB6850A">
            <w:pPr>
              <w:pStyle w:val="66"/>
              <w:tabs>
                <w:tab w:val="clear" w:pos="540"/>
              </w:tabs>
              <w:adjustRightInd w:val="0"/>
              <w:snapToGrid w:val="0"/>
              <w:spacing w:before="0" w:after="0"/>
              <w:rPr>
                <w:rFonts w:ascii="Arial" w:hAnsi="Arial" w:eastAsia="宋体" w:cs="Arial"/>
                <w:sz w:val="20"/>
                <w:szCs w:val="20"/>
                <w:lang w:eastAsia="zh-CN"/>
              </w:rPr>
            </w:pPr>
            <w:r>
              <w:rPr>
                <w:rFonts w:ascii="Arial" w:hAnsi="Arial" w:eastAsia="宋体" w:cs="Arial"/>
                <w:sz w:val="20"/>
                <w:szCs w:val="20"/>
                <w:lang w:eastAsia="zh-CN"/>
              </w:rPr>
              <w:t>一致。</w:t>
            </w:r>
          </w:p>
        </w:tc>
      </w:tr>
    </w:tbl>
    <w:p w14:paraId="6F6F2597">
      <w:pPr>
        <w:adjustRightInd w:val="0"/>
        <w:snapToGrid w:val="0"/>
        <w:rPr>
          <w:rFonts w:ascii="Arial" w:hAnsi="Arial" w:cs="Arial"/>
          <w:sz w:val="20"/>
          <w:szCs w:val="20"/>
        </w:rPr>
      </w:pPr>
    </w:p>
    <w:p w14:paraId="16020553">
      <w:pPr>
        <w:adjustRightInd w:val="0"/>
        <w:snapToGrid w:val="0"/>
        <w:rPr>
          <w:rFonts w:ascii="Arial" w:hAnsi="Arial" w:cs="Arial"/>
          <w:sz w:val="20"/>
          <w:szCs w:val="20"/>
        </w:rPr>
      </w:pPr>
      <w:r>
        <w:rPr>
          <w:rFonts w:ascii="Arial" w:hAnsi="Arial" w:cs="Arial"/>
          <w:b/>
          <w:bCs/>
          <w:color w:val="1F4E79" w:themeColor="accent5" w:themeShade="80"/>
          <w:sz w:val="20"/>
          <w:szCs w:val="20"/>
        </w:rPr>
        <w:t>核心原则2</w:t>
      </w:r>
      <w:r>
        <w:rPr>
          <w:rFonts w:ascii="Arial" w:hAnsi="Arial" w:cs="Arial"/>
          <w:b/>
          <w:bCs/>
          <w:sz w:val="20"/>
          <w:szCs w:val="20"/>
        </w:rPr>
        <w:t>：</w:t>
      </w:r>
      <w:r>
        <w:rPr>
          <w:rFonts w:ascii="Arial" w:hAnsi="Arial" w:cs="Arial"/>
          <w:sz w:val="20"/>
          <w:szCs w:val="20"/>
        </w:rPr>
        <w:t>项目的环境与社会管理系统应该能够避免、减少或缓解本项目活动对自然栖息地和物质文化资源的不利影响。使重要自然栖息地或重要物质文化遗产产生重大转变或退化的项目活动不符合PforR融资条件。</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62"/>
        <w:gridCol w:w="11391"/>
        <w:gridCol w:w="1673"/>
      </w:tblGrid>
      <w:tr w14:paraId="3B26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34" w:type="pct"/>
            <w:shd w:val="clear" w:color="auto" w:fill="auto"/>
          </w:tcPr>
          <w:p w14:paraId="6692F12E">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894" w:type="pct"/>
            <w:shd w:val="clear" w:color="auto" w:fill="auto"/>
          </w:tcPr>
          <w:p w14:paraId="2E3B5C1C">
            <w:pPr>
              <w:adjustRightInd w:val="0"/>
              <w:snapToGrid w:val="0"/>
              <w:jc w:val="center"/>
              <w:rPr>
                <w:rFonts w:ascii="Arial" w:hAnsi="Arial" w:cs="Arial"/>
                <w:b/>
                <w:bCs/>
                <w:sz w:val="20"/>
                <w:szCs w:val="20"/>
              </w:rPr>
            </w:pPr>
            <w:r>
              <w:rPr>
                <w:rFonts w:ascii="Arial" w:hAnsi="Arial" w:cs="Arial"/>
                <w:b/>
                <w:bCs/>
                <w:sz w:val="20"/>
                <w:szCs w:val="20"/>
              </w:rPr>
              <w:t>中国环境与社会管理系统</w:t>
            </w:r>
          </w:p>
        </w:tc>
        <w:tc>
          <w:tcPr>
            <w:tcW w:w="572" w:type="pct"/>
            <w:shd w:val="clear" w:color="auto" w:fill="auto"/>
          </w:tcPr>
          <w:p w14:paraId="36497550">
            <w:pPr>
              <w:adjustRightInd w:val="0"/>
              <w:snapToGrid w:val="0"/>
              <w:jc w:val="center"/>
              <w:rPr>
                <w:rFonts w:ascii="Arial" w:hAnsi="Arial" w:cs="Arial"/>
                <w:b/>
                <w:bCs/>
                <w:sz w:val="20"/>
                <w:szCs w:val="20"/>
              </w:rPr>
            </w:pPr>
            <w:r>
              <w:rPr>
                <w:rFonts w:ascii="Arial" w:hAnsi="Arial" w:cs="Arial"/>
                <w:b/>
                <w:bCs/>
                <w:sz w:val="20"/>
                <w:szCs w:val="20"/>
              </w:rPr>
              <w:t>一致性分析与建议</w:t>
            </w:r>
          </w:p>
        </w:tc>
      </w:tr>
      <w:tr w14:paraId="3A2A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4A741A2A">
            <w:pPr>
              <w:adjustRightInd w:val="0"/>
              <w:snapToGrid w:val="0"/>
              <w:rPr>
                <w:rFonts w:ascii="Arial" w:hAnsi="Arial" w:cs="Arial"/>
                <w:sz w:val="20"/>
                <w:szCs w:val="20"/>
              </w:rPr>
            </w:pPr>
            <w:r>
              <w:rPr>
                <w:rFonts w:ascii="Arial" w:hAnsi="Arial" w:cs="Arial"/>
                <w:b/>
                <w:bCs/>
                <w:sz w:val="20"/>
                <w:szCs w:val="20"/>
              </w:rPr>
              <w:t>要素3</w:t>
            </w:r>
            <w:r>
              <w:rPr>
                <w:rFonts w:ascii="Arial" w:hAnsi="Arial" w:cs="Arial"/>
                <w:sz w:val="20"/>
                <w:szCs w:val="20"/>
              </w:rPr>
              <w:t>：早期识别和筛查对重要生物多样性和文物资源的潜在影响，并提出适当的措施避免、减小或缓解不利影响。</w:t>
            </w:r>
          </w:p>
        </w:tc>
        <w:tc>
          <w:tcPr>
            <w:tcW w:w="3894" w:type="pct"/>
            <w:shd w:val="clear" w:color="auto" w:fill="auto"/>
          </w:tcPr>
          <w:p w14:paraId="631CA45B">
            <w:pPr>
              <w:pStyle w:val="48"/>
              <w:tabs>
                <w:tab w:val="left" w:pos="709"/>
              </w:tabs>
              <w:adjustRightInd w:val="0"/>
              <w:snapToGrid w:val="0"/>
              <w:ind w:firstLine="0" w:firstLineChars="0"/>
              <w:rPr>
                <w:rFonts w:ascii="Arial" w:hAnsi="Arial" w:cs="Arial"/>
                <w:sz w:val="20"/>
                <w:szCs w:val="20"/>
              </w:rPr>
            </w:pPr>
            <w:r>
              <w:rPr>
                <w:rFonts w:ascii="Arial" w:hAnsi="Arial" w:cs="Arial"/>
                <w:b/>
                <w:bCs/>
                <w:sz w:val="20"/>
                <w:szCs w:val="20"/>
              </w:rPr>
              <w:t>环境：</w:t>
            </w:r>
            <w:r>
              <w:rPr>
                <w:rFonts w:ascii="Arial" w:hAnsi="Arial" w:cs="Arial"/>
                <w:sz w:val="20"/>
                <w:szCs w:val="20"/>
              </w:rPr>
              <w:t>根据《环境影响评价技术导则 生态影响》，识别和筛查生态环境要素（如野生动植物、重要栖息地、生物多样性）是国内环评工作中识别环境保护目标的重要内容之一。在立项初期和环评阶段，自然资源和生态环境等部门根据《关于划定并严守生态保护红线的若干意见》以及地方生态保护红线划定方案的规定，严格执行生态保护红线机制，</w:t>
            </w:r>
            <w:r>
              <w:rPr>
                <w:rFonts w:hint="eastAsia" w:ascii="Arial" w:hAnsi="Arial" w:cs="Arial"/>
                <w:sz w:val="20"/>
                <w:szCs w:val="20"/>
                <w:lang w:eastAsia="zh-CN"/>
              </w:rPr>
              <w:t>审核</w:t>
            </w:r>
            <w:r>
              <w:rPr>
                <w:rFonts w:ascii="Arial" w:hAnsi="Arial" w:cs="Arial"/>
                <w:sz w:val="20"/>
                <w:szCs w:val="20"/>
              </w:rPr>
              <w:t>所推荐的建设项目选址，一旦发现其触发生态保护红线且项目可能会对自然保护地产生不利影响，即可否定所推荐选址。本项目主要工程活动将位于乡镇和农村建成区及农业生产区，这些地区已受到人类活动干扰且主要由人工生态系统构成。同时，本项目环境排除原则将可能影响自然栖息地的活动排除在</w:t>
            </w:r>
            <w:r>
              <w:rPr>
                <w:rFonts w:ascii="Arial" w:hAnsi="Arial" w:cs="Arial"/>
                <w:sz w:val="20"/>
                <w:szCs w:val="20"/>
                <w:lang w:val="en-GB"/>
              </w:rPr>
              <w:t>PforR</w:t>
            </w:r>
            <w:r>
              <w:rPr>
                <w:rFonts w:ascii="Arial" w:hAnsi="Arial" w:cs="Arial"/>
                <w:sz w:val="20"/>
                <w:szCs w:val="20"/>
              </w:rPr>
              <w:t>项目范围之外。因此，不会有重要的生物多样性受到本项目的不利影响。</w:t>
            </w:r>
          </w:p>
        </w:tc>
        <w:tc>
          <w:tcPr>
            <w:tcW w:w="572" w:type="pct"/>
            <w:shd w:val="clear" w:color="auto" w:fill="auto"/>
          </w:tcPr>
          <w:p w14:paraId="5CDA34DD">
            <w:pPr>
              <w:adjustRightInd w:val="0"/>
              <w:snapToGrid w:val="0"/>
              <w:rPr>
                <w:rFonts w:ascii="Arial" w:hAnsi="Arial" w:cs="Arial"/>
                <w:sz w:val="20"/>
                <w:szCs w:val="20"/>
              </w:rPr>
            </w:pPr>
            <w:r>
              <w:rPr>
                <w:rFonts w:ascii="Arial" w:hAnsi="Arial" w:cs="Arial"/>
                <w:sz w:val="20"/>
                <w:szCs w:val="20"/>
              </w:rPr>
              <w:t>一致。</w:t>
            </w:r>
          </w:p>
        </w:tc>
      </w:tr>
      <w:tr w14:paraId="19B7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19262AFB">
            <w:pPr>
              <w:adjustRightInd w:val="0"/>
              <w:snapToGrid w:val="0"/>
              <w:rPr>
                <w:rFonts w:ascii="Arial" w:hAnsi="Arial" w:cs="Arial"/>
                <w:b/>
                <w:bCs/>
                <w:sz w:val="20"/>
                <w:szCs w:val="20"/>
              </w:rPr>
            </w:pPr>
          </w:p>
        </w:tc>
        <w:tc>
          <w:tcPr>
            <w:tcW w:w="3894" w:type="pct"/>
            <w:shd w:val="clear" w:color="auto" w:fill="auto"/>
          </w:tcPr>
          <w:p w14:paraId="684BA16B">
            <w:pPr>
              <w:pStyle w:val="48"/>
              <w:tabs>
                <w:tab w:val="left" w:pos="709"/>
              </w:tabs>
              <w:adjustRightInd w:val="0"/>
              <w:snapToGrid w:val="0"/>
              <w:ind w:firstLine="0" w:firstLineChars="0"/>
              <w:rPr>
                <w:rFonts w:ascii="Arial" w:hAnsi="Arial" w:cs="Arial"/>
                <w:b/>
                <w:bCs/>
                <w:sz w:val="20"/>
                <w:szCs w:val="20"/>
              </w:rPr>
            </w:pPr>
            <w:r>
              <w:rPr>
                <w:rFonts w:ascii="Arial" w:hAnsi="Arial" w:cs="Arial"/>
                <w:b/>
                <w:bCs/>
                <w:sz w:val="20"/>
                <w:szCs w:val="20"/>
              </w:rPr>
              <w:t>社会：</w:t>
            </w:r>
            <w:r>
              <w:rPr>
                <w:rFonts w:ascii="Arial" w:hAnsi="Arial" w:cs="Arial"/>
                <w:sz w:val="20"/>
                <w:szCs w:val="20"/>
              </w:rPr>
              <w:t>根据《</w:t>
            </w:r>
            <w:r>
              <w:rPr>
                <w:rFonts w:hint="eastAsia" w:ascii="Arial" w:hAnsi="Arial" w:cs="Arial"/>
                <w:sz w:val="20"/>
                <w:szCs w:val="20"/>
                <w:lang w:eastAsia="zh-CN"/>
              </w:rPr>
              <w:t>中华人民共和国文物保护法》第二十条</w:t>
            </w:r>
            <w:r>
              <w:rPr>
                <w:rFonts w:ascii="Arial" w:hAnsi="Arial" w:cs="Arial"/>
                <w:sz w:val="20"/>
                <w:szCs w:val="20"/>
              </w:rPr>
              <w:t>，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w:t>
            </w:r>
          </w:p>
        </w:tc>
        <w:tc>
          <w:tcPr>
            <w:tcW w:w="572" w:type="pct"/>
            <w:shd w:val="clear" w:color="auto" w:fill="auto"/>
          </w:tcPr>
          <w:p w14:paraId="387C7597">
            <w:pPr>
              <w:adjustRightInd w:val="0"/>
              <w:snapToGrid w:val="0"/>
              <w:rPr>
                <w:rFonts w:ascii="Arial" w:hAnsi="Arial" w:cs="Arial"/>
                <w:sz w:val="20"/>
                <w:szCs w:val="20"/>
              </w:rPr>
            </w:pPr>
            <w:r>
              <w:rPr>
                <w:rFonts w:ascii="Arial" w:hAnsi="Arial" w:cs="Arial"/>
                <w:sz w:val="20"/>
                <w:szCs w:val="20"/>
              </w:rPr>
              <w:t>一致。</w:t>
            </w:r>
          </w:p>
        </w:tc>
      </w:tr>
      <w:tr w14:paraId="5722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shd w:val="clear" w:color="auto" w:fill="auto"/>
          </w:tcPr>
          <w:p w14:paraId="413FD8D9">
            <w:pPr>
              <w:adjustRightInd w:val="0"/>
              <w:snapToGrid w:val="0"/>
              <w:rPr>
                <w:rFonts w:ascii="Arial" w:hAnsi="Arial" w:cs="Arial"/>
                <w:b/>
                <w:bCs/>
                <w:sz w:val="20"/>
                <w:szCs w:val="20"/>
              </w:rPr>
            </w:pPr>
            <w:r>
              <w:rPr>
                <w:rFonts w:ascii="Arial" w:hAnsi="Arial" w:cs="Arial"/>
                <w:b/>
                <w:bCs/>
                <w:sz w:val="20"/>
                <w:szCs w:val="20"/>
              </w:rPr>
              <w:t>要素4</w:t>
            </w:r>
            <w:r>
              <w:rPr>
                <w:rFonts w:ascii="Arial" w:hAnsi="Arial" w:cs="Arial"/>
                <w:sz w:val="20"/>
                <w:szCs w:val="20"/>
              </w:rPr>
              <w:t>：支持和促进自然栖息地保护、维护与恢复工作；避免引起重要栖息地转变或退化；如技术上不可避免引起自然栖息地的退化，则实施相应的补偿措施。</w:t>
            </w:r>
          </w:p>
        </w:tc>
        <w:tc>
          <w:tcPr>
            <w:tcW w:w="3894" w:type="pct"/>
            <w:shd w:val="clear" w:color="auto" w:fill="auto"/>
          </w:tcPr>
          <w:p w14:paraId="496EC55D">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本项目工程活动将仅限于农村或乡镇建成区及农业生产区等</w:t>
            </w:r>
            <w:r>
              <w:rPr>
                <w:rFonts w:hint="eastAsia" w:ascii="Arial" w:hAnsi="Arial" w:cs="Arial"/>
                <w:sz w:val="20"/>
                <w:szCs w:val="20"/>
                <w:lang w:eastAsia="zh-CN"/>
              </w:rPr>
              <w:t>易</w:t>
            </w:r>
            <w:r>
              <w:rPr>
                <w:rFonts w:ascii="Arial" w:hAnsi="Arial" w:cs="Arial"/>
                <w:sz w:val="20"/>
                <w:szCs w:val="20"/>
              </w:rPr>
              <w:t>受人类活动干扰的建成区，且主要由人工生态系统构成，并仅限于较小的地理范围，涉及重要的自然栖息地可能性较小。</w:t>
            </w:r>
            <w:r>
              <w:rPr>
                <w:rFonts w:hint="eastAsia" w:ascii="Arial" w:hAnsi="Arial" w:cs="Arial"/>
                <w:sz w:val="20"/>
                <w:szCs w:val="20"/>
                <w:lang w:val="en-GB" w:eastAsia="zh-CN"/>
              </w:rPr>
              <w:t>（</w:t>
            </w:r>
            <w:r>
              <w:rPr>
                <w:rFonts w:ascii="Arial" w:hAnsi="Arial" w:cs="Arial"/>
                <w:sz w:val="20"/>
                <w:szCs w:val="20"/>
                <w:lang w:val="en-GB"/>
              </w:rPr>
              <w:t>1</w:t>
            </w:r>
            <w:r>
              <w:rPr>
                <w:rFonts w:hint="eastAsia" w:ascii="Arial" w:hAnsi="Arial" w:cs="Arial"/>
                <w:sz w:val="20"/>
                <w:szCs w:val="20"/>
                <w:lang w:val="en-GB" w:eastAsia="zh-CN"/>
              </w:rPr>
              <w:t>）</w:t>
            </w:r>
            <w:r>
              <w:rPr>
                <w:rFonts w:ascii="Arial" w:hAnsi="Arial" w:cs="Arial"/>
                <w:sz w:val="20"/>
                <w:szCs w:val="20"/>
                <w:lang w:val="en-GB"/>
              </w:rPr>
              <w:t xml:space="preserve"> </w:t>
            </w:r>
            <w:r>
              <w:rPr>
                <w:rFonts w:ascii="Arial" w:hAnsi="Arial" w:cs="Arial"/>
                <w:sz w:val="20"/>
                <w:szCs w:val="20"/>
              </w:rPr>
              <w:t>中国有很多关于自然生态保护与管理的法律法规，如《</w:t>
            </w:r>
            <w:r>
              <w:rPr>
                <w:rFonts w:hint="eastAsia" w:ascii="Arial" w:hAnsi="Arial" w:cs="Arial"/>
                <w:sz w:val="20"/>
                <w:szCs w:val="20"/>
                <w:lang w:eastAsia="zh-CN"/>
              </w:rPr>
              <w:t>中华人民共和国湿地保护法》《中华人民共和国野生动物保护法》《中华人民共和国野生植物保护条例》《中华人民共和国自然保护区条例》《</w:t>
            </w:r>
            <w:r>
              <w:rPr>
                <w:rFonts w:ascii="Arial" w:hAnsi="Arial" w:cs="Arial"/>
                <w:sz w:val="20"/>
                <w:szCs w:val="20"/>
              </w:rPr>
              <w:t>关于划定并严守生态保护红线的若干意见》等。本项目的设计、建设和运营活动都将严格遵守这些法律法规的要求，以保护当地自然和人工生态系统免受本项目活动的影响。</w:t>
            </w:r>
            <w:r>
              <w:rPr>
                <w:rFonts w:hint="eastAsia" w:ascii="Arial" w:hAnsi="Arial" w:cs="Arial"/>
                <w:sz w:val="20"/>
                <w:szCs w:val="20"/>
                <w:lang w:eastAsia="zh-CN"/>
              </w:rPr>
              <w:t>（</w:t>
            </w:r>
            <w:r>
              <w:rPr>
                <w:rFonts w:ascii="Arial" w:hAnsi="Arial" w:cs="Arial"/>
                <w:sz w:val="20"/>
                <w:szCs w:val="20"/>
              </w:rPr>
              <w:t>2</w:t>
            </w:r>
            <w:r>
              <w:rPr>
                <w:rFonts w:hint="eastAsia" w:ascii="Arial" w:hAnsi="Arial" w:cs="Arial"/>
                <w:sz w:val="20"/>
                <w:szCs w:val="20"/>
                <w:lang w:eastAsia="zh-CN"/>
              </w:rPr>
              <w:t>）</w:t>
            </w:r>
            <w:r>
              <w:rPr>
                <w:rFonts w:ascii="Arial" w:hAnsi="Arial" w:cs="Arial"/>
                <w:sz w:val="20"/>
                <w:szCs w:val="20"/>
              </w:rPr>
              <w:t xml:space="preserve"> 重要动植物资源及自然栖息地已纳入生态保护红线管理范围。各子项目工程的选址将在自然资源、生态环境等部门的监管下，严格遵守国家生态保护红线机制，轻易不会触及生态保护红线而影响自然栖息地。</w:t>
            </w:r>
            <w:r>
              <w:rPr>
                <w:rFonts w:hint="eastAsia" w:ascii="Arial" w:hAnsi="Arial" w:cs="Arial"/>
                <w:sz w:val="20"/>
                <w:szCs w:val="20"/>
                <w:lang w:val="en-GB" w:eastAsia="zh-CN"/>
              </w:rPr>
              <w:t>（</w:t>
            </w:r>
            <w:r>
              <w:rPr>
                <w:rFonts w:ascii="Arial" w:hAnsi="Arial" w:cs="Arial"/>
                <w:sz w:val="20"/>
                <w:szCs w:val="20"/>
                <w:lang w:val="en-GB"/>
              </w:rPr>
              <w:t>3</w:t>
            </w:r>
            <w:r>
              <w:rPr>
                <w:rFonts w:hint="eastAsia" w:ascii="Arial" w:hAnsi="Arial" w:cs="Arial"/>
                <w:sz w:val="20"/>
                <w:szCs w:val="20"/>
                <w:lang w:val="en-GB" w:eastAsia="zh-CN"/>
              </w:rPr>
              <w:t>）</w:t>
            </w:r>
            <w:r>
              <w:rPr>
                <w:rFonts w:ascii="Arial" w:hAnsi="Arial" w:cs="Arial"/>
                <w:sz w:val="20"/>
                <w:szCs w:val="20"/>
              </w:rPr>
              <w:t xml:space="preserve"> 本报告的环境排除原则将可能对自然栖息地产生负面影响的活动排除在PforR范围之外。</w:t>
            </w:r>
            <w:r>
              <w:rPr>
                <w:rFonts w:hint="eastAsia" w:ascii="Arial" w:hAnsi="Arial" w:cs="Arial"/>
                <w:sz w:val="20"/>
                <w:szCs w:val="20"/>
                <w:lang w:eastAsia="zh-CN"/>
              </w:rPr>
              <w:t>（</w:t>
            </w:r>
            <w:r>
              <w:rPr>
                <w:rFonts w:ascii="Arial" w:hAnsi="Arial" w:cs="Arial"/>
                <w:sz w:val="20"/>
                <w:szCs w:val="20"/>
              </w:rPr>
              <w:t>4</w:t>
            </w:r>
            <w:r>
              <w:rPr>
                <w:rFonts w:hint="eastAsia" w:ascii="Arial" w:hAnsi="Arial" w:cs="Arial"/>
                <w:sz w:val="20"/>
                <w:szCs w:val="20"/>
                <w:lang w:eastAsia="zh-CN"/>
              </w:rPr>
              <w:t>）</w:t>
            </w:r>
            <w:r>
              <w:rPr>
                <w:rFonts w:ascii="Arial" w:hAnsi="Arial" w:cs="Arial"/>
                <w:sz w:val="20"/>
                <w:szCs w:val="20"/>
              </w:rPr>
              <w:t xml:space="preserve"> 环评文件将制定生态保护措施，并纳入环境管理计划。</w:t>
            </w:r>
            <w:r>
              <w:rPr>
                <w:rFonts w:hint="eastAsia" w:ascii="Arial" w:hAnsi="Arial" w:cs="Arial"/>
                <w:sz w:val="20"/>
                <w:szCs w:val="20"/>
                <w:lang w:eastAsia="zh-CN"/>
              </w:rPr>
              <w:t>（</w:t>
            </w:r>
            <w:r>
              <w:rPr>
                <w:rFonts w:ascii="Arial" w:hAnsi="Arial" w:cs="Arial"/>
                <w:sz w:val="20"/>
                <w:szCs w:val="20"/>
              </w:rPr>
              <w:t>5</w:t>
            </w:r>
            <w:r>
              <w:rPr>
                <w:rFonts w:hint="eastAsia" w:ascii="Arial" w:hAnsi="Arial" w:cs="Arial"/>
                <w:sz w:val="20"/>
                <w:szCs w:val="20"/>
                <w:lang w:eastAsia="zh-CN"/>
              </w:rPr>
              <w:t>）</w:t>
            </w:r>
            <w:r>
              <w:rPr>
                <w:rFonts w:ascii="Arial" w:hAnsi="Arial" w:cs="Arial"/>
                <w:sz w:val="20"/>
                <w:szCs w:val="20"/>
              </w:rPr>
              <w:t xml:space="preserve"> 施工单位通过落实合同中的</w:t>
            </w:r>
            <w:r>
              <w:rPr>
                <w:rFonts w:hint="eastAsia" w:ascii="Arial" w:hAnsi="Arial" w:cs="Arial"/>
                <w:sz w:val="20"/>
                <w:szCs w:val="20"/>
                <w:lang w:eastAsia="zh-CN"/>
              </w:rPr>
              <w:t>生态环境保护</w:t>
            </w:r>
            <w:r>
              <w:rPr>
                <w:rFonts w:ascii="Arial" w:hAnsi="Arial" w:cs="Arial"/>
                <w:sz w:val="20"/>
                <w:szCs w:val="20"/>
              </w:rPr>
              <w:t>责任，减少对人工和自然生态系统的扰动，并在施工结束后第一时间恢复植被。</w:t>
            </w:r>
            <w:r>
              <w:rPr>
                <w:rFonts w:hint="eastAsia" w:ascii="Arial" w:hAnsi="Arial" w:cs="Arial"/>
                <w:sz w:val="20"/>
                <w:szCs w:val="20"/>
                <w:lang w:eastAsia="zh-CN"/>
              </w:rPr>
              <w:t>（</w:t>
            </w:r>
            <w:r>
              <w:rPr>
                <w:rFonts w:ascii="Arial" w:hAnsi="Arial" w:cs="Arial"/>
                <w:sz w:val="20"/>
                <w:szCs w:val="20"/>
              </w:rPr>
              <w:t>6</w:t>
            </w:r>
            <w:r>
              <w:rPr>
                <w:rFonts w:hint="eastAsia" w:ascii="Arial" w:hAnsi="Arial" w:cs="Arial"/>
                <w:sz w:val="20"/>
                <w:szCs w:val="20"/>
                <w:lang w:eastAsia="zh-CN"/>
              </w:rPr>
              <w:t>）</w:t>
            </w:r>
            <w:r>
              <w:rPr>
                <w:rFonts w:ascii="Arial" w:hAnsi="Arial" w:cs="Arial"/>
                <w:sz w:val="20"/>
                <w:szCs w:val="20"/>
              </w:rPr>
              <w:t xml:space="preserve"> 中国实行的水土保持方案制度能够有效防治建设项目水土流失，对农业生态保护起到积极的作用。综上所述，本项目下自然栖息地不会发生重大改变或退化。</w:t>
            </w:r>
          </w:p>
        </w:tc>
        <w:tc>
          <w:tcPr>
            <w:tcW w:w="572" w:type="pct"/>
            <w:shd w:val="clear" w:color="auto" w:fill="auto"/>
          </w:tcPr>
          <w:p w14:paraId="39965408">
            <w:pPr>
              <w:adjustRightInd w:val="0"/>
              <w:snapToGrid w:val="0"/>
              <w:rPr>
                <w:rFonts w:ascii="Arial" w:hAnsi="Arial" w:cs="Arial"/>
                <w:sz w:val="20"/>
                <w:szCs w:val="20"/>
              </w:rPr>
            </w:pPr>
            <w:r>
              <w:rPr>
                <w:rFonts w:ascii="Arial" w:hAnsi="Arial" w:cs="Arial"/>
                <w:sz w:val="20"/>
                <w:szCs w:val="20"/>
              </w:rPr>
              <w:t>一致。</w:t>
            </w:r>
          </w:p>
        </w:tc>
      </w:tr>
      <w:tr w14:paraId="6DB4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shd w:val="clear" w:color="auto" w:fill="auto"/>
          </w:tcPr>
          <w:p w14:paraId="62F56E1E">
            <w:pPr>
              <w:adjustRightInd w:val="0"/>
              <w:snapToGrid w:val="0"/>
              <w:rPr>
                <w:rFonts w:ascii="Arial" w:hAnsi="Arial" w:cs="Arial"/>
                <w:sz w:val="20"/>
                <w:szCs w:val="20"/>
              </w:rPr>
            </w:pPr>
            <w:r>
              <w:rPr>
                <w:rFonts w:ascii="Arial" w:hAnsi="Arial" w:cs="Arial"/>
                <w:b/>
                <w:bCs/>
                <w:sz w:val="20"/>
                <w:szCs w:val="20"/>
              </w:rPr>
              <w:t>要素5</w:t>
            </w:r>
            <w:r>
              <w:rPr>
                <w:rFonts w:ascii="Arial" w:hAnsi="Arial" w:cs="Arial"/>
                <w:sz w:val="20"/>
                <w:szCs w:val="20"/>
              </w:rPr>
              <w:t>：充分考虑对文物资源的潜在影响，实施适当措施避免、减少或缓解对文物的影响。</w:t>
            </w:r>
          </w:p>
        </w:tc>
        <w:tc>
          <w:tcPr>
            <w:tcW w:w="3894" w:type="pct"/>
            <w:shd w:val="clear" w:color="auto" w:fill="auto"/>
          </w:tcPr>
          <w:p w14:paraId="7C8E6EE1">
            <w:pPr>
              <w:adjustRightInd w:val="0"/>
              <w:snapToGrid w:val="0"/>
              <w:rPr>
                <w:rFonts w:ascii="Arial" w:hAnsi="Arial" w:cs="Arial"/>
                <w:sz w:val="20"/>
                <w:szCs w:val="20"/>
              </w:rPr>
            </w:pPr>
            <w:r>
              <w:rPr>
                <w:rFonts w:ascii="Arial" w:hAnsi="Arial" w:cs="Arial"/>
                <w:b/>
                <w:bCs/>
                <w:sz w:val="20"/>
                <w:szCs w:val="20"/>
              </w:rPr>
              <w:t>社会：</w:t>
            </w:r>
            <w:r>
              <w:rPr>
                <w:rFonts w:ascii="Arial" w:hAnsi="Arial" w:cs="Arial"/>
                <w:sz w:val="20"/>
                <w:szCs w:val="20"/>
              </w:rPr>
              <w:t>根据《</w:t>
            </w:r>
            <w:r>
              <w:rPr>
                <w:rFonts w:hint="eastAsia" w:ascii="Arial" w:hAnsi="Arial" w:cs="Arial"/>
                <w:sz w:val="20"/>
                <w:szCs w:val="20"/>
                <w:lang w:eastAsia="zh-CN"/>
              </w:rPr>
              <w:t>中华人民共和国文物保护法》第十七条</w:t>
            </w:r>
            <w:r>
              <w:rPr>
                <w:rFonts w:ascii="Arial" w:hAnsi="Arial" w:cs="Arial"/>
                <w:sz w:val="20"/>
                <w:szCs w:val="20"/>
              </w:rPr>
              <w:t>，文物保护单位的保护范围内不得进行其他建设工程或者爆破、钻探、挖掘等作业。因特殊情况需要在文物保护单位的保护范围内进行其他建设工程或者爆破、钻探、挖掘等作业的，必须保证文物保护单位的安全，并经核定公布该文物保护单位的人民政府批准。20条：建设工程选址，应当尽可能避开不可移动文物；因特殊情况不能避开的，对文物保护单位应当尽可能实施原址保护。29条：进行大型基本建设工程，建设单位应当事先报请省、自治区、直辖市人民政府文物行政部门组织从事考古发掘的单位在工程范围内有可能埋藏文物的地方进行考古调查、勘探。31条：凡因进行基本建设和生产建设需要的考古调查、勘探、发掘，所需费用由建设单位列入建设工程预算。根据《</w:t>
            </w:r>
            <w:r>
              <w:rPr>
                <w:rFonts w:hint="eastAsia" w:ascii="Arial" w:hAnsi="Arial" w:cs="Arial"/>
                <w:sz w:val="20"/>
                <w:szCs w:val="20"/>
                <w:lang w:eastAsia="zh-CN"/>
              </w:rPr>
              <w:t>中华人民共和国文物保护法实施条例》第二十五条</w:t>
            </w:r>
            <w:r>
              <w:rPr>
                <w:rFonts w:ascii="Arial" w:hAnsi="Arial" w:cs="Arial"/>
                <w:sz w:val="20"/>
                <w:szCs w:val="20"/>
              </w:rPr>
              <w:t>，考古调查、勘探、发掘所需经费的范围和标准，按照国家有关规定执行。</w:t>
            </w:r>
          </w:p>
        </w:tc>
        <w:tc>
          <w:tcPr>
            <w:tcW w:w="572" w:type="pct"/>
            <w:shd w:val="clear" w:color="auto" w:fill="auto"/>
          </w:tcPr>
          <w:p w14:paraId="7F40A2D9">
            <w:pPr>
              <w:adjustRightInd w:val="0"/>
              <w:snapToGrid w:val="0"/>
              <w:rPr>
                <w:rFonts w:ascii="Arial" w:hAnsi="Arial" w:cs="Arial"/>
                <w:sz w:val="20"/>
                <w:szCs w:val="20"/>
              </w:rPr>
            </w:pPr>
            <w:r>
              <w:rPr>
                <w:rFonts w:ascii="Arial" w:hAnsi="Arial" w:cs="Arial"/>
                <w:sz w:val="20"/>
                <w:szCs w:val="20"/>
              </w:rPr>
              <w:t>一致。</w:t>
            </w:r>
          </w:p>
        </w:tc>
      </w:tr>
    </w:tbl>
    <w:p w14:paraId="3B24B439">
      <w:pPr>
        <w:adjustRightInd w:val="0"/>
        <w:snapToGrid w:val="0"/>
        <w:rPr>
          <w:rFonts w:ascii="Arial" w:hAnsi="Arial" w:cs="Arial"/>
          <w:sz w:val="20"/>
          <w:szCs w:val="20"/>
        </w:rPr>
      </w:pPr>
    </w:p>
    <w:p w14:paraId="0A22D523">
      <w:pPr>
        <w:adjustRightInd w:val="0"/>
        <w:snapToGrid w:val="0"/>
        <w:rPr>
          <w:rFonts w:ascii="Arial" w:hAnsi="Arial" w:cs="Arial"/>
          <w:sz w:val="20"/>
          <w:szCs w:val="20"/>
        </w:rPr>
      </w:pPr>
      <w:r>
        <w:rPr>
          <w:rFonts w:ascii="Arial" w:hAnsi="Arial" w:cs="Arial"/>
          <w:b/>
          <w:bCs/>
          <w:color w:val="1F4E79" w:themeColor="accent5" w:themeShade="80"/>
          <w:sz w:val="20"/>
          <w:szCs w:val="20"/>
        </w:rPr>
        <w:t>核心原则3</w:t>
      </w:r>
      <w:r>
        <w:rPr>
          <w:rFonts w:ascii="Arial" w:hAnsi="Arial" w:cs="Arial"/>
          <w:b/>
          <w:bCs/>
          <w:sz w:val="20"/>
          <w:szCs w:val="20"/>
        </w:rPr>
        <w:t>：</w:t>
      </w:r>
      <w:r>
        <w:rPr>
          <w:rFonts w:ascii="Arial" w:hAnsi="Arial" w:cs="Arial"/>
          <w:sz w:val="20"/>
          <w:szCs w:val="20"/>
        </w:rPr>
        <w:t>环境与社会管理制度在下列活动中保护公众和工人安全，包括：</w:t>
      </w:r>
      <w:r>
        <w:rPr>
          <w:rFonts w:hint="eastAsia" w:ascii="Arial" w:hAnsi="Arial" w:cs="Arial"/>
          <w:sz w:val="20"/>
          <w:szCs w:val="20"/>
          <w:lang w:eastAsia="zh-CN"/>
        </w:rPr>
        <w:t>（</w:t>
      </w:r>
      <w:r>
        <w:rPr>
          <w:rFonts w:ascii="Arial" w:hAnsi="Arial" w:cs="Arial"/>
          <w:sz w:val="20"/>
          <w:szCs w:val="20"/>
        </w:rPr>
        <w:t>i</w:t>
      </w:r>
      <w:r>
        <w:rPr>
          <w:rFonts w:hint="eastAsia" w:ascii="Arial" w:hAnsi="Arial" w:cs="Arial"/>
          <w:sz w:val="20"/>
          <w:szCs w:val="20"/>
          <w:lang w:eastAsia="zh-CN"/>
        </w:rPr>
        <w:t>）</w:t>
      </w:r>
      <w:r>
        <w:rPr>
          <w:rFonts w:ascii="Arial" w:hAnsi="Arial" w:cs="Arial"/>
          <w:sz w:val="20"/>
          <w:szCs w:val="20"/>
        </w:rPr>
        <w:t xml:space="preserve"> 项目中设施的建设和运行；</w:t>
      </w:r>
      <w:r>
        <w:rPr>
          <w:rFonts w:hint="eastAsia" w:ascii="Arial" w:hAnsi="Arial" w:cs="Arial"/>
          <w:sz w:val="20"/>
          <w:szCs w:val="20"/>
          <w:lang w:eastAsia="zh-CN"/>
        </w:rPr>
        <w:t>（ⅱ）</w:t>
      </w:r>
      <w:r>
        <w:rPr>
          <w:rFonts w:ascii="Arial" w:hAnsi="Arial" w:cs="Arial"/>
          <w:sz w:val="20"/>
          <w:szCs w:val="20"/>
        </w:rPr>
        <w:t xml:space="preserve"> 暴露于有毒化学品、危险废物或其他危险物品；</w:t>
      </w:r>
      <w:r>
        <w:rPr>
          <w:rFonts w:hint="eastAsia" w:ascii="Arial" w:hAnsi="Arial" w:cs="Arial"/>
          <w:sz w:val="20"/>
          <w:szCs w:val="20"/>
          <w:lang w:eastAsia="zh-CN"/>
        </w:rPr>
        <w:t>（ⅲ）</w:t>
      </w:r>
      <w:r>
        <w:rPr>
          <w:rFonts w:ascii="Arial" w:hAnsi="Arial" w:cs="Arial"/>
          <w:sz w:val="20"/>
          <w:szCs w:val="20"/>
        </w:rPr>
        <w:t xml:space="preserve">  在自然灾害易发地区建设或恢复基础设施。</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62"/>
        <w:gridCol w:w="11391"/>
        <w:gridCol w:w="1673"/>
      </w:tblGrid>
      <w:tr w14:paraId="367A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34" w:type="pct"/>
            <w:shd w:val="clear" w:color="auto" w:fill="auto"/>
          </w:tcPr>
          <w:p w14:paraId="75575ECD">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894" w:type="pct"/>
            <w:shd w:val="clear" w:color="auto" w:fill="auto"/>
          </w:tcPr>
          <w:p w14:paraId="33DCDC6E">
            <w:pPr>
              <w:adjustRightInd w:val="0"/>
              <w:snapToGrid w:val="0"/>
              <w:jc w:val="center"/>
              <w:rPr>
                <w:rFonts w:ascii="Arial" w:hAnsi="Arial" w:cs="Arial"/>
                <w:b/>
                <w:bCs/>
                <w:sz w:val="20"/>
                <w:szCs w:val="20"/>
              </w:rPr>
            </w:pPr>
            <w:r>
              <w:rPr>
                <w:rFonts w:ascii="Arial" w:hAnsi="Arial" w:cs="Arial"/>
                <w:b/>
                <w:bCs/>
                <w:sz w:val="20"/>
                <w:szCs w:val="20"/>
              </w:rPr>
              <w:t>中国环境与社会管理系统</w:t>
            </w:r>
          </w:p>
        </w:tc>
        <w:tc>
          <w:tcPr>
            <w:tcW w:w="572" w:type="pct"/>
            <w:shd w:val="clear" w:color="auto" w:fill="auto"/>
          </w:tcPr>
          <w:p w14:paraId="3B01287A">
            <w:pPr>
              <w:adjustRightInd w:val="0"/>
              <w:snapToGrid w:val="0"/>
              <w:jc w:val="center"/>
              <w:rPr>
                <w:rFonts w:ascii="Arial" w:hAnsi="Arial" w:cs="Arial"/>
                <w:b/>
                <w:bCs/>
                <w:sz w:val="20"/>
                <w:szCs w:val="20"/>
              </w:rPr>
            </w:pPr>
            <w:r>
              <w:rPr>
                <w:rFonts w:ascii="Arial" w:hAnsi="Arial" w:cs="Arial"/>
                <w:b/>
                <w:bCs/>
                <w:sz w:val="20"/>
                <w:szCs w:val="20"/>
              </w:rPr>
              <w:t>一致性分析与建议</w:t>
            </w:r>
          </w:p>
        </w:tc>
      </w:tr>
      <w:tr w14:paraId="236C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1760C0CA">
            <w:pPr>
              <w:adjustRightInd w:val="0"/>
              <w:snapToGrid w:val="0"/>
              <w:rPr>
                <w:rFonts w:ascii="Arial" w:hAnsi="Arial" w:cs="Arial"/>
                <w:b/>
                <w:bCs/>
                <w:sz w:val="20"/>
                <w:szCs w:val="20"/>
              </w:rPr>
            </w:pPr>
            <w:r>
              <w:rPr>
                <w:rFonts w:ascii="Arial" w:hAnsi="Arial" w:cs="Arial"/>
                <w:b/>
                <w:bCs/>
                <w:sz w:val="20"/>
                <w:szCs w:val="20"/>
              </w:rPr>
              <w:t>要素6</w:t>
            </w:r>
            <w:r>
              <w:rPr>
                <w:rFonts w:ascii="Arial" w:hAnsi="Arial" w:cs="Arial"/>
                <w:sz w:val="20"/>
                <w:szCs w:val="20"/>
              </w:rPr>
              <w:t>：通过项目设施安全设计、施工和运营，或在开展项目活动中采取安全措施、安全检查和必要的补救措施保证社区、个人和工人的安全。</w:t>
            </w:r>
          </w:p>
        </w:tc>
        <w:tc>
          <w:tcPr>
            <w:tcW w:w="3894" w:type="pct"/>
            <w:shd w:val="clear" w:color="auto" w:fill="auto"/>
          </w:tcPr>
          <w:p w14:paraId="65982757">
            <w:pPr>
              <w:adjustRightInd w:val="0"/>
              <w:snapToGrid w:val="0"/>
              <w:jc w:val="both"/>
              <w:rPr>
                <w:rFonts w:ascii="Arial" w:hAnsi="Arial" w:cs="Arial"/>
                <w:sz w:val="20"/>
                <w:szCs w:val="20"/>
              </w:rPr>
            </w:pPr>
            <w:r>
              <w:rPr>
                <w:rFonts w:ascii="Arial" w:hAnsi="Arial" w:cs="Arial"/>
                <w:b/>
                <w:bCs/>
                <w:sz w:val="20"/>
                <w:szCs w:val="20"/>
              </w:rPr>
              <w:t>环境：</w:t>
            </w:r>
            <w:r>
              <w:rPr>
                <w:rFonts w:ascii="Arial" w:hAnsi="Arial" w:cs="Arial"/>
                <w:sz w:val="20"/>
                <w:szCs w:val="20"/>
              </w:rPr>
              <w:t>对于从事检查井室、沼气池、化粪池、污水处理池、发酵池、管道等有限空间的清掏、疏通、维修等作业时针对可能遇到的中毒、缺氧窒息、燃爆、淹溺等安全风</w:t>
            </w:r>
            <w:r>
              <w:rPr>
                <w:rFonts w:hint="eastAsia" w:ascii="Arial" w:hAnsi="Arial" w:cs="Arial"/>
                <w:sz w:val="20"/>
                <w:szCs w:val="20"/>
                <w:lang w:eastAsia="zh-CN"/>
              </w:rPr>
              <w:t>险和</w:t>
            </w:r>
            <w:r>
              <w:rPr>
                <w:rFonts w:ascii="Arial" w:hAnsi="Arial" w:cs="Arial"/>
                <w:sz w:val="20"/>
                <w:szCs w:val="20"/>
              </w:rPr>
              <w:t>生产经营活动可能产生的突发环境事件风险，中国制定了《有限空间作业安全指导手册》</w:t>
            </w:r>
            <w:r>
              <w:rPr>
                <w:rFonts w:hint="eastAsia" w:ascii="Arial" w:hAnsi="Arial" w:cs="Arial"/>
                <w:sz w:val="20"/>
                <w:szCs w:val="20"/>
                <w:lang w:eastAsia="zh-CN"/>
              </w:rPr>
              <w:t>（</w:t>
            </w:r>
            <w:r>
              <w:rPr>
                <w:rFonts w:ascii="Arial" w:hAnsi="Arial" w:cs="Arial"/>
                <w:sz w:val="20"/>
                <w:szCs w:val="20"/>
              </w:rPr>
              <w:t>2020年</w:t>
            </w:r>
            <w:r>
              <w:rPr>
                <w:rFonts w:hint="eastAsia" w:ascii="Arial" w:hAnsi="Arial" w:cs="Arial"/>
                <w:sz w:val="20"/>
                <w:szCs w:val="20"/>
                <w:lang w:eastAsia="zh-CN"/>
              </w:rPr>
              <w:t>）</w:t>
            </w:r>
            <w:r>
              <w:rPr>
                <w:rFonts w:ascii="Arial" w:hAnsi="Arial" w:cs="Arial"/>
                <w:sz w:val="20"/>
                <w:szCs w:val="20"/>
              </w:rPr>
              <w:t>等法规文件，针对地上、地下、密闭设备等不同类型的有限空间作业，提出了主要安全风险的识别方法和防护措施。生产经营单位必须严格遵守操作流程，防止人身伤亡事件的发生。应急管理部门会定期提供培训和指导，各行业主管部门开展随机或定期的监督性检查。</w:t>
            </w:r>
          </w:p>
          <w:p w14:paraId="192A157E">
            <w:pPr>
              <w:adjustRightInd w:val="0"/>
              <w:snapToGrid w:val="0"/>
              <w:spacing w:before="120" w:beforeLines="50"/>
              <w:rPr>
                <w:rFonts w:ascii="Arial" w:hAnsi="Arial" w:cs="Arial"/>
                <w:b/>
                <w:bCs/>
                <w:sz w:val="20"/>
                <w:szCs w:val="20"/>
              </w:rPr>
            </w:pPr>
            <w:r>
              <w:rPr>
                <w:rFonts w:ascii="Arial" w:hAnsi="Arial" w:cs="Arial"/>
                <w:sz w:val="20"/>
                <w:szCs w:val="20"/>
              </w:rPr>
              <w:t>中国的社区和职业健康与安全管理体系与世行的《环境健康与安全通用指南</w:t>
            </w:r>
            <w:r>
              <w:rPr>
                <w:rFonts w:hint="eastAsia" w:ascii="Arial" w:hAnsi="Arial" w:cs="Arial"/>
                <w:sz w:val="20"/>
                <w:szCs w:val="20"/>
                <w:lang w:eastAsia="zh-CN"/>
              </w:rPr>
              <w:t>》《</w:t>
            </w:r>
            <w:r>
              <w:rPr>
                <w:rFonts w:ascii="Arial" w:hAnsi="Arial" w:cs="Arial"/>
                <w:sz w:val="20"/>
                <w:szCs w:val="20"/>
              </w:rPr>
              <w:t>废物管理设施环境健康与安全指南</w:t>
            </w:r>
            <w:r>
              <w:rPr>
                <w:rFonts w:hint="eastAsia" w:ascii="Arial" w:hAnsi="Arial" w:cs="Arial"/>
                <w:sz w:val="20"/>
                <w:szCs w:val="20"/>
                <w:lang w:eastAsia="zh-CN"/>
              </w:rPr>
              <w:t>》《</w:t>
            </w:r>
            <w:r>
              <w:rPr>
                <w:rFonts w:ascii="Arial" w:hAnsi="Arial" w:cs="Arial"/>
                <w:sz w:val="20"/>
                <w:szCs w:val="20"/>
              </w:rPr>
              <w:t>水和卫生环境健康与安全指南》基本相一致，并涵盖了良好的国际行业实践，如在污水处理厂内所有反应池周围安装栏杆；按国家要求实施有限空间进入计划；为现场工作人员提供适当的个人保护设施，并就正确使用和维护方法进行培训；对封闭区域进行维护前先通风；污水处理、垃圾收集与转运等设施的选址避开人口稠密的社区等。</w:t>
            </w:r>
          </w:p>
        </w:tc>
        <w:tc>
          <w:tcPr>
            <w:tcW w:w="572" w:type="pct"/>
            <w:shd w:val="clear" w:color="auto" w:fill="auto"/>
          </w:tcPr>
          <w:p w14:paraId="7E8730ED">
            <w:pPr>
              <w:adjustRightInd w:val="0"/>
              <w:snapToGrid w:val="0"/>
              <w:rPr>
                <w:rFonts w:ascii="Arial" w:hAnsi="Arial" w:cs="Arial"/>
                <w:sz w:val="20"/>
                <w:szCs w:val="20"/>
              </w:rPr>
            </w:pPr>
            <w:r>
              <w:rPr>
                <w:rFonts w:ascii="Arial" w:hAnsi="Arial" w:cs="Arial"/>
                <w:sz w:val="20"/>
                <w:szCs w:val="20"/>
              </w:rPr>
              <w:t>一致。</w:t>
            </w:r>
          </w:p>
        </w:tc>
      </w:tr>
      <w:tr w14:paraId="5ACF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254406F7">
            <w:pPr>
              <w:adjustRightInd w:val="0"/>
              <w:snapToGrid w:val="0"/>
              <w:rPr>
                <w:rFonts w:ascii="Arial" w:hAnsi="Arial" w:cs="Arial"/>
                <w:sz w:val="20"/>
                <w:szCs w:val="20"/>
              </w:rPr>
            </w:pPr>
          </w:p>
        </w:tc>
        <w:tc>
          <w:tcPr>
            <w:tcW w:w="3894" w:type="pct"/>
            <w:shd w:val="clear" w:color="auto" w:fill="auto"/>
          </w:tcPr>
          <w:p w14:paraId="3DCBEC53">
            <w:pPr>
              <w:adjustRightInd w:val="0"/>
              <w:snapToGrid w:val="0"/>
              <w:rPr>
                <w:rFonts w:ascii="Arial" w:hAnsi="Arial" w:cs="Arial"/>
                <w:sz w:val="20"/>
                <w:szCs w:val="20"/>
              </w:rPr>
            </w:pPr>
            <w:r>
              <w:rPr>
                <w:rFonts w:ascii="Arial" w:hAnsi="Arial" w:cs="Arial"/>
                <w:b/>
                <w:bCs/>
                <w:sz w:val="20"/>
                <w:szCs w:val="20"/>
              </w:rPr>
              <w:t>社会：</w:t>
            </w:r>
            <w:r>
              <w:rPr>
                <w:rFonts w:ascii="Arial" w:hAnsi="Arial" w:cs="Arial"/>
                <w:sz w:val="20"/>
                <w:szCs w:val="20"/>
              </w:rPr>
              <w:t>中国已建立了一套全面的安全生产管理体系，针对项目设计、施工和运营阶段已经形成了成熟的安全生产措施和管理体系。在实际实施过程中，安全管理是重中之重。其措施的落实情况受到</w:t>
            </w:r>
            <w:r>
              <w:rPr>
                <w:rFonts w:hint="eastAsia" w:ascii="Arial" w:hAnsi="Arial" w:cs="Arial"/>
                <w:sz w:val="20"/>
                <w:szCs w:val="20"/>
                <w:lang w:eastAsia="zh-CN"/>
              </w:rPr>
              <w:t>各</w:t>
            </w:r>
            <w:r>
              <w:rPr>
                <w:rFonts w:ascii="Arial" w:hAnsi="Arial" w:cs="Arial"/>
                <w:sz w:val="20"/>
                <w:szCs w:val="20"/>
              </w:rPr>
              <w:t>行业主管部门的行业监管和应急管理（安全生产主管部门）的综合监管。除了在项目施工单位、建设运营单位都必须设立安全管理机构、配备人员、落实措施之外，各行业主管部门都设立安全生产管理机制，监督本行业项目的安全生产绩效表现。应急管理局（安全生产主管部门）更是对所有的行业和重点领域进行督察监管。这个体系能够保证本PforR下项目活动的安全监管。</w:t>
            </w:r>
            <w:r>
              <w:rPr>
                <w:rFonts w:ascii="Arial" w:hAnsi="Arial" w:cs="Arial"/>
                <w:sz w:val="20"/>
                <w:szCs w:val="20"/>
              </w:rPr>
              <w:br w:type="textWrapping"/>
            </w: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中华人民共和国劳动法</w:t>
            </w:r>
            <w:r>
              <w:rPr>
                <w:rFonts w:ascii="Arial" w:hAnsi="Arial" w:cs="Arial"/>
                <w:b/>
                <w:bCs/>
                <w:sz w:val="20"/>
                <w:szCs w:val="20"/>
              </w:rPr>
              <w:t>》</w:t>
            </w:r>
            <w:r>
              <w:rPr>
                <w:rFonts w:hint="eastAsia" w:ascii="Arial" w:hAnsi="Arial" w:cs="Arial"/>
                <w:b/>
                <w:bCs/>
                <w:sz w:val="20"/>
                <w:szCs w:val="20"/>
                <w:lang w:eastAsia="zh-CN"/>
              </w:rPr>
              <w:t>第五十三条</w:t>
            </w:r>
            <w:r>
              <w:rPr>
                <w:rFonts w:ascii="Arial" w:hAnsi="Arial" w:cs="Arial"/>
                <w:b/>
                <w:bCs/>
                <w:sz w:val="20"/>
                <w:szCs w:val="20"/>
              </w:rPr>
              <w:t>：</w:t>
            </w:r>
            <w:r>
              <w:rPr>
                <w:rFonts w:ascii="Arial" w:hAnsi="Arial" w:cs="Arial"/>
                <w:sz w:val="20"/>
                <w:szCs w:val="20"/>
              </w:rPr>
              <w:t>劳动安全卫生设施必须符合国家规定的标准。新建、改建、扩建工程的劳动安全卫生设施必须与主体工程同时设计、同时施工、同时投入生产和使用。</w:t>
            </w:r>
            <w:r>
              <w:rPr>
                <w:rFonts w:ascii="Arial" w:hAnsi="Arial" w:cs="Arial"/>
                <w:b/>
                <w:bCs/>
                <w:sz w:val="20"/>
                <w:szCs w:val="20"/>
              </w:rPr>
              <w:t>第54条：</w:t>
            </w:r>
            <w:r>
              <w:rPr>
                <w:rFonts w:ascii="Arial" w:hAnsi="Arial" w:cs="Arial"/>
                <w:sz w:val="20"/>
                <w:szCs w:val="20"/>
              </w:rPr>
              <w:t>用人单位必须为劳动者提供符合国家规定的劳动安全卫生条件和必要的劳动防护用品，对从事有职业危害作业的劳动者应当定期进行健康检查。</w:t>
            </w:r>
            <w:r>
              <w:rPr>
                <w:rFonts w:ascii="Arial" w:hAnsi="Arial" w:cs="Arial"/>
                <w:b/>
                <w:bCs/>
                <w:sz w:val="20"/>
                <w:szCs w:val="20"/>
              </w:rPr>
              <w:t>第57条：</w:t>
            </w:r>
            <w:r>
              <w:rPr>
                <w:rFonts w:ascii="Arial" w:hAnsi="Arial" w:cs="Arial"/>
                <w:sz w:val="20"/>
                <w:szCs w:val="20"/>
              </w:rPr>
              <w:t>国家建立伤亡事故和职业病统计报告和处理制度。</w:t>
            </w:r>
            <w:r>
              <w:rPr>
                <w:rFonts w:ascii="Arial" w:hAnsi="Arial" w:cs="Arial"/>
                <w:b/>
                <w:bCs/>
                <w:sz w:val="20"/>
                <w:szCs w:val="20"/>
              </w:rPr>
              <w:t>第61条：</w:t>
            </w:r>
            <w:r>
              <w:rPr>
                <w:rFonts w:ascii="Arial" w:hAnsi="Arial" w:cs="Arial"/>
                <w:sz w:val="20"/>
                <w:szCs w:val="20"/>
              </w:rPr>
              <w:t>不得安排女职工在怀孕期间从事国家规定的第三级体力劳动强度的劳动和孕期禁忌从事的劳动。对怀孕七个月以上的女职工，不得安排其延长工作时间和夜班劳动。</w:t>
            </w:r>
            <w:r>
              <w:rPr>
                <w:rFonts w:ascii="Arial" w:hAnsi="Arial" w:cs="Arial"/>
                <w:sz w:val="20"/>
                <w:szCs w:val="20"/>
              </w:rPr>
              <w:br w:type="textWrapping"/>
            </w:r>
            <w:r>
              <w:rPr>
                <w:rFonts w:hint="eastAsia" w:ascii="Arial" w:hAnsi="Arial" w:cs="Arial"/>
                <w:sz w:val="20"/>
                <w:szCs w:val="20"/>
                <w:lang w:eastAsia="zh-CN"/>
              </w:rPr>
              <w:t>ⅱ</w:t>
            </w:r>
            <w:r>
              <w:rPr>
                <w:rFonts w:hint="eastAsia" w:ascii="Arial" w:hAnsi="Arial" w:cs="Arial"/>
                <w:b/>
                <w:bCs/>
                <w:sz w:val="20"/>
                <w:szCs w:val="20"/>
                <w:lang w:eastAsia="zh-CN"/>
              </w:rPr>
              <w:t>）《中华人民共和国安全生产法》第二十一条</w:t>
            </w:r>
            <w:r>
              <w:rPr>
                <w:rFonts w:ascii="Arial" w:hAnsi="Arial" w:cs="Arial"/>
                <w:b/>
                <w:bCs/>
                <w:sz w:val="20"/>
                <w:szCs w:val="20"/>
              </w:rPr>
              <w:t>，</w:t>
            </w:r>
            <w:r>
              <w:rPr>
                <w:rFonts w:ascii="Arial" w:hAnsi="Arial" w:cs="Arial"/>
                <w:sz w:val="20"/>
                <w:szCs w:val="20"/>
              </w:rPr>
              <w:t>生产经营单位的主要负责人应负责建立、健全本单位安全生产责任制，组织制定本单位安全生产规章制度和操作规程，组织制定并实施本单位安全生产教育和培训计划，督促、检查本单位的安全生产工作，及时消除生产安全事故隐患，组织制定并实施本单位的生产安全事故应急救援预案，及时、如实报告生产安全事故。</w:t>
            </w:r>
            <w:r>
              <w:rPr>
                <w:rFonts w:ascii="Arial" w:hAnsi="Arial" w:cs="Arial"/>
                <w:b/>
                <w:bCs/>
                <w:sz w:val="20"/>
                <w:szCs w:val="20"/>
              </w:rPr>
              <w:t>第73条</w:t>
            </w:r>
            <w:r>
              <w:rPr>
                <w:rFonts w:hint="eastAsia" w:ascii="Arial" w:hAnsi="Arial" w:cs="Arial"/>
                <w:b/>
                <w:bCs/>
                <w:sz w:val="20"/>
                <w:szCs w:val="20"/>
                <w:lang w:eastAsia="zh-CN"/>
              </w:rPr>
              <w:t>，</w:t>
            </w:r>
            <w:r>
              <w:rPr>
                <w:rFonts w:ascii="Arial" w:hAnsi="Arial" w:cs="Arial"/>
                <w:sz w:val="20"/>
                <w:szCs w:val="20"/>
              </w:rPr>
              <w:t>负有安全生产监督管理职责的部门应当建立举报制度，公开举报电话、信箱或者电子邮件地址等网络举报平台，受理有关安全生产的举报；</w:t>
            </w:r>
            <w:r>
              <w:rPr>
                <w:rFonts w:ascii="Arial" w:hAnsi="Arial" w:cs="Arial"/>
                <w:b/>
                <w:bCs/>
                <w:sz w:val="20"/>
                <w:szCs w:val="20"/>
              </w:rPr>
              <w:t>第74条</w:t>
            </w:r>
            <w:r>
              <w:rPr>
                <w:rFonts w:hint="eastAsia" w:ascii="Arial" w:hAnsi="Arial" w:cs="Arial"/>
                <w:b/>
                <w:bCs/>
                <w:sz w:val="20"/>
                <w:szCs w:val="20"/>
                <w:lang w:eastAsia="zh-CN"/>
              </w:rPr>
              <w:t>，</w:t>
            </w:r>
            <w:r>
              <w:rPr>
                <w:rFonts w:ascii="Arial" w:hAnsi="Arial" w:cs="Arial"/>
                <w:sz w:val="20"/>
                <w:szCs w:val="20"/>
              </w:rPr>
              <w:t>任何单位或者个人对事故隐患或者安全生产违法行为，均有权向负有安全生产监督管理职责的部门报告或者举报。</w:t>
            </w:r>
            <w:r>
              <w:rPr>
                <w:rFonts w:ascii="Arial" w:hAnsi="Arial" w:cs="Arial"/>
                <w:b/>
                <w:bCs/>
                <w:sz w:val="20"/>
                <w:szCs w:val="20"/>
              </w:rPr>
              <w:t>第75条</w:t>
            </w:r>
            <w:r>
              <w:rPr>
                <w:rFonts w:hint="eastAsia" w:ascii="Arial" w:hAnsi="Arial" w:cs="Arial"/>
                <w:b/>
                <w:bCs/>
                <w:sz w:val="20"/>
                <w:szCs w:val="20"/>
                <w:lang w:eastAsia="zh-CN"/>
              </w:rPr>
              <w:t>，</w:t>
            </w:r>
            <w:r>
              <w:rPr>
                <w:rFonts w:ascii="Arial" w:hAnsi="Arial" w:cs="Arial"/>
                <w:sz w:val="20"/>
                <w:szCs w:val="20"/>
              </w:rPr>
              <w:t>居民委员会、村民委员会发现其所在区域内的生产经营单位存在事故隐患或者安全生产违法行为时，应当向当地人民政府或者有关部门报告。</w:t>
            </w:r>
            <w:r>
              <w:rPr>
                <w:rFonts w:ascii="Arial" w:hAnsi="Arial" w:cs="Arial"/>
                <w:sz w:val="20"/>
                <w:szCs w:val="20"/>
              </w:rPr>
              <w:br w:type="textWrapping"/>
            </w: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中华人民共和国职业病防治法</w:t>
            </w:r>
            <w:r>
              <w:rPr>
                <w:rFonts w:ascii="Arial" w:hAnsi="Arial" w:cs="Arial"/>
                <w:b/>
                <w:bCs/>
                <w:sz w:val="20"/>
                <w:szCs w:val="20"/>
              </w:rPr>
              <w:t>》（2018修正）第4条，</w:t>
            </w:r>
            <w:r>
              <w:rPr>
                <w:rFonts w:ascii="Arial" w:hAnsi="Arial" w:cs="Arial"/>
                <w:sz w:val="20"/>
                <w:szCs w:val="20"/>
              </w:rPr>
              <w:t>劳动者依法享有职业卫生保护的权利。 用人单位应当为劳动者创造符合国家职业卫生标准和卫生要求的工作环境和条件，并采取措施保障劳动者获得职业卫生保护。 工会组织依法对职业病防治工作进行监督，维护劳动者的合法权益。用人单位制定或者修改有关职业病防治的规章制度，应当听取工会组织的意见。</w:t>
            </w:r>
            <w:r>
              <w:rPr>
                <w:rFonts w:ascii="Arial" w:hAnsi="Arial" w:cs="Arial"/>
                <w:b/>
                <w:bCs/>
                <w:sz w:val="20"/>
                <w:szCs w:val="20"/>
              </w:rPr>
              <w:t>第5条，</w:t>
            </w:r>
            <w:r>
              <w:rPr>
                <w:rFonts w:ascii="Arial" w:hAnsi="Arial" w:cs="Arial"/>
                <w:sz w:val="20"/>
                <w:szCs w:val="20"/>
              </w:rPr>
              <w:t>用人单位应当建立、健全职业病防治责任制，加强对职业病防治的管理，提高职业病防治水平，对本单位产生的职业病危害承担责任。</w:t>
            </w:r>
            <w:r>
              <w:rPr>
                <w:rFonts w:ascii="Arial" w:hAnsi="Arial" w:cs="Arial"/>
                <w:b/>
                <w:bCs/>
                <w:sz w:val="20"/>
                <w:szCs w:val="20"/>
              </w:rPr>
              <w:t>第6条，</w:t>
            </w:r>
            <w:r>
              <w:rPr>
                <w:rFonts w:ascii="Arial" w:hAnsi="Arial" w:cs="Arial"/>
                <w:sz w:val="20"/>
                <w:szCs w:val="20"/>
              </w:rPr>
              <w:t>用人单位的主要负责人对本单位的职业病防治工作全面负责。</w:t>
            </w:r>
            <w:r>
              <w:rPr>
                <w:rFonts w:ascii="Arial" w:hAnsi="Arial" w:cs="Arial"/>
                <w:b/>
                <w:bCs/>
                <w:sz w:val="20"/>
                <w:szCs w:val="20"/>
              </w:rPr>
              <w:t>第7条，</w:t>
            </w:r>
            <w:r>
              <w:rPr>
                <w:rFonts w:ascii="Arial" w:hAnsi="Arial" w:cs="Arial"/>
                <w:sz w:val="20"/>
                <w:szCs w:val="20"/>
              </w:rPr>
              <w:t>用人单位必须依法参加工伤保险。</w:t>
            </w:r>
            <w:r>
              <w:rPr>
                <w:rFonts w:ascii="Arial" w:hAnsi="Arial" w:cs="Arial"/>
                <w:b/>
                <w:bCs/>
                <w:sz w:val="20"/>
                <w:szCs w:val="20"/>
              </w:rPr>
              <w:t>第9条，</w:t>
            </w:r>
            <w:r>
              <w:rPr>
                <w:rFonts w:ascii="Arial" w:hAnsi="Arial" w:cs="Arial"/>
                <w:sz w:val="20"/>
                <w:szCs w:val="20"/>
              </w:rPr>
              <w:t xml:space="preserve">国家实行职业卫生监督制度。 </w:t>
            </w:r>
            <w:r>
              <w:rPr>
                <w:rFonts w:ascii="Arial" w:hAnsi="Arial" w:cs="Arial"/>
                <w:b/>
                <w:bCs/>
                <w:sz w:val="20"/>
                <w:szCs w:val="20"/>
              </w:rPr>
              <w:t>第10条，</w:t>
            </w:r>
            <w:r>
              <w:rPr>
                <w:rFonts w:ascii="Arial" w:hAnsi="Arial" w:cs="Arial"/>
                <w:sz w:val="20"/>
                <w:szCs w:val="20"/>
              </w:rPr>
              <w:t>国务院和县级以上地方人民政府应当制定职业病防治规划，将其纳入国民经济和社会发展计划，并组织实施。</w:t>
            </w:r>
          </w:p>
        </w:tc>
        <w:tc>
          <w:tcPr>
            <w:tcW w:w="572" w:type="pct"/>
            <w:shd w:val="clear" w:color="auto" w:fill="auto"/>
          </w:tcPr>
          <w:p w14:paraId="533607A4">
            <w:pPr>
              <w:adjustRightInd w:val="0"/>
              <w:snapToGrid w:val="0"/>
              <w:rPr>
                <w:rFonts w:ascii="Arial" w:hAnsi="Arial" w:cs="Arial"/>
                <w:sz w:val="20"/>
                <w:szCs w:val="20"/>
              </w:rPr>
            </w:pPr>
            <w:r>
              <w:rPr>
                <w:rFonts w:ascii="Arial" w:hAnsi="Arial" w:cs="Arial"/>
                <w:sz w:val="20"/>
                <w:szCs w:val="20"/>
              </w:rPr>
              <w:t>一致。</w:t>
            </w:r>
          </w:p>
        </w:tc>
      </w:tr>
      <w:tr w14:paraId="2643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763AE0E5">
            <w:pPr>
              <w:adjustRightInd w:val="0"/>
              <w:snapToGrid w:val="0"/>
              <w:rPr>
                <w:rFonts w:ascii="Arial" w:hAnsi="Arial" w:cs="Arial"/>
                <w:sz w:val="20"/>
                <w:szCs w:val="20"/>
              </w:rPr>
            </w:pPr>
            <w:r>
              <w:rPr>
                <w:rFonts w:ascii="Arial" w:hAnsi="Arial" w:cs="Arial"/>
                <w:b/>
                <w:bCs/>
                <w:sz w:val="20"/>
                <w:szCs w:val="20"/>
              </w:rPr>
              <w:t>要素7</w:t>
            </w:r>
            <w:r>
              <w:rPr>
                <w:rFonts w:ascii="Arial" w:hAnsi="Arial" w:cs="Arial"/>
                <w:sz w:val="20"/>
                <w:szCs w:val="20"/>
              </w:rPr>
              <w:t>：</w:t>
            </w:r>
          </w:p>
          <w:p w14:paraId="4BD2AE06">
            <w:pPr>
              <w:adjustRightInd w:val="0"/>
              <w:snapToGrid w:val="0"/>
              <w:rPr>
                <w:rFonts w:ascii="Arial" w:hAnsi="Arial" w:cs="Arial"/>
                <w:sz w:val="20"/>
                <w:szCs w:val="20"/>
              </w:rPr>
            </w:pPr>
            <w:r>
              <w:rPr>
                <w:rFonts w:ascii="Arial" w:hAnsi="Arial" w:cs="Arial"/>
                <w:sz w:val="20"/>
                <w:szCs w:val="20"/>
              </w:rPr>
              <w:t>i</w:t>
            </w:r>
            <w:r>
              <w:rPr>
                <w:rFonts w:hint="eastAsia" w:ascii="Arial" w:hAnsi="Arial" w:cs="Arial"/>
                <w:sz w:val="20"/>
                <w:szCs w:val="20"/>
                <w:lang w:eastAsia="zh-CN"/>
              </w:rPr>
              <w:t>）</w:t>
            </w:r>
            <w:r>
              <w:rPr>
                <w:rFonts w:ascii="Arial" w:hAnsi="Arial" w:cs="Arial"/>
                <w:sz w:val="20"/>
                <w:szCs w:val="20"/>
              </w:rPr>
              <w:t xml:space="preserve"> 对项目活动中涉及的有害物质的生产、管理、储存、运输和处置采取良好实践。</w:t>
            </w:r>
          </w:p>
        </w:tc>
        <w:tc>
          <w:tcPr>
            <w:tcW w:w="3894" w:type="pct"/>
            <w:shd w:val="clear" w:color="auto" w:fill="auto"/>
          </w:tcPr>
          <w:p w14:paraId="6C6AE755">
            <w:pPr>
              <w:adjustRightInd w:val="0"/>
              <w:snapToGrid w:val="0"/>
              <w:rPr>
                <w:rFonts w:ascii="Arial" w:hAnsi="Arial" w:cs="Arial"/>
                <w:sz w:val="20"/>
                <w:szCs w:val="20"/>
              </w:rPr>
            </w:pPr>
            <w:r>
              <w:rPr>
                <w:rFonts w:ascii="Arial" w:hAnsi="Arial" w:cs="Arial"/>
                <w:b/>
                <w:bCs/>
                <w:sz w:val="20"/>
                <w:szCs w:val="20"/>
              </w:rPr>
              <w:t>环境：</w:t>
            </w:r>
            <w:r>
              <w:rPr>
                <w:rFonts w:ascii="Arial" w:hAnsi="Arial" w:cs="Arial"/>
                <w:sz w:val="20"/>
                <w:szCs w:val="20"/>
              </w:rPr>
              <w:t>针对本项目垃圾收集转运和畜禽粪污处理中产生的臭气物质、养殖场病死畜禽等健康风险，中国制定了《</w:t>
            </w:r>
            <w:r>
              <w:rPr>
                <w:rFonts w:hint="eastAsia" w:ascii="Arial" w:hAnsi="Arial" w:cs="Arial"/>
                <w:sz w:val="20"/>
                <w:szCs w:val="20"/>
                <w:lang w:eastAsia="zh-CN"/>
              </w:rPr>
              <w:t>中华人民共和国职业病防治法》《中华人民共和国动物防疫法</w:t>
            </w:r>
            <w:r>
              <w:rPr>
                <w:rFonts w:ascii="Arial" w:hAnsi="Arial" w:cs="Arial"/>
                <w:sz w:val="20"/>
                <w:szCs w:val="20"/>
              </w:rPr>
              <w:t>》等法律法规，对企业提出了基本的职业健康管理要求和实施职责。产生臭气和病死动物的设施在建设过程中同步落实污染治理设施和措施，从源头消除恶臭物质和病死畜禽对公共卫生和职业健康的安全隐患；企业制定和实施安全生产和职业健康制度；作业人员接受岗位培训，并使用标准劳动保护用品；行业主管部门（如农业农村、住建、生态环境）开展监管、检查和指导。该体系基本满足本项目有害物质的管理要求。但部分老旧生活垃圾收集转运设施和小型畜禽养殖场还有待采取措施，提高臭气处理水平。</w:t>
            </w:r>
          </w:p>
        </w:tc>
        <w:tc>
          <w:tcPr>
            <w:tcW w:w="572" w:type="pct"/>
            <w:shd w:val="clear" w:color="auto" w:fill="auto"/>
          </w:tcPr>
          <w:p w14:paraId="5C3988D6">
            <w:pPr>
              <w:adjustRightInd w:val="0"/>
              <w:snapToGrid w:val="0"/>
              <w:rPr>
                <w:rFonts w:ascii="Arial" w:hAnsi="Arial" w:cs="Arial"/>
                <w:sz w:val="20"/>
                <w:szCs w:val="20"/>
              </w:rPr>
            </w:pPr>
            <w:r>
              <w:rPr>
                <w:rFonts w:ascii="Arial" w:hAnsi="Arial" w:cs="Arial"/>
                <w:sz w:val="20"/>
                <w:szCs w:val="20"/>
              </w:rPr>
              <w:t>基本一致。建议采取措施加强畜禽粪污处理设施和生活垃圾中转站的臭气管理，减少恶臭影响。</w:t>
            </w:r>
          </w:p>
        </w:tc>
      </w:tr>
      <w:tr w14:paraId="1672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002F49B3">
            <w:pPr>
              <w:adjustRightInd w:val="0"/>
              <w:snapToGrid w:val="0"/>
              <w:rPr>
                <w:rFonts w:ascii="Arial" w:hAnsi="Arial" w:cs="Arial"/>
                <w:b/>
                <w:bCs/>
                <w:sz w:val="20"/>
                <w:szCs w:val="20"/>
              </w:rPr>
            </w:pPr>
          </w:p>
        </w:tc>
        <w:tc>
          <w:tcPr>
            <w:tcW w:w="3894" w:type="pct"/>
            <w:shd w:val="clear" w:color="auto" w:fill="auto"/>
          </w:tcPr>
          <w:p w14:paraId="312B1B3D">
            <w:pPr>
              <w:rPr>
                <w:rFonts w:ascii="Arial" w:hAnsi="Arial" w:cs="Arial"/>
                <w:sz w:val="20"/>
                <w:szCs w:val="20"/>
              </w:rPr>
            </w:pPr>
            <w:r>
              <w:rPr>
                <w:rFonts w:ascii="Arial" w:hAnsi="Arial" w:cs="Arial"/>
                <w:b/>
                <w:bCs/>
                <w:sz w:val="20"/>
                <w:szCs w:val="20"/>
              </w:rPr>
              <w:t>社会：i</w:t>
            </w:r>
            <w:r>
              <w:rPr>
                <w:rFonts w:hint="eastAsia" w:ascii="Arial" w:hAnsi="Arial" w:cs="Arial"/>
                <w:b/>
                <w:bCs/>
                <w:sz w:val="20"/>
                <w:szCs w:val="20"/>
                <w:lang w:val="en-GB" w:eastAsia="zh-CN"/>
              </w:rPr>
              <w:t>）《中华人民共和国安全生产法》</w:t>
            </w:r>
            <w:r>
              <w:rPr>
                <w:rFonts w:ascii="Arial" w:hAnsi="Arial" w:cs="Arial"/>
                <w:b/>
                <w:bCs/>
                <w:sz w:val="20"/>
                <w:szCs w:val="20"/>
              </w:rPr>
              <w:t>24条</w:t>
            </w:r>
            <w:r>
              <w:rPr>
                <w:rFonts w:ascii="Arial" w:hAnsi="Arial" w:cs="Arial"/>
                <w:sz w:val="20"/>
                <w:szCs w:val="20"/>
              </w:rPr>
              <w:t>，矿山、金属冶炼、建筑施工、道路运输单位和危险物品的生产、经营、储存单位，应当设置安全生产管理机构或者配备专职安全生产管理人员。</w:t>
            </w:r>
            <w:r>
              <w:rPr>
                <w:rFonts w:ascii="Arial" w:hAnsi="Arial" w:cs="Arial"/>
                <w:b/>
                <w:bCs/>
                <w:sz w:val="20"/>
                <w:szCs w:val="20"/>
              </w:rPr>
              <w:t>25条</w:t>
            </w:r>
            <w:r>
              <w:rPr>
                <w:rFonts w:ascii="Arial" w:hAnsi="Arial" w:cs="Arial"/>
                <w:sz w:val="20"/>
                <w:szCs w:val="20"/>
              </w:rPr>
              <w:t>，产经营单位的安全生产管理机构以及安全生产管理人员</w:t>
            </w:r>
            <w:r>
              <w:rPr>
                <w:rFonts w:hint="eastAsia" w:ascii="Arial" w:hAnsi="Arial" w:cs="Arial"/>
                <w:sz w:val="20"/>
                <w:szCs w:val="20"/>
                <w:lang w:eastAsia="zh-CN"/>
              </w:rPr>
              <w:t>应当</w:t>
            </w:r>
            <w:r>
              <w:rPr>
                <w:rFonts w:ascii="Arial" w:hAnsi="Arial" w:cs="Arial"/>
                <w:sz w:val="20"/>
                <w:szCs w:val="20"/>
              </w:rPr>
              <w:t>负责履行（一）组织或者参与拟订本单位安全生产规章制度、操作规程和生产安全事故应急救援预案；2）组织或者参与本单位安全生产教育和培训，如实记录安全生产教育和培训情况；</w:t>
            </w:r>
            <w:r>
              <w:rPr>
                <w:rFonts w:ascii="Arial" w:hAnsi="Arial" w:cs="Arial"/>
                <w:sz w:val="20"/>
                <w:szCs w:val="20"/>
              </w:rPr>
              <w:br w:type="textWrapping"/>
            </w:r>
            <w:r>
              <w:rPr>
                <w:rFonts w:ascii="Arial" w:hAnsi="Arial" w:cs="Arial"/>
                <w:sz w:val="20"/>
                <w:szCs w:val="20"/>
              </w:rPr>
              <w:t>3）督促落实本单位重大危险源的安全管理措施；4）组织</w:t>
            </w:r>
            <w:r>
              <w:rPr>
                <w:rFonts w:hint="eastAsia" w:ascii="Arial" w:hAnsi="Arial" w:cs="Arial"/>
                <w:sz w:val="20"/>
                <w:szCs w:val="20"/>
                <w:lang w:eastAsia="zh-CN"/>
              </w:rPr>
              <w:t>或</w:t>
            </w:r>
            <w:r>
              <w:rPr>
                <w:rFonts w:ascii="Arial" w:hAnsi="Arial" w:cs="Arial"/>
                <w:sz w:val="20"/>
                <w:szCs w:val="20"/>
              </w:rPr>
              <w:t>参与本单位应急救援演练；5）检查本单位的安全生产状况，及时排查生产安全事故隐患，提出改进安全生产管理的建议；6）制止和纠正违章指挥、强令冒险作业、违反操作规程的行为；7）督促落实本单位安全生产整改措施。</w:t>
            </w:r>
          </w:p>
          <w:p w14:paraId="5DC0CA60">
            <w:pPr>
              <w:rPr>
                <w:rFonts w:ascii="Arial" w:hAnsi="Arial" w:cs="Arial"/>
                <w:sz w:val="20"/>
                <w:szCs w:val="20"/>
              </w:rPr>
            </w:pPr>
            <w:r>
              <w:rPr>
                <w:rFonts w:hint="eastAsia" w:ascii="Arial" w:hAnsi="Arial" w:cs="Arial"/>
                <w:b/>
                <w:bCs/>
                <w:sz w:val="20"/>
                <w:szCs w:val="20"/>
                <w:lang w:eastAsia="zh-CN"/>
              </w:rPr>
              <w:t>ⅱ）</w:t>
            </w:r>
            <w:r>
              <w:rPr>
                <w:rFonts w:ascii="Arial" w:hAnsi="Arial" w:cs="Arial"/>
                <w:b/>
                <w:bCs/>
                <w:sz w:val="20"/>
                <w:szCs w:val="20"/>
              </w:rPr>
              <w:t>《危险化学品安全管理条例》</w:t>
            </w:r>
            <w:r>
              <w:rPr>
                <w:rFonts w:hint="eastAsia" w:ascii="Arial" w:hAnsi="Arial" w:cs="Arial"/>
                <w:b/>
                <w:bCs/>
                <w:sz w:val="20"/>
                <w:szCs w:val="20"/>
                <w:lang w:eastAsia="zh-CN"/>
              </w:rPr>
              <w:t>第四条</w:t>
            </w:r>
            <w:r>
              <w:rPr>
                <w:rFonts w:ascii="Arial" w:hAnsi="Arial" w:cs="Arial"/>
                <w:b/>
                <w:bCs/>
                <w:sz w:val="20"/>
                <w:szCs w:val="20"/>
              </w:rPr>
              <w:t>，</w:t>
            </w:r>
            <w:r>
              <w:rPr>
                <w:rFonts w:ascii="Arial" w:hAnsi="Arial" w:cs="Arial"/>
                <w:sz w:val="20"/>
                <w:szCs w:val="20"/>
              </w:rPr>
              <w:t>危险化学品单位应当对从业人员进行安全教育、</w:t>
            </w:r>
            <w:r>
              <w:rPr>
                <w:rFonts w:hint="eastAsia" w:ascii="Arial" w:hAnsi="Arial" w:cs="Arial"/>
                <w:sz w:val="20"/>
                <w:szCs w:val="20"/>
                <w:lang w:eastAsia="zh-CN"/>
              </w:rPr>
              <w:t>法制教育</w:t>
            </w:r>
            <w:r>
              <w:rPr>
                <w:rFonts w:ascii="Arial" w:hAnsi="Arial" w:cs="Arial"/>
                <w:sz w:val="20"/>
                <w:szCs w:val="20"/>
              </w:rPr>
              <w:t>和岗位技术培训。从业人员应当接受教育和培训，考核合格后上岗作业。</w:t>
            </w:r>
          </w:p>
          <w:p w14:paraId="4820BD96">
            <w:pPr>
              <w:rPr>
                <w:rFonts w:ascii="Arial" w:hAnsi="Arial" w:cs="Arial"/>
                <w:sz w:val="20"/>
                <w:szCs w:val="20"/>
              </w:rPr>
            </w:pPr>
            <w:r>
              <w:rPr>
                <w:rFonts w:hint="eastAsia" w:ascii="Arial" w:hAnsi="Arial" w:cs="Arial"/>
                <w:b/>
                <w:bCs/>
                <w:sz w:val="20"/>
                <w:szCs w:val="20"/>
                <w:lang w:eastAsia="zh-CN"/>
              </w:rPr>
              <w:t>ⅲ）</w:t>
            </w:r>
            <w:r>
              <w:rPr>
                <w:rFonts w:ascii="Arial" w:hAnsi="Arial" w:cs="Arial"/>
                <w:b/>
                <w:bCs/>
                <w:sz w:val="20"/>
                <w:szCs w:val="20"/>
              </w:rPr>
              <w:t>《职业健康安全管理体系要求及使用指南》，</w:t>
            </w:r>
            <w:r>
              <w:rPr>
                <w:rFonts w:ascii="Arial" w:hAnsi="Arial" w:cs="Arial"/>
                <w:sz w:val="20"/>
                <w:szCs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p>
          <w:p w14:paraId="2B15EEDF">
            <w:pPr>
              <w:rPr>
                <w:rFonts w:ascii="Arial" w:hAnsi="Arial" w:cs="Arial"/>
                <w:sz w:val="20"/>
                <w:szCs w:val="20"/>
              </w:rPr>
            </w:pPr>
            <w:r>
              <w:rPr>
                <w:rFonts w:hint="eastAsia" w:ascii="Arial" w:hAnsi="Arial" w:cs="Arial"/>
                <w:b/>
                <w:bCs/>
                <w:sz w:val="20"/>
                <w:szCs w:val="20"/>
                <w:lang w:eastAsia="zh-CN"/>
              </w:rPr>
              <w:t>ⅳ）</w:t>
            </w:r>
            <w:r>
              <w:rPr>
                <w:rFonts w:ascii="Arial" w:hAnsi="Arial" w:cs="Arial"/>
                <w:b/>
                <w:bCs/>
                <w:sz w:val="20"/>
                <w:szCs w:val="20"/>
              </w:rPr>
              <w:t>《用人单位职业病防治指南》，</w:t>
            </w:r>
            <w:r>
              <w:rPr>
                <w:rFonts w:ascii="Arial" w:hAnsi="Arial" w:cs="Arial"/>
                <w:sz w:val="20"/>
                <w:szCs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w:t>
            </w:r>
            <w:r>
              <w:rPr>
                <w:rFonts w:hint="eastAsia" w:ascii="Arial" w:hAnsi="Arial" w:cs="Arial"/>
                <w:sz w:val="20"/>
                <w:szCs w:val="20"/>
                <w:lang w:eastAsia="zh-CN"/>
              </w:rPr>
              <w:t>；将</w:t>
            </w:r>
            <w:r>
              <w:rPr>
                <w:rFonts w:ascii="Arial" w:hAnsi="Arial" w:cs="Arial"/>
                <w:sz w:val="20"/>
                <w:szCs w:val="20"/>
              </w:rPr>
              <w:t>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p w14:paraId="0379B084">
            <w:pPr>
              <w:adjustRightInd w:val="0"/>
              <w:snapToGrid w:val="0"/>
              <w:rPr>
                <w:rFonts w:ascii="Arial" w:hAnsi="Arial" w:cs="Arial"/>
                <w:sz w:val="20"/>
                <w:szCs w:val="20"/>
              </w:rPr>
            </w:pPr>
            <w:r>
              <w:rPr>
                <w:rFonts w:ascii="Arial" w:hAnsi="Arial" w:cs="Arial"/>
                <w:b/>
                <w:bCs/>
                <w:sz w:val="20"/>
                <w:szCs w:val="20"/>
              </w:rPr>
              <w:t>v</w:t>
            </w:r>
            <w:r>
              <w:rPr>
                <w:rFonts w:hint="eastAsia" w:ascii="Arial" w:hAnsi="Arial" w:cs="Arial"/>
                <w:b/>
                <w:bCs/>
                <w:sz w:val="20"/>
                <w:szCs w:val="20"/>
                <w:lang w:eastAsia="zh-CN"/>
              </w:rPr>
              <w:t>）</w:t>
            </w:r>
            <w:r>
              <w:rPr>
                <w:rFonts w:ascii="Arial" w:hAnsi="Arial" w:cs="Arial"/>
                <w:b/>
                <w:bCs/>
                <w:sz w:val="20"/>
                <w:szCs w:val="20"/>
              </w:rPr>
              <w:t>《湖北省“十四五”职业病防治规划》</w:t>
            </w:r>
            <w:r>
              <w:rPr>
                <w:rFonts w:ascii="Arial" w:hAnsi="Arial" w:cs="Arial"/>
                <w:sz w:val="20"/>
                <w:szCs w:val="20"/>
              </w:rPr>
              <w:t>（鄂卫通〔2022〕8号）</w:t>
            </w:r>
            <w:r>
              <w:rPr>
                <w:rFonts w:hint="eastAsia" w:ascii="Arial" w:hAnsi="Arial" w:cs="Arial"/>
                <w:sz w:val="20"/>
                <w:szCs w:val="20"/>
                <w:lang w:eastAsia="zh-CN"/>
              </w:rPr>
              <w:t>，</w:t>
            </w:r>
            <w:r>
              <w:rPr>
                <w:rFonts w:ascii="Arial" w:hAnsi="Arial" w:cs="Arial"/>
                <w:sz w:val="20"/>
                <w:szCs w:val="20"/>
              </w:rPr>
              <w:t>到2025年，全省职业健康治理体系更加完善，治理能力不断增强，职业健康工作质量显著提升，劳动者健康水平不断提高，职业病病人救治救助和工伤保险保障水平不断提高。主要目标有：工伤保险参保人数稳定提升；工业企业职业病危害项目申报率超过90%；工作场所职业病危害因素监测合格率超过85%；非医疗放射工作人员个人剂量监测率超过90%；重点人群职业健康知识知晓率超过85%；尘肺病患者集中乡镇（社区）康复服务覆盖率超过90%；职业健康违法案件查处率达到100%；依托现有医疗资源，省级设立职业病医院；省级至少确定一家机构承担粉尘、化学毒物、噪声、辐射等职业病危害工程防护技术指导工作；每个市（州）至少确定1家公立医疗卫生机构承担职业病诊断工作；每个县（市、区）至少确定1家公立医疗卫生机构承担职业健康检查工作。</w:t>
            </w:r>
          </w:p>
          <w:p w14:paraId="6E7560B6">
            <w:pPr>
              <w:adjustRightInd w:val="0"/>
              <w:snapToGrid w:val="0"/>
              <w:rPr>
                <w:rFonts w:ascii="Arial" w:hAnsi="Arial" w:cs="Arial"/>
                <w:b/>
                <w:bCs/>
                <w:sz w:val="20"/>
                <w:szCs w:val="20"/>
              </w:rPr>
            </w:pPr>
            <w:r>
              <w:rPr>
                <w:rFonts w:ascii="Arial" w:hAnsi="Arial" w:cs="Arial"/>
                <w:b/>
                <w:bCs/>
                <w:sz w:val="20"/>
                <w:szCs w:val="20"/>
              </w:rPr>
              <w:t>vi</w:t>
            </w:r>
            <w:r>
              <w:rPr>
                <w:rFonts w:hint="eastAsia" w:ascii="Arial" w:hAnsi="Arial" w:cs="Arial"/>
                <w:b/>
                <w:bCs/>
                <w:sz w:val="20"/>
                <w:szCs w:val="20"/>
                <w:lang w:eastAsia="zh-CN"/>
              </w:rPr>
              <w:t>）</w:t>
            </w:r>
            <w:r>
              <w:rPr>
                <w:rFonts w:ascii="Arial" w:hAnsi="Arial" w:cs="Arial"/>
                <w:b/>
                <w:bCs/>
                <w:sz w:val="20"/>
                <w:szCs w:val="20"/>
              </w:rPr>
              <w:t>《健康湖南“十四五”建设规划》</w:t>
            </w:r>
            <w:r>
              <w:rPr>
                <w:rFonts w:ascii="Arial" w:hAnsi="Arial" w:cs="Arial"/>
                <w:sz w:val="20"/>
                <w:szCs w:val="20"/>
              </w:rPr>
              <w:t>（湘政办发〔2021〕48号）加强对重点行业领域职业病危害治理，推进企业依法履行职业病防治相关法定责任和义务。健全职业病危害申报、职业病报告、职业病及其危害因素监测等制度，重点行业工作场所职业病危害因素监测合格率达85%。落实职业健康检查、职业健康托管、职业病诊断以及治疗康复等管理措施。强化职业健康监督执法，督促职业健康危害严重的用人单位履行职业病危害现状评价工作，建设单位履行建设项目职业病防护设施“三同时”手续。加大职业病救治保障力度，在重点行业实施重点职业病工伤保险扩面专项行动。</w:t>
            </w:r>
          </w:p>
        </w:tc>
        <w:tc>
          <w:tcPr>
            <w:tcW w:w="572" w:type="pct"/>
            <w:shd w:val="clear" w:color="auto" w:fill="auto"/>
          </w:tcPr>
          <w:p w14:paraId="280C1F21">
            <w:pPr>
              <w:adjustRightInd w:val="0"/>
              <w:snapToGrid w:val="0"/>
              <w:rPr>
                <w:rFonts w:ascii="Arial" w:hAnsi="Arial" w:cs="Arial"/>
                <w:sz w:val="20"/>
                <w:szCs w:val="20"/>
              </w:rPr>
            </w:pPr>
            <w:r>
              <w:rPr>
                <w:rFonts w:ascii="Arial" w:hAnsi="Arial" w:cs="Arial"/>
                <w:sz w:val="20"/>
                <w:szCs w:val="20"/>
              </w:rPr>
              <w:t>基本一致。国家和地方已建立了较完善的安全和健康管理系统，且各实施机构在建设或运营期间基本遵循了法规要求；同时，在项目实施过程中，工人的职业健康体检的管理有待加强，例如有些企业没有项目前期开展职业健康评估，有的</w:t>
            </w:r>
            <w:r>
              <w:rPr>
                <w:rFonts w:hint="eastAsia" w:ascii="Arial" w:hAnsi="Arial" w:cs="Arial"/>
                <w:sz w:val="20"/>
                <w:szCs w:val="20"/>
                <w:lang w:eastAsia="zh-CN"/>
              </w:rPr>
              <w:t>未</w:t>
            </w:r>
            <w:r>
              <w:rPr>
                <w:rFonts w:ascii="Arial" w:hAnsi="Arial" w:cs="Arial"/>
                <w:sz w:val="20"/>
                <w:szCs w:val="20"/>
              </w:rPr>
              <w:t>进行职业病危害项目申报，有些企业管理人员不熟悉职业健康管理的法律法规要求，一些规模不大或职业健康危害等级为“一般”的行业企业未纳入地方政府卫健管理系统。</w:t>
            </w:r>
          </w:p>
          <w:p w14:paraId="7412F5F3">
            <w:pPr>
              <w:adjustRightInd w:val="0"/>
              <w:snapToGrid w:val="0"/>
              <w:rPr>
                <w:rFonts w:ascii="Arial" w:hAnsi="Arial" w:cs="Arial"/>
                <w:sz w:val="20"/>
                <w:szCs w:val="20"/>
                <w:lang w:val="en-GB"/>
              </w:rPr>
            </w:pPr>
            <w:r>
              <w:rPr>
                <w:rFonts w:ascii="Arial" w:hAnsi="Arial" w:cs="Arial"/>
                <w:sz w:val="20"/>
                <w:szCs w:val="20"/>
              </w:rPr>
              <w:t>建议：污水处理厂、畜禽粪污资源化企业、垃圾处理设施等企业加强职业健康管理培训和管理。</w:t>
            </w:r>
          </w:p>
        </w:tc>
      </w:tr>
      <w:tr w14:paraId="5BF6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shd w:val="clear" w:color="auto" w:fill="auto"/>
          </w:tcPr>
          <w:p w14:paraId="3B9861C7">
            <w:pPr>
              <w:adjustRightInd w:val="0"/>
              <w:snapToGrid w:val="0"/>
              <w:rPr>
                <w:rFonts w:ascii="Arial" w:hAnsi="Arial" w:cs="Arial"/>
                <w:sz w:val="20"/>
                <w:szCs w:val="20"/>
              </w:rPr>
            </w:pPr>
            <w:r>
              <w:rPr>
                <w:rFonts w:hint="eastAsia" w:ascii="Arial" w:hAnsi="Arial" w:cs="Arial"/>
                <w:sz w:val="20"/>
                <w:szCs w:val="20"/>
                <w:lang w:eastAsia="zh-CN"/>
              </w:rPr>
              <w:t>ⅱ）</w:t>
            </w:r>
            <w:r>
              <w:rPr>
                <w:rFonts w:ascii="Arial" w:hAnsi="Arial" w:cs="Arial"/>
                <w:sz w:val="20"/>
                <w:szCs w:val="20"/>
              </w:rPr>
              <w:t xml:space="preserve"> 鼓励采用病虫害综合防治手段管理和控制病虫害或病媒。 </w:t>
            </w:r>
          </w:p>
        </w:tc>
        <w:tc>
          <w:tcPr>
            <w:tcW w:w="3894" w:type="pct"/>
            <w:shd w:val="clear" w:color="auto" w:fill="auto"/>
          </w:tcPr>
          <w:p w14:paraId="5FEBE229">
            <w:pPr>
              <w:pStyle w:val="48"/>
              <w:adjustRightInd w:val="0"/>
              <w:snapToGrid w:val="0"/>
              <w:ind w:firstLine="0" w:firstLineChars="0"/>
              <w:jc w:val="both"/>
              <w:rPr>
                <w:rFonts w:ascii="Arial" w:hAnsi="Arial" w:cs="Arial"/>
                <w:sz w:val="20"/>
                <w:szCs w:val="20"/>
              </w:rPr>
            </w:pPr>
            <w:r>
              <w:rPr>
                <w:rFonts w:ascii="Arial" w:hAnsi="Arial" w:cs="Arial"/>
                <w:b/>
                <w:bCs/>
                <w:sz w:val="20"/>
                <w:szCs w:val="20"/>
              </w:rPr>
              <w:t>环境：</w:t>
            </w:r>
            <w:r>
              <w:rPr>
                <w:rFonts w:ascii="Arial" w:hAnsi="Arial" w:cs="Arial"/>
                <w:sz w:val="20"/>
                <w:szCs w:val="20"/>
              </w:rPr>
              <w:t>中国具有成熟的农药管理体系，制定了《农药管理条例</w:t>
            </w:r>
            <w:r>
              <w:rPr>
                <w:rFonts w:hint="eastAsia" w:ascii="Arial" w:hAnsi="Arial" w:cs="Arial"/>
                <w:sz w:val="20"/>
                <w:szCs w:val="20"/>
                <w:lang w:eastAsia="zh-CN"/>
              </w:rPr>
              <w:t>》《</w:t>
            </w:r>
            <w:r>
              <w:rPr>
                <w:rFonts w:ascii="Arial" w:hAnsi="Arial" w:cs="Arial"/>
                <w:sz w:val="20"/>
                <w:szCs w:val="20"/>
              </w:rPr>
              <w:t>农作物病虫害防治条例》等法规制度。农药生产和经营实行许可制度，农药使用者按要求使用农药。农业实践中，种植业鼓励采用病虫害综合防控措施，通过使用生态治理、健康栽培、生物防治、物理防治等绿色防控技术，促进农药减量。各级农业农村部门设有专职机构负责对病虫害防治和农药减量进行综合监管。</w:t>
            </w:r>
          </w:p>
        </w:tc>
        <w:tc>
          <w:tcPr>
            <w:tcW w:w="572" w:type="pct"/>
            <w:shd w:val="clear" w:color="auto" w:fill="auto"/>
          </w:tcPr>
          <w:p w14:paraId="77503B0C">
            <w:pPr>
              <w:adjustRightInd w:val="0"/>
              <w:snapToGrid w:val="0"/>
              <w:rPr>
                <w:rFonts w:ascii="Arial" w:hAnsi="Arial" w:cs="Arial"/>
                <w:sz w:val="20"/>
                <w:szCs w:val="20"/>
              </w:rPr>
            </w:pPr>
            <w:r>
              <w:rPr>
                <w:rFonts w:ascii="Arial" w:hAnsi="Arial" w:cs="Arial"/>
                <w:sz w:val="20"/>
                <w:szCs w:val="20"/>
              </w:rPr>
              <w:t>一致。</w:t>
            </w:r>
          </w:p>
        </w:tc>
      </w:tr>
      <w:tr w14:paraId="3768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restart"/>
            <w:shd w:val="clear" w:color="auto" w:fill="auto"/>
          </w:tcPr>
          <w:p w14:paraId="10383669">
            <w:pPr>
              <w:adjustRightInd w:val="0"/>
              <w:snapToGrid w:val="0"/>
              <w:rPr>
                <w:rFonts w:ascii="Arial" w:hAnsi="Arial" w:cs="Arial"/>
                <w:sz w:val="20"/>
                <w:szCs w:val="20"/>
              </w:rPr>
            </w:pPr>
            <w:r>
              <w:rPr>
                <w:rFonts w:hint="eastAsia" w:ascii="Arial" w:hAnsi="Arial" w:cs="Arial"/>
                <w:sz w:val="20"/>
                <w:szCs w:val="20"/>
                <w:lang w:eastAsia="zh-CN"/>
              </w:rPr>
              <w:t>ⅲ</w:t>
            </w:r>
            <w:r>
              <w:rPr>
                <w:rFonts w:ascii="Arial" w:hAnsi="Arial" w:cs="Arial"/>
                <w:sz w:val="20"/>
                <w:szCs w:val="20"/>
              </w:rPr>
              <w:t>）为涉及危险化学品生产、采购、使用和处置的工人提供符合国际指南和条约的培训。</w:t>
            </w:r>
          </w:p>
        </w:tc>
        <w:tc>
          <w:tcPr>
            <w:tcW w:w="3894" w:type="pct"/>
            <w:shd w:val="clear" w:color="auto" w:fill="auto"/>
          </w:tcPr>
          <w:p w14:paraId="578C1423">
            <w:pPr>
              <w:adjustRightInd w:val="0"/>
              <w:snapToGrid w:val="0"/>
              <w:rPr>
                <w:rFonts w:ascii="Arial" w:hAnsi="Arial" w:cs="Arial"/>
                <w:sz w:val="20"/>
                <w:szCs w:val="20"/>
                <w:lang w:val="en-GB"/>
              </w:rPr>
            </w:pPr>
            <w:r>
              <w:rPr>
                <w:rFonts w:ascii="Arial" w:hAnsi="Arial" w:cs="Arial"/>
                <w:b/>
                <w:bCs/>
                <w:sz w:val="20"/>
                <w:szCs w:val="20"/>
              </w:rPr>
              <w:t>环境：</w:t>
            </w:r>
            <w:r>
              <w:rPr>
                <w:rFonts w:ascii="Arial" w:hAnsi="Arial" w:cs="Arial"/>
                <w:sz w:val="20"/>
                <w:szCs w:val="20"/>
              </w:rPr>
              <w:t>畜禽粪污和生产垃圾产生的恶臭含有硫化氢和氨等对人体有害的危险化学品，按照《危险化学品安全管理条例</w:t>
            </w:r>
            <w:r>
              <w:rPr>
                <w:rFonts w:hint="eastAsia" w:ascii="Arial" w:hAnsi="Arial" w:cs="Arial"/>
                <w:sz w:val="20"/>
                <w:szCs w:val="20"/>
                <w:lang w:eastAsia="zh-CN"/>
              </w:rPr>
              <w:t>》《</w:t>
            </w:r>
            <w:r>
              <w:rPr>
                <w:rFonts w:ascii="Arial" w:hAnsi="Arial" w:cs="Arial"/>
                <w:sz w:val="20"/>
                <w:szCs w:val="20"/>
              </w:rPr>
              <w:t>危险化学品目录</w:t>
            </w:r>
            <w:r>
              <w:rPr>
                <w:rFonts w:hint="eastAsia" w:ascii="Arial" w:hAnsi="Arial" w:cs="Arial"/>
                <w:sz w:val="20"/>
                <w:szCs w:val="20"/>
                <w:lang w:eastAsia="zh-CN"/>
              </w:rPr>
              <w:t>》《中华人民共和国安全生产法》《中华人民共和国职业病防治法</w:t>
            </w:r>
            <w:r>
              <w:rPr>
                <w:rFonts w:ascii="Arial" w:hAnsi="Arial" w:cs="Arial"/>
                <w:sz w:val="20"/>
                <w:szCs w:val="20"/>
              </w:rPr>
              <w:t>》等规定，企业完善除臭设施和措施，作业人员配备符合标准的劳动防护用品，</w:t>
            </w:r>
            <w:r>
              <w:rPr>
                <w:rFonts w:hint="eastAsia" w:ascii="Arial" w:hAnsi="Arial" w:cs="Arial"/>
                <w:sz w:val="20"/>
                <w:szCs w:val="20"/>
                <w:lang w:eastAsia="zh-CN"/>
              </w:rPr>
              <w:t>农业</w:t>
            </w:r>
            <w:r>
              <w:rPr>
                <w:rFonts w:ascii="Arial" w:hAnsi="Arial" w:cs="Arial"/>
                <w:sz w:val="20"/>
                <w:szCs w:val="20"/>
              </w:rPr>
              <w:t>、住建/城管等部门监督企业的实施情况。</w:t>
            </w:r>
          </w:p>
        </w:tc>
        <w:tc>
          <w:tcPr>
            <w:tcW w:w="572" w:type="pct"/>
            <w:shd w:val="clear" w:color="auto" w:fill="auto"/>
          </w:tcPr>
          <w:p w14:paraId="33ED732F">
            <w:pPr>
              <w:adjustRightInd w:val="0"/>
              <w:snapToGrid w:val="0"/>
              <w:rPr>
                <w:rFonts w:ascii="Arial" w:hAnsi="Arial" w:cs="Arial"/>
                <w:sz w:val="20"/>
                <w:szCs w:val="20"/>
              </w:rPr>
            </w:pPr>
            <w:r>
              <w:rPr>
                <w:rFonts w:ascii="Arial" w:hAnsi="Arial" w:cs="Arial"/>
                <w:sz w:val="20"/>
                <w:szCs w:val="20"/>
              </w:rPr>
              <w:t>一致。</w:t>
            </w:r>
          </w:p>
        </w:tc>
      </w:tr>
      <w:tr w14:paraId="1F39D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vMerge w:val="continue"/>
            <w:shd w:val="clear" w:color="auto" w:fill="auto"/>
          </w:tcPr>
          <w:p w14:paraId="4389F959">
            <w:pPr>
              <w:adjustRightInd w:val="0"/>
              <w:snapToGrid w:val="0"/>
              <w:rPr>
                <w:rFonts w:ascii="Arial" w:hAnsi="Arial" w:cs="Arial"/>
                <w:sz w:val="20"/>
                <w:szCs w:val="20"/>
              </w:rPr>
            </w:pPr>
          </w:p>
        </w:tc>
        <w:tc>
          <w:tcPr>
            <w:tcW w:w="3894" w:type="pct"/>
            <w:shd w:val="clear" w:color="auto" w:fill="auto"/>
          </w:tcPr>
          <w:p w14:paraId="1F2F979D">
            <w:pPr>
              <w:adjustRightInd w:val="0"/>
              <w:snapToGrid w:val="0"/>
              <w:rPr>
                <w:rFonts w:ascii="Arial" w:hAnsi="Arial" w:cs="Arial"/>
                <w:b/>
                <w:bCs/>
                <w:sz w:val="20"/>
                <w:szCs w:val="20"/>
              </w:rPr>
            </w:pPr>
            <w:r>
              <w:rPr>
                <w:rFonts w:ascii="Arial" w:hAnsi="Arial" w:cs="Arial"/>
                <w:b/>
                <w:bCs/>
                <w:sz w:val="20"/>
                <w:szCs w:val="20"/>
              </w:rPr>
              <w:t>社会：i</w:t>
            </w:r>
            <w:r>
              <w:rPr>
                <w:rFonts w:hint="eastAsia" w:ascii="Arial" w:hAnsi="Arial" w:cs="Arial"/>
                <w:b/>
                <w:bCs/>
                <w:sz w:val="20"/>
                <w:szCs w:val="20"/>
                <w:lang w:eastAsia="zh-CN"/>
              </w:rPr>
              <w:t>）</w:t>
            </w:r>
            <w:r>
              <w:rPr>
                <w:rFonts w:ascii="Arial" w:hAnsi="Arial" w:cs="Arial"/>
                <w:b/>
                <w:bCs/>
                <w:sz w:val="20"/>
                <w:szCs w:val="20"/>
              </w:rPr>
              <w:t>《危险化学品安全管理条例》</w:t>
            </w:r>
            <w:r>
              <w:rPr>
                <w:rFonts w:hint="eastAsia" w:ascii="Arial" w:hAnsi="Arial" w:cs="Arial"/>
                <w:b/>
                <w:bCs/>
                <w:sz w:val="20"/>
                <w:szCs w:val="20"/>
                <w:lang w:eastAsia="zh-CN"/>
              </w:rPr>
              <w:t>第四条</w:t>
            </w:r>
            <w:r>
              <w:rPr>
                <w:rFonts w:ascii="Arial" w:hAnsi="Arial" w:cs="Arial"/>
                <w:b/>
                <w:bCs/>
                <w:sz w:val="20"/>
                <w:szCs w:val="20"/>
              </w:rPr>
              <w:t>，</w:t>
            </w:r>
            <w:r>
              <w:rPr>
                <w:rFonts w:ascii="Arial" w:hAnsi="Arial" w:cs="Arial"/>
                <w:sz w:val="20"/>
                <w:szCs w:val="20"/>
              </w:rPr>
              <w:t>危险化学品单位应当对从业人员进行安全教育、</w:t>
            </w:r>
            <w:r>
              <w:rPr>
                <w:rFonts w:hint="eastAsia" w:ascii="Arial" w:hAnsi="Arial" w:cs="Arial"/>
                <w:sz w:val="20"/>
                <w:szCs w:val="20"/>
                <w:lang w:eastAsia="zh-CN"/>
              </w:rPr>
              <w:t>法制教育</w:t>
            </w:r>
            <w:r>
              <w:rPr>
                <w:rFonts w:ascii="Arial" w:hAnsi="Arial" w:cs="Arial"/>
                <w:sz w:val="20"/>
                <w:szCs w:val="20"/>
              </w:rPr>
              <w:t>和岗位技术培训。从业人员应当接受教育和培训，考核合格后上岗作业。</w:t>
            </w:r>
            <w:r>
              <w:rPr>
                <w:rFonts w:ascii="Arial" w:hAnsi="Arial" w:cs="Arial"/>
                <w:sz w:val="20"/>
                <w:szCs w:val="20"/>
              </w:rPr>
              <w:br w:type="textWrapping"/>
            </w:r>
            <w:r>
              <w:rPr>
                <w:rFonts w:hint="eastAsia" w:ascii="Arial" w:hAnsi="Arial" w:cs="Arial"/>
                <w:sz w:val="20"/>
                <w:szCs w:val="20"/>
                <w:lang w:eastAsia="zh-CN"/>
              </w:rPr>
              <w:t>ⅱ</w:t>
            </w:r>
            <w:r>
              <w:rPr>
                <w:rFonts w:hint="eastAsia" w:ascii="Arial" w:hAnsi="Arial" w:cs="Arial"/>
                <w:b/>
                <w:bCs/>
                <w:sz w:val="20"/>
                <w:szCs w:val="20"/>
                <w:lang w:val="en-GB" w:eastAsia="zh-CN"/>
              </w:rPr>
              <w:t>）</w:t>
            </w:r>
            <w:r>
              <w:rPr>
                <w:rFonts w:ascii="Arial" w:hAnsi="Arial" w:cs="Arial"/>
                <w:b/>
                <w:bCs/>
                <w:sz w:val="20"/>
                <w:szCs w:val="20"/>
              </w:rPr>
              <w:t>《职业健康安全管理体系要求及使用指南》</w:t>
            </w:r>
            <w:r>
              <w:rPr>
                <w:rFonts w:ascii="Arial" w:hAnsi="Arial" w:cs="Arial"/>
                <w:sz w:val="20"/>
                <w:szCs w:val="20"/>
              </w:rPr>
              <w:t>，是针对在组织活动、产品和服务全过程中可能出现的安全问题，以预防为主和持续改进的思想，制定的职业健康安全管理体系的地区性标准，致力于全面系统地识别、控制组织潜在的职业健康安全危险源，使组织活动过程中可能产生的安全事故消灭在萌芽状态，达到保护职工健康安全的目的。有关企业可以申请进行“职业健康与安全管理体系”认证，通过建立系统化、规范化的管理体系，对危险源进行源头识别和全过程控制，做到持续改进，持续守法。评价包括查阅：1）劳动安全、职业卫生的预评价；2）劳动安全、职业卫生、消防的验收报告；3）职业卫生、消防相关的检测报告；4）如果是化学危险品单位还有相应的化学品安全评估等相关报告：5）产品生产许可证复印件（有要求时）；6）企业法人营业执照副本复印件。要对以下内容进行全面审查：1）组织的安全生产许可证明；2）生产工艺流程图或服务提供流程图；3）组织机构图；4）适用的法律法规清单；5）地理位置示意图；6）厂区平面布置图；7）生产车间平面布置图；8）重大危险源清单；9）职业健康安全目标、指标和管理方案；10）守法证明等资料。</w:t>
            </w:r>
            <w:r>
              <w:rPr>
                <w:rFonts w:ascii="Arial" w:hAnsi="Arial" w:cs="Arial"/>
                <w:sz w:val="20"/>
                <w:szCs w:val="20"/>
              </w:rPr>
              <w:br w:type="textWrapping"/>
            </w: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《用人单位职业病防治指南》，</w:t>
            </w:r>
            <w:r>
              <w:rPr>
                <w:rFonts w:ascii="Arial" w:hAnsi="Arial" w:cs="Arial"/>
                <w:sz w:val="20"/>
                <w:szCs w:val="20"/>
              </w:rPr>
              <w:t>规定了用人单位职业病防治通用要求，分级分类管理方法、职业卫生档案管理以及职业卫生评估要求等。通用要求包括：制定单位职业卫生方针，设置职业病防治领导机构，设置职业卫生管理机构，明确相关组织的职能，配备专（兼）职的职业卫生专员；</w:t>
            </w:r>
            <w:r>
              <w:rPr>
                <w:rFonts w:hint="eastAsia" w:ascii="Arial" w:hAnsi="Arial" w:cs="Arial"/>
                <w:sz w:val="20"/>
                <w:szCs w:val="20"/>
                <w:lang w:val="en-US" w:eastAsia="zh-CN"/>
              </w:rPr>
              <w:t>将</w:t>
            </w:r>
            <w:r>
              <w:rPr>
                <w:rFonts w:ascii="Arial" w:hAnsi="Arial" w:cs="Arial"/>
                <w:sz w:val="20"/>
                <w:szCs w:val="20"/>
              </w:rPr>
              <w:t>职业病防治工作纳入目标管理责任制；制定职业病防治计划和实施方案；建立、健全职业卫生管理制度，设置岗位操作规程；建立、健全职业卫生档案；建立、健全工作场所职业病危害因素监测及评价制度，确保职业病防治管理必要的经费投入，建立、健全职业病危害事故应急救援预案，依法参加工伤保险。</w:t>
            </w:r>
          </w:p>
        </w:tc>
        <w:tc>
          <w:tcPr>
            <w:tcW w:w="572" w:type="pct"/>
            <w:shd w:val="clear" w:color="auto" w:fill="auto"/>
          </w:tcPr>
          <w:p w14:paraId="7FD81210">
            <w:pPr>
              <w:adjustRightInd w:val="0"/>
              <w:snapToGrid w:val="0"/>
              <w:rPr>
                <w:rFonts w:ascii="Arial" w:hAnsi="Arial" w:cs="Arial"/>
                <w:sz w:val="20"/>
                <w:szCs w:val="20"/>
              </w:rPr>
            </w:pPr>
            <w:r>
              <w:rPr>
                <w:rFonts w:ascii="Arial" w:hAnsi="Arial" w:cs="Arial"/>
                <w:sz w:val="20"/>
                <w:szCs w:val="20"/>
              </w:rPr>
              <w:t>一致</w:t>
            </w:r>
          </w:p>
        </w:tc>
      </w:tr>
      <w:tr w14:paraId="39B6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34" w:type="pct"/>
            <w:shd w:val="clear" w:color="auto" w:fill="auto"/>
          </w:tcPr>
          <w:p w14:paraId="097520C3">
            <w:pPr>
              <w:adjustRightInd w:val="0"/>
              <w:snapToGrid w:val="0"/>
              <w:rPr>
                <w:rFonts w:ascii="Arial" w:hAnsi="Arial" w:cs="Arial"/>
                <w:sz w:val="20"/>
                <w:szCs w:val="20"/>
              </w:rPr>
            </w:pPr>
            <w:r>
              <w:rPr>
                <w:rFonts w:ascii="Arial" w:hAnsi="Arial" w:cs="Arial"/>
                <w:b/>
                <w:bCs/>
                <w:sz w:val="20"/>
                <w:szCs w:val="20"/>
              </w:rPr>
              <w:t>要素8</w:t>
            </w:r>
            <w:r>
              <w:rPr>
                <w:rFonts w:ascii="Arial" w:hAnsi="Arial" w:cs="Arial"/>
                <w:sz w:val="20"/>
                <w:szCs w:val="20"/>
              </w:rPr>
              <w:t>：在自然灾害易发区（如洪水、飓风、地震或其他气候事件）的项目活动，应采取措施避免、减少或减缓社区、个人和工人的风险。</w:t>
            </w:r>
          </w:p>
        </w:tc>
        <w:tc>
          <w:tcPr>
            <w:tcW w:w="3894" w:type="pct"/>
            <w:shd w:val="clear" w:color="auto" w:fill="auto"/>
          </w:tcPr>
          <w:p w14:paraId="6D7695D4">
            <w:pPr>
              <w:adjustRightInd w:val="0"/>
              <w:snapToGrid w:val="0"/>
              <w:rPr>
                <w:rFonts w:ascii="Arial" w:hAnsi="Arial" w:cs="Arial"/>
                <w:sz w:val="20"/>
                <w:szCs w:val="20"/>
              </w:rPr>
            </w:pPr>
            <w:r>
              <w:rPr>
                <w:rFonts w:ascii="Arial" w:hAnsi="Arial" w:cs="Arial"/>
                <w:b/>
                <w:bCs/>
                <w:sz w:val="20"/>
                <w:szCs w:val="20"/>
              </w:rPr>
              <w:t>社会：i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气象灾害防御条例</w:t>
            </w:r>
            <w:r>
              <w:rPr>
                <w:rFonts w:ascii="Arial" w:hAnsi="Arial" w:cs="Arial"/>
                <w:b/>
                <w:bCs/>
                <w:sz w:val="20"/>
                <w:szCs w:val="20"/>
              </w:rPr>
              <w:t>》</w:t>
            </w:r>
            <w:r>
              <w:rPr>
                <w:rFonts w:hint="eastAsia" w:ascii="Arial" w:hAnsi="Arial" w:cs="Arial"/>
                <w:b/>
                <w:bCs/>
                <w:sz w:val="20"/>
                <w:szCs w:val="20"/>
                <w:lang w:eastAsia="zh-CN"/>
              </w:rPr>
              <w:t>第二十七条</w:t>
            </w:r>
            <w:r>
              <w:rPr>
                <w:rFonts w:ascii="Arial" w:hAnsi="Arial" w:cs="Arial"/>
                <w:b/>
                <w:bCs/>
                <w:sz w:val="20"/>
                <w:szCs w:val="20"/>
              </w:rPr>
              <w:t>，</w:t>
            </w:r>
            <w:r>
              <w:rPr>
                <w:rFonts w:ascii="Arial" w:hAnsi="Arial" w:cs="Arial"/>
                <w:sz w:val="20"/>
                <w:szCs w:val="20"/>
              </w:rPr>
              <w:t>县级以上人民政府有关部门在国家重大建设工程、重大区域性经济开发项目以及城乡规划编制中，应当统筹考虑气候可行性和气象灾害的风险性，避免、减轻气象灾害的影响。第23条，各类建（构）筑物、场所和设施安装雷电防护装置应当符合国家有关防雷标准的规定。新建、改建、扩建建（构）筑物、场所和设施的雷电防护装置应当与主体工程同时设计、同时施工、同时投入使用。</w:t>
            </w:r>
          </w:p>
          <w:p w14:paraId="795EE0AC">
            <w:pPr>
              <w:adjustRightInd w:val="0"/>
              <w:snapToGrid w:val="0"/>
              <w:rPr>
                <w:rFonts w:ascii="Arial" w:hAnsi="Arial" w:cs="Arial"/>
                <w:sz w:val="20"/>
                <w:szCs w:val="20"/>
              </w:rPr>
            </w:pPr>
            <w:r>
              <w:rPr>
                <w:rFonts w:hint="eastAsia" w:ascii="Arial" w:hAnsi="Arial" w:cs="Arial"/>
                <w:b/>
                <w:bCs/>
                <w:sz w:val="20"/>
                <w:szCs w:val="20"/>
                <w:lang w:eastAsia="zh-CN"/>
              </w:rPr>
              <w:t>ⅱ）</w:t>
            </w:r>
            <w:r>
              <w:rPr>
                <w:rFonts w:ascii="Arial" w:hAnsi="Arial" w:cs="Arial"/>
                <w:b/>
                <w:bCs/>
                <w:sz w:val="20"/>
                <w:szCs w:val="20"/>
              </w:rPr>
              <w:t>《</w:t>
            </w:r>
            <w:r>
              <w:rPr>
                <w:rFonts w:hint="eastAsia" w:ascii="Arial" w:hAnsi="Arial" w:cs="Arial"/>
                <w:b/>
                <w:bCs/>
                <w:sz w:val="20"/>
                <w:szCs w:val="20"/>
                <w:lang w:eastAsia="zh-CN"/>
              </w:rPr>
              <w:t>中华人民共和国防汛条例</w:t>
            </w:r>
            <w:r>
              <w:rPr>
                <w:rFonts w:ascii="Arial" w:hAnsi="Arial" w:cs="Arial"/>
                <w:b/>
                <w:bCs/>
                <w:sz w:val="20"/>
                <w:szCs w:val="20"/>
              </w:rPr>
              <w:t>》</w:t>
            </w:r>
            <w:r>
              <w:rPr>
                <w:rFonts w:ascii="Arial" w:hAnsi="Arial" w:cs="Arial"/>
                <w:sz w:val="20"/>
                <w:szCs w:val="20"/>
              </w:rPr>
              <w:t>从组织机构、防汛准备、实施与抢险、善后工作、经费等对抗洪防汛进行了系统安排。</w:t>
            </w:r>
          </w:p>
          <w:p w14:paraId="47DE0DA9">
            <w:pPr>
              <w:adjustRightInd w:val="0"/>
              <w:snapToGrid w:val="0"/>
              <w:rPr>
                <w:rFonts w:ascii="Arial" w:hAnsi="Arial" w:cs="Arial"/>
                <w:sz w:val="20"/>
                <w:szCs w:val="20"/>
              </w:rPr>
            </w:pP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《地质灾害防治条例》</w:t>
            </w:r>
            <w:r>
              <w:rPr>
                <w:rFonts w:hint="eastAsia" w:ascii="Arial" w:hAnsi="Arial" w:cs="Arial"/>
                <w:b/>
                <w:bCs/>
                <w:sz w:val="20"/>
                <w:szCs w:val="20"/>
                <w:lang w:eastAsia="zh-CN"/>
              </w:rPr>
              <w:t>第十条</w:t>
            </w:r>
            <w:r>
              <w:rPr>
                <w:rFonts w:ascii="Arial" w:hAnsi="Arial" w:cs="Arial"/>
                <w:b/>
                <w:bCs/>
                <w:sz w:val="20"/>
                <w:szCs w:val="20"/>
              </w:rPr>
              <w:t>，</w:t>
            </w:r>
            <w:r>
              <w:rPr>
                <w:rFonts w:ascii="Arial" w:hAnsi="Arial" w:cs="Arial"/>
                <w:sz w:val="20"/>
                <w:szCs w:val="20"/>
              </w:rPr>
              <w:t>国家、省、县均实行</w:t>
            </w:r>
            <w:r>
              <w:rPr>
                <w:rFonts w:hint="eastAsia" w:ascii="Arial" w:hAnsi="Arial" w:cs="Arial"/>
                <w:sz w:val="20"/>
                <w:szCs w:val="20"/>
                <w:lang w:eastAsia="zh-CN"/>
              </w:rPr>
              <w:t>地质灾害</w:t>
            </w:r>
            <w:r>
              <w:rPr>
                <w:rFonts w:ascii="Arial" w:hAnsi="Arial" w:cs="Arial"/>
                <w:sz w:val="20"/>
                <w:szCs w:val="20"/>
              </w:rPr>
              <w:t>调查制度。依据本行政区域的地质灾害调查结果和上一级地质灾害防治规划，编制本行政区域的地质灾害防治规划，经专家论证后报本级人民政府批准公布。对地质灾害的调查、预防管理进行了系统化安排，如</w:t>
            </w:r>
            <w:r>
              <w:rPr>
                <w:rFonts w:hint="eastAsia" w:ascii="Arial" w:hAnsi="Arial" w:cs="Arial"/>
                <w:sz w:val="20"/>
                <w:szCs w:val="20"/>
                <w:lang w:eastAsia="zh-CN"/>
              </w:rPr>
              <w:t>地质灾害</w:t>
            </w:r>
            <w:r>
              <w:rPr>
                <w:rFonts w:ascii="Arial" w:hAnsi="Arial" w:cs="Arial"/>
                <w:sz w:val="20"/>
                <w:szCs w:val="20"/>
              </w:rPr>
              <w:t>预防、地质灾害应急、地质灾害治理、法律责任等。</w:t>
            </w:r>
          </w:p>
          <w:p w14:paraId="2CBEEAE1">
            <w:pPr>
              <w:adjustRightInd w:val="0"/>
              <w:snapToGrid w:val="0"/>
              <w:rPr>
                <w:rFonts w:ascii="Arial" w:hAnsi="Arial" w:cs="Arial"/>
                <w:sz w:val="20"/>
                <w:szCs w:val="20"/>
              </w:rPr>
            </w:pPr>
            <w:r>
              <w:rPr>
                <w:rFonts w:hint="eastAsia" w:ascii="Arial" w:hAnsi="Arial" w:cs="Arial"/>
                <w:b/>
                <w:bCs/>
                <w:sz w:val="20"/>
                <w:szCs w:val="20"/>
                <w:lang w:eastAsia="zh-CN"/>
              </w:rPr>
              <w:t>ⅳ）</w:t>
            </w:r>
            <w:r>
              <w:rPr>
                <w:rFonts w:ascii="Arial" w:hAnsi="Arial" w:cs="Arial"/>
                <w:b/>
                <w:bCs/>
                <w:sz w:val="20"/>
                <w:szCs w:val="20"/>
              </w:rPr>
              <w:t>《</w:t>
            </w:r>
            <w:r>
              <w:rPr>
                <w:rFonts w:hint="eastAsia" w:ascii="Arial" w:hAnsi="Arial" w:cs="Arial"/>
                <w:b/>
                <w:bCs/>
                <w:sz w:val="20"/>
                <w:szCs w:val="20"/>
                <w:lang w:eastAsia="zh-CN"/>
              </w:rPr>
              <w:t>中华人民共和国防震减灾法</w:t>
            </w:r>
            <w:r>
              <w:rPr>
                <w:rFonts w:ascii="Arial" w:hAnsi="Arial" w:cs="Arial"/>
                <w:b/>
                <w:bCs/>
                <w:sz w:val="20"/>
                <w:szCs w:val="20"/>
              </w:rPr>
              <w:t>》</w:t>
            </w:r>
            <w:r>
              <w:rPr>
                <w:rFonts w:hint="eastAsia" w:ascii="Arial" w:hAnsi="Arial" w:cs="Arial"/>
                <w:b/>
                <w:bCs/>
                <w:sz w:val="20"/>
                <w:szCs w:val="20"/>
                <w:lang w:eastAsia="zh-CN"/>
              </w:rPr>
              <w:t>第三十五条</w:t>
            </w:r>
            <w:r>
              <w:rPr>
                <w:rFonts w:ascii="Arial" w:hAnsi="Arial" w:cs="Arial"/>
                <w:sz w:val="20"/>
                <w:szCs w:val="20"/>
              </w:rPr>
              <w:t>，新建、扩建、改建工程应达到抗震设防要求。重大建设工程和可能发生严重次生灾害的建设工程，按规定进行地震安全性评价，并按照经审定的地震安全性评价报告所确定的抗震设防要求进行抗震设防。建设工程的地震安全性评价单位应当按照国家有关标准进行地震安全性评价，并对地震安全性评价报告的质量负责。</w:t>
            </w:r>
            <w:r>
              <w:rPr>
                <w:rFonts w:hint="eastAsia" w:ascii="Arial" w:hAnsi="Arial" w:cs="Arial"/>
                <w:sz w:val="20"/>
                <w:szCs w:val="20"/>
                <w:lang w:eastAsia="zh-CN"/>
              </w:rPr>
              <w:t>其他</w:t>
            </w:r>
            <w:r>
              <w:rPr>
                <w:rFonts w:ascii="Arial" w:hAnsi="Arial" w:cs="Arial"/>
                <w:sz w:val="20"/>
                <w:szCs w:val="20"/>
              </w:rPr>
              <w:t>建设工程，应当按照地震烈度区划图或者地震动参数区划图所确定的抗震设防要求进行抗震设防；对学校、医院等人员密集场所的建设工程，应当按照高于当地房屋建筑的抗震设防要求进行设计和施工，采取有效措施，增强抗震设防能力。</w:t>
            </w:r>
          </w:p>
          <w:p w14:paraId="33459574">
            <w:pPr>
              <w:adjustRightInd w:val="0"/>
              <w:snapToGrid w:val="0"/>
              <w:rPr>
                <w:rFonts w:ascii="Arial" w:hAnsi="Arial" w:cs="Arial"/>
                <w:sz w:val="20"/>
                <w:szCs w:val="20"/>
              </w:rPr>
            </w:pPr>
            <w:r>
              <w:rPr>
                <w:rFonts w:ascii="Arial" w:hAnsi="Arial" w:cs="Arial"/>
                <w:b/>
                <w:bCs/>
                <w:sz w:val="20"/>
                <w:szCs w:val="20"/>
              </w:rPr>
              <w:t>v</w:t>
            </w:r>
            <w:r>
              <w:rPr>
                <w:rFonts w:hint="eastAsia" w:ascii="Arial" w:hAnsi="Arial" w:cs="Arial"/>
                <w:b/>
                <w:bCs/>
                <w:sz w:val="20"/>
                <w:szCs w:val="20"/>
                <w:lang w:eastAsia="zh-CN"/>
              </w:rPr>
              <w:t>）</w:t>
            </w:r>
            <w:r>
              <w:rPr>
                <w:rFonts w:ascii="Arial" w:hAnsi="Arial" w:cs="Arial"/>
                <w:b/>
                <w:bCs/>
                <w:sz w:val="20"/>
                <w:szCs w:val="20"/>
              </w:rPr>
              <w:t>《关于做好精准健康管理推进人员有序流动的通知》（联防联控机制综发﹝2020﹞203），</w:t>
            </w:r>
            <w:r>
              <w:rPr>
                <w:rFonts w:ascii="Arial" w:hAnsi="Arial" w:cs="Arial"/>
                <w:sz w:val="20"/>
                <w:szCs w:val="20"/>
              </w:rPr>
              <w:t>应根据各地疫情风险等级，依法依规、精准划定防控区域范围，及时采取限制人员流动、核酸检测、健康监测等综合防控措施。中高风险等级地区要尽量避免进入项目区域，避免人员聚集；进入项目区域的人员在测温正常且做好个人防护的前提下可自由有序流动。如无必要，尽量避免前往中高风险地区。</w:t>
            </w:r>
          </w:p>
        </w:tc>
        <w:tc>
          <w:tcPr>
            <w:tcW w:w="572" w:type="pct"/>
            <w:shd w:val="clear" w:color="auto" w:fill="auto"/>
          </w:tcPr>
          <w:p w14:paraId="0F834335">
            <w:pPr>
              <w:adjustRightInd w:val="0"/>
              <w:snapToGrid w:val="0"/>
              <w:rPr>
                <w:rFonts w:ascii="Arial" w:hAnsi="Arial" w:cs="Arial"/>
                <w:sz w:val="20"/>
                <w:szCs w:val="20"/>
              </w:rPr>
            </w:pPr>
            <w:r>
              <w:rPr>
                <w:rFonts w:ascii="Arial" w:hAnsi="Arial" w:cs="Arial"/>
                <w:sz w:val="20"/>
                <w:szCs w:val="20"/>
              </w:rPr>
              <w:t>一致。</w:t>
            </w:r>
          </w:p>
        </w:tc>
      </w:tr>
    </w:tbl>
    <w:p w14:paraId="17449290">
      <w:pPr>
        <w:adjustRightInd w:val="0"/>
        <w:snapToGrid w:val="0"/>
        <w:rPr>
          <w:rFonts w:ascii="Arial" w:hAnsi="Arial" w:cs="Arial"/>
          <w:sz w:val="20"/>
          <w:szCs w:val="20"/>
        </w:rPr>
      </w:pPr>
    </w:p>
    <w:p w14:paraId="3CB75EC0">
      <w:pPr>
        <w:adjustRightInd w:val="0"/>
        <w:snapToGrid w:val="0"/>
        <w:rPr>
          <w:rFonts w:ascii="Arial" w:hAnsi="Arial" w:cs="Arial"/>
          <w:b/>
          <w:bCs/>
          <w:color w:val="1F4E79" w:themeColor="accent5" w:themeShade="80"/>
          <w:sz w:val="20"/>
          <w:szCs w:val="20"/>
        </w:rPr>
      </w:pPr>
    </w:p>
    <w:p w14:paraId="61BACDAE">
      <w:pPr>
        <w:adjustRightInd w:val="0"/>
        <w:snapToGrid w:val="0"/>
        <w:rPr>
          <w:rFonts w:ascii="Arial" w:hAnsi="Arial" w:cs="Arial"/>
          <w:b/>
          <w:bCs/>
          <w:color w:val="1F4E79" w:themeColor="accent5" w:themeShade="80"/>
          <w:sz w:val="20"/>
          <w:szCs w:val="20"/>
        </w:rPr>
      </w:pPr>
    </w:p>
    <w:p w14:paraId="5671758F">
      <w:pPr>
        <w:adjustRightInd w:val="0"/>
        <w:snapToGrid w:val="0"/>
        <w:rPr>
          <w:rFonts w:ascii="Arial" w:hAnsi="Arial" w:cs="Arial"/>
          <w:sz w:val="20"/>
          <w:szCs w:val="20"/>
        </w:rPr>
      </w:pPr>
      <w:r>
        <w:rPr>
          <w:rFonts w:ascii="Arial" w:hAnsi="Arial" w:cs="Arial"/>
          <w:b/>
          <w:bCs/>
          <w:color w:val="1F4E79" w:themeColor="accent5" w:themeShade="80"/>
          <w:sz w:val="20"/>
          <w:szCs w:val="20"/>
        </w:rPr>
        <w:t>核心原则4</w:t>
      </w:r>
      <w:r>
        <w:rPr>
          <w:rFonts w:ascii="Arial" w:hAnsi="Arial" w:cs="Arial"/>
          <w:b/>
          <w:bCs/>
          <w:sz w:val="20"/>
          <w:szCs w:val="20"/>
        </w:rPr>
        <w:t>：</w:t>
      </w:r>
      <w:r>
        <w:rPr>
          <w:rFonts w:ascii="Arial" w:hAnsi="Arial" w:cs="Arial"/>
          <w:sz w:val="20"/>
          <w:szCs w:val="20"/>
        </w:rPr>
        <w:t>以避免或尽量减少流离失所的方式管理土地征用和失去获取自然资源的机会，并协助受影响人民改善或至少恢复其生计和生活水平</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4"/>
        <w:gridCol w:w="11478"/>
        <w:gridCol w:w="1674"/>
      </w:tblGrid>
      <w:tr w14:paraId="2F25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04" w:type="pct"/>
            <w:shd w:val="clear" w:color="auto" w:fill="auto"/>
          </w:tcPr>
          <w:p w14:paraId="59B7D79F">
            <w:pPr>
              <w:adjustRightInd w:val="0"/>
              <w:snapToGrid w:val="0"/>
              <w:jc w:val="center"/>
              <w:rPr>
                <w:rFonts w:ascii="Arial" w:hAnsi="Arial" w:cs="Arial"/>
                <w:b/>
                <w:bCs/>
                <w:sz w:val="20"/>
                <w:szCs w:val="20"/>
              </w:rPr>
            </w:pPr>
            <w:r>
              <w:rPr>
                <w:rFonts w:ascii="Arial" w:hAnsi="Arial" w:cs="Arial"/>
                <w:b/>
                <w:bCs/>
                <w:sz w:val="20"/>
                <w:szCs w:val="20"/>
              </w:rPr>
              <w:t>关键要素</w:t>
            </w:r>
          </w:p>
        </w:tc>
        <w:tc>
          <w:tcPr>
            <w:tcW w:w="3924" w:type="pct"/>
            <w:shd w:val="clear" w:color="auto" w:fill="auto"/>
          </w:tcPr>
          <w:p w14:paraId="7CD7E572">
            <w:pPr>
              <w:adjustRightInd w:val="0"/>
              <w:snapToGrid w:val="0"/>
              <w:jc w:val="center"/>
              <w:rPr>
                <w:rFonts w:ascii="Arial" w:hAnsi="Arial" w:cs="Arial"/>
                <w:b/>
                <w:bCs/>
                <w:sz w:val="20"/>
                <w:szCs w:val="20"/>
              </w:rPr>
            </w:pPr>
            <w:r>
              <w:rPr>
                <w:rFonts w:ascii="Arial" w:hAnsi="Arial" w:cs="Arial"/>
                <w:b/>
                <w:bCs/>
                <w:sz w:val="20"/>
                <w:szCs w:val="20"/>
              </w:rPr>
              <w:t>中国社会管理系统</w:t>
            </w:r>
          </w:p>
        </w:tc>
        <w:tc>
          <w:tcPr>
            <w:tcW w:w="572" w:type="pct"/>
            <w:shd w:val="clear" w:color="auto" w:fill="auto"/>
          </w:tcPr>
          <w:p w14:paraId="018A3BD5">
            <w:pPr>
              <w:adjustRightInd w:val="0"/>
              <w:snapToGrid w:val="0"/>
              <w:jc w:val="center"/>
              <w:rPr>
                <w:rFonts w:ascii="Arial" w:hAnsi="Arial" w:cs="Arial"/>
                <w:b/>
                <w:bCs/>
                <w:sz w:val="20"/>
                <w:szCs w:val="20"/>
              </w:rPr>
            </w:pPr>
            <w:r>
              <w:rPr>
                <w:rFonts w:ascii="Arial" w:hAnsi="Arial" w:cs="Arial"/>
                <w:b/>
                <w:bCs/>
                <w:sz w:val="20"/>
                <w:szCs w:val="20"/>
              </w:rPr>
              <w:t>一致性分析及建议</w:t>
            </w:r>
          </w:p>
        </w:tc>
      </w:tr>
      <w:tr w14:paraId="41A5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5FD1F48B">
            <w:pPr>
              <w:adjustRightInd w:val="0"/>
              <w:snapToGrid w:val="0"/>
              <w:rPr>
                <w:rFonts w:ascii="Arial" w:hAnsi="Arial" w:cs="Arial"/>
                <w:sz w:val="20"/>
                <w:szCs w:val="20"/>
              </w:rPr>
            </w:pPr>
            <w:r>
              <w:rPr>
                <w:rFonts w:ascii="Arial" w:hAnsi="Arial" w:cs="Arial"/>
                <w:b/>
                <w:bCs/>
                <w:sz w:val="20"/>
                <w:szCs w:val="20"/>
              </w:rPr>
              <w:t>要素9</w:t>
            </w:r>
            <w:r>
              <w:rPr>
                <w:rFonts w:ascii="Arial" w:hAnsi="Arial" w:cs="Arial"/>
                <w:sz w:val="20"/>
                <w:szCs w:val="20"/>
              </w:rPr>
              <w:t>：</w:t>
            </w:r>
          </w:p>
          <w:p w14:paraId="149F64E2">
            <w:pPr>
              <w:adjustRightInd w:val="0"/>
              <w:snapToGrid w:val="0"/>
              <w:rPr>
                <w:rFonts w:ascii="Arial" w:hAnsi="Arial" w:cs="Arial"/>
                <w:sz w:val="20"/>
                <w:szCs w:val="20"/>
              </w:rPr>
            </w:pPr>
            <w:r>
              <w:rPr>
                <w:rFonts w:ascii="Arial" w:hAnsi="Arial" w:cs="Arial"/>
                <w:sz w:val="20"/>
                <w:szCs w:val="20"/>
              </w:rPr>
              <w:t>i</w:t>
            </w:r>
            <w:r>
              <w:rPr>
                <w:rFonts w:hint="eastAsia" w:ascii="Arial" w:hAnsi="Arial" w:cs="Arial"/>
                <w:sz w:val="20"/>
                <w:szCs w:val="20"/>
                <w:lang w:eastAsia="zh-CN"/>
              </w:rPr>
              <w:t>）</w:t>
            </w:r>
            <w:r>
              <w:rPr>
                <w:rFonts w:ascii="Arial" w:hAnsi="Arial" w:cs="Arial"/>
                <w:sz w:val="20"/>
                <w:szCs w:val="20"/>
              </w:rPr>
              <w:t xml:space="preserve"> 避免或尽量减少土地征用和相关的不利影响</w:t>
            </w:r>
          </w:p>
        </w:tc>
        <w:tc>
          <w:tcPr>
            <w:tcW w:w="3924" w:type="pct"/>
            <w:shd w:val="clear" w:color="auto" w:fill="auto"/>
          </w:tcPr>
          <w:p w14:paraId="41EDEEF2">
            <w:pPr>
              <w:adjustRightInd w:val="0"/>
              <w:snapToGrid w:val="0"/>
              <w:rPr>
                <w:rFonts w:ascii="Arial" w:hAnsi="Arial" w:cs="Arial"/>
                <w:b/>
                <w:bCs/>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《建设项目用地预审管理办法》</w:t>
            </w:r>
            <w:r>
              <w:rPr>
                <w:rFonts w:ascii="Arial" w:hAnsi="Arial" w:cs="Arial"/>
                <w:sz w:val="20"/>
                <w:szCs w:val="20"/>
              </w:rPr>
              <w:t>要求在审批项目可行性研究报告或审核项目建议书前，对拟提供给项目的土地面积和类型进行鉴别，避免项目征用基本农田、自然保护区等土地；</w:t>
            </w:r>
          </w:p>
          <w:p w14:paraId="5FF48045">
            <w:pPr>
              <w:adjustRightInd w:val="0"/>
              <w:snapToGrid w:val="0"/>
              <w:rPr>
                <w:rFonts w:ascii="Arial" w:hAnsi="Arial" w:cs="Arial"/>
                <w:sz w:val="20"/>
                <w:szCs w:val="20"/>
              </w:rPr>
            </w:pPr>
            <w:r>
              <w:rPr>
                <w:rFonts w:hint="eastAsia" w:ascii="Arial" w:hAnsi="Arial" w:cs="Arial"/>
                <w:b/>
                <w:bCs/>
                <w:sz w:val="20"/>
                <w:szCs w:val="20"/>
                <w:lang w:eastAsia="zh-CN"/>
              </w:rPr>
              <w:t>ⅱ）</w:t>
            </w:r>
            <w:r>
              <w:rPr>
                <w:rFonts w:ascii="Arial" w:hAnsi="Arial" w:cs="Arial"/>
                <w:b/>
                <w:bCs/>
                <w:sz w:val="20"/>
                <w:szCs w:val="20"/>
              </w:rPr>
              <w:t>《关于建立健全重大决策事项社会稳定风险评估机制的指导意见（试行）》</w:t>
            </w:r>
            <w:r>
              <w:rPr>
                <w:rFonts w:ascii="Arial" w:hAnsi="Arial" w:cs="Arial"/>
                <w:sz w:val="20"/>
                <w:szCs w:val="20"/>
              </w:rPr>
              <w:t>（中办发〔2012〕2号）明确，涉及征地拆迁、农民负担、社会保障的建设项目要开展社会稳定风险评价。</w:t>
            </w:r>
          </w:p>
          <w:p w14:paraId="41E9C669">
            <w:pPr>
              <w:adjustRightInd w:val="0"/>
              <w:snapToGrid w:val="0"/>
              <w:rPr>
                <w:rFonts w:ascii="Arial" w:hAnsi="Arial" w:cs="Arial"/>
                <w:sz w:val="20"/>
                <w:szCs w:val="20"/>
              </w:rPr>
            </w:pPr>
            <w:r>
              <w:rPr>
                <w:rFonts w:hint="eastAsia" w:ascii="Arial" w:hAnsi="Arial" w:cs="Arial"/>
                <w:b/>
                <w:bCs/>
                <w:sz w:val="20"/>
                <w:szCs w:val="20"/>
                <w:lang w:eastAsia="zh-CN"/>
              </w:rPr>
              <w:t>ⅲ）</w:t>
            </w:r>
            <w:r>
              <w:rPr>
                <w:rFonts w:ascii="Arial" w:hAnsi="Arial" w:cs="Arial"/>
                <w:b/>
                <w:bCs/>
                <w:sz w:val="20"/>
                <w:szCs w:val="20"/>
              </w:rPr>
              <w:t>《关于建立重大决策事项社会稳定风险评估机制指导意见（试行）》</w:t>
            </w:r>
            <w:r>
              <w:rPr>
                <w:rFonts w:ascii="Arial" w:hAnsi="Arial" w:cs="Arial"/>
                <w:sz w:val="20"/>
                <w:szCs w:val="20"/>
              </w:rPr>
              <w:t>中规定，评估报告认为决策事项存在高风险，应当区别情况作出不实施的决策，或者调整决策方案、降低风险等级后再行决策；存在中风险的，待采取有效的防范、化解风险措施后，再作出实施的决策；存在低风险的，可以作出实施的决策，但要做好解释说服工作，妥善处理相关群众的合理诉求。对影响和风险管理，要评估措施的合法性、合理性、可行性和可控性。</w:t>
            </w:r>
          </w:p>
          <w:p w14:paraId="406D80D6">
            <w:pPr>
              <w:rPr>
                <w:rFonts w:ascii="Arial" w:hAnsi="Arial" w:cs="Arial"/>
                <w:sz w:val="20"/>
                <w:szCs w:val="20"/>
              </w:rPr>
            </w:pPr>
            <w:r>
              <w:rPr>
                <w:rFonts w:hint="eastAsia" w:ascii="Arial" w:hAnsi="Arial" w:cs="Arial"/>
                <w:b/>
                <w:bCs/>
                <w:sz w:val="20"/>
                <w:szCs w:val="20"/>
                <w:lang w:eastAsia="zh-CN"/>
              </w:rPr>
              <w:t>ⅳ）</w:t>
            </w:r>
            <w:r>
              <w:rPr>
                <w:rFonts w:ascii="Arial" w:hAnsi="Arial" w:cs="Arial"/>
                <w:b/>
                <w:bCs/>
                <w:sz w:val="20"/>
                <w:szCs w:val="20"/>
              </w:rPr>
              <w:t>《关于加强新形势下重大决策社会稳定风险评估机制建设的意见》</w:t>
            </w:r>
            <w:r>
              <w:rPr>
                <w:rFonts w:ascii="Arial" w:hAnsi="Arial" w:cs="Arial"/>
                <w:sz w:val="20"/>
                <w:szCs w:val="20"/>
              </w:rPr>
              <w:t>：重大工程建设需要进行社会稳定风险评估的，应当把评估作为项目可行性研究的重要内容。对经评估确定社会稳定风险较小，实施条件成熟、已决定实施的重大决策、</w:t>
            </w:r>
            <w:r>
              <w:rPr>
                <w:rFonts w:hint="eastAsia" w:ascii="Arial" w:hAnsi="Arial" w:cs="Arial"/>
                <w:sz w:val="20"/>
                <w:szCs w:val="20"/>
                <w:lang w:eastAsia="zh-CN"/>
              </w:rPr>
              <w:t>项目</w:t>
            </w:r>
            <w:r>
              <w:rPr>
                <w:rFonts w:ascii="Arial" w:hAnsi="Arial" w:cs="Arial"/>
                <w:sz w:val="20"/>
                <w:szCs w:val="20"/>
              </w:rPr>
              <w:t>和事项，依照风险控制预案有计划地推进实施：对经评估认为存在一定社会稳定风险、实施条件尚不具备的，要暂缓决策或审批，要调整完善原有方案，待条件成熟、风险因素消除后重新报请实施：对于一些较为紧迫、客观上确需付诸实施，但又存在较大风险的。要在落实预防化解措施上稳妥推进；对经评估认为存在重大社会稳定风险、不符合相关条件的，坚决不予实施。</w:t>
            </w:r>
          </w:p>
          <w:p w14:paraId="43F471A7">
            <w:pPr>
              <w:rPr>
                <w:rFonts w:ascii="Arial" w:hAnsi="Arial" w:cs="Arial"/>
                <w:sz w:val="20"/>
                <w:szCs w:val="20"/>
              </w:rPr>
            </w:pPr>
            <w:r>
              <w:rPr>
                <w:rFonts w:ascii="Arial" w:hAnsi="Arial" w:cs="Arial"/>
                <w:b/>
                <w:bCs/>
                <w:sz w:val="20"/>
                <w:szCs w:val="20"/>
              </w:rPr>
              <w:t>v</w:t>
            </w:r>
            <w:r>
              <w:rPr>
                <w:rFonts w:hint="eastAsia" w:ascii="Arial" w:hAnsi="Arial" w:cs="Arial"/>
                <w:b/>
                <w:bCs/>
                <w:sz w:val="20"/>
                <w:szCs w:val="20"/>
                <w:lang w:eastAsia="zh-CN"/>
              </w:rPr>
              <w:t>）</w:t>
            </w:r>
            <w:r>
              <w:rPr>
                <w:rFonts w:ascii="Arial" w:hAnsi="Arial" w:cs="Arial"/>
                <w:b/>
                <w:bCs/>
                <w:sz w:val="20"/>
                <w:szCs w:val="20"/>
              </w:rPr>
              <w:t>《自然资源部农业农村部国家林业和草原局关于严格耕地用途管制有关问题的通知》</w:t>
            </w:r>
            <w:r>
              <w:rPr>
                <w:rFonts w:ascii="Arial" w:hAnsi="Arial" w:cs="Arial"/>
                <w:sz w:val="20"/>
                <w:szCs w:val="20"/>
              </w:rPr>
              <w:t>（自然资发</w:t>
            </w:r>
            <w:r>
              <w:rPr>
                <w:rFonts w:hint="eastAsia" w:ascii="Arial" w:hAnsi="Arial" w:cs="Arial"/>
                <w:sz w:val="20"/>
                <w:szCs w:val="20"/>
                <w:lang w:eastAsia="zh-CN"/>
              </w:rPr>
              <w:t>〔2021〕166号</w:t>
            </w:r>
            <w:r>
              <w:rPr>
                <w:rFonts w:ascii="Arial" w:hAnsi="Arial" w:cs="Arial"/>
                <w:sz w:val="20"/>
                <w:szCs w:val="20"/>
              </w:rPr>
              <w:t>），要求永久基本农田不得转为林地、草地、园地等其他农用地及农业设施建设用地，对耕地转为其他农用地及农业设施建设用地实行年度“进出平衡”，应当通过统筹林地、草地、园地等其他农用地及农业设施建设用地整治为耕地等方式，补足同等数量、质量的可以长期稳定利用的耕地。</w:t>
            </w:r>
          </w:p>
          <w:p w14:paraId="13B8DA54">
            <w:pPr>
              <w:rPr>
                <w:rFonts w:ascii="Arial" w:hAnsi="Arial" w:cs="Arial"/>
                <w:sz w:val="20"/>
                <w:szCs w:val="20"/>
              </w:rPr>
            </w:pPr>
            <w:r>
              <w:rPr>
                <w:rFonts w:ascii="Arial" w:hAnsi="Arial" w:cs="Arial"/>
                <w:b/>
                <w:bCs/>
                <w:sz w:val="20"/>
                <w:szCs w:val="20"/>
              </w:rPr>
              <w:t>vi</w:t>
            </w:r>
            <w:r>
              <w:rPr>
                <w:rFonts w:hint="eastAsia" w:ascii="Arial" w:hAnsi="Arial" w:cs="Arial"/>
                <w:b/>
                <w:bCs/>
                <w:sz w:val="20"/>
                <w:szCs w:val="20"/>
                <w:lang w:eastAsia="zh-CN"/>
              </w:rPr>
              <w:t>）</w:t>
            </w:r>
            <w:r>
              <w:rPr>
                <w:rFonts w:ascii="Arial" w:hAnsi="Arial" w:cs="Arial"/>
                <w:b/>
                <w:bCs/>
                <w:sz w:val="20"/>
                <w:szCs w:val="20"/>
              </w:rPr>
              <w:t>《湖北省人民政府关于落实最严格耕地保护制度的通知》</w:t>
            </w:r>
            <w:r>
              <w:rPr>
                <w:rFonts w:ascii="Arial" w:hAnsi="Arial" w:cs="Arial"/>
                <w:sz w:val="20"/>
                <w:szCs w:val="20"/>
              </w:rPr>
              <w:t>对耕地的占用做出了非常具体细致的规定：</w:t>
            </w:r>
          </w:p>
          <w:p w14:paraId="359C8702">
            <w:pPr>
              <w:adjustRightInd w:val="0"/>
              <w:snapToGrid w:val="0"/>
              <w:rPr>
                <w:rFonts w:ascii="Arial" w:hAnsi="Arial" w:cs="Arial"/>
                <w:sz w:val="20"/>
                <w:szCs w:val="20"/>
              </w:rPr>
            </w:pPr>
            <w:r>
              <w:rPr>
                <w:rFonts w:ascii="Arial" w:hAnsi="Arial" w:cs="Arial"/>
                <w:sz w:val="20"/>
                <w:szCs w:val="20"/>
              </w:rPr>
              <w:t>1）将违规占用永久基本农田开展绿化造林、挖湖造景、非农建设等耕地“非农化”行为纳入耕地保护目标责任考核内容，加强对违法违规行为的查处。2）严禁违规占用耕地绿化造林、挖湖造景。禁止占用永久基本农田种植苗木、草皮等用以绿化造林。严格控制在国家批准的规模和范围内，严格甄别项目实施地块的土地性质，涉及违法违规占用耕地的一律不纳入项目库，不予核实造林面积，不享受林业项目补助政策。禁止以河流、湿地、湖泊等治理为名，擅自占用耕地挖田造湖、填湖造景。对未履行审批手续并违规占用耕地的项目，必须立即停止并限期整改。3）严禁占用耕地超标准建设绿色通道。严格按规定办理交通、水利建设项目配套绿化用地的审批手续，涉及占用耕地的必须落实占补平衡。严格控制绿色通道建设规模，铁路、国道省道（含高速公路）、县乡道路两侧用地范围以外违规占用耕地超标准建设绿化带的要立即停止。4）严禁占用永久基本农田扩大自然保护地。新建自然保护地应符合国土空间规划，严禁占用永久基本农田。5）严禁违规占用耕地从事非农建设。严格农村地区建设用地审批和乡村建设规划许可管理。6）严禁违法违规批地用地。严禁通过擅自调整县乡国土空间规划规避占用永久基本农田审批。严格建设用地报批，要按照批准的用途、位置、标准进行建设，严禁未批先用、批少占多、批甲占乙。严格临时用地管理，土地使用者要按法定程序申请临时用地，临时占用永久基本农田的，要采取耕地耕作层土壤剥离再利用等工程技术措施，减少对耕作层的破坏。编制的土地复垦方案须经市州自然资源主管部门审查通过，并由县级自然资源主管部门批准后，方可临时占用。临时用地到期后，土地使用者应及时复垦恢复原种植条件，不得超时限长期违规使用。对各类未经批准或不符合规定的建设项目、临时用地等占用耕地及永久基本农田的，依法依规严肃处理并责令限期恢复原种植条件。7）统筹生态保护红线、永久基本农田和城镇开发边界三条控制线，突出耕地保护优先，节约优先，统筹布局耕地、建设用地、生态用地，优化国土空间布局。严格落实土地用途管制，实行耕地保护红线、建设用地总量“双标”管控，从严控制农用地转用。7）严格落实耕地占补平衡机制，确保建设占用耕地及时保质保量补充到位。8）强化永久基本农田特殊保护制度。永久基本农田一经划定，任何单位和个人不得擅自占用或改变用途。禁止任何单位和个人破坏永久基本农田耕作层。</w:t>
            </w:r>
          </w:p>
          <w:p w14:paraId="50F41DEF">
            <w:pPr>
              <w:adjustRightInd w:val="0"/>
              <w:snapToGrid w:val="0"/>
              <w:rPr>
                <w:rFonts w:ascii="Arial" w:hAnsi="Arial" w:cs="Arial"/>
                <w:sz w:val="20"/>
                <w:szCs w:val="20"/>
              </w:rPr>
            </w:pPr>
            <w:r>
              <w:rPr>
                <w:rFonts w:hint="eastAsia" w:ascii="Arial" w:hAnsi="Arial" w:cs="Arial"/>
                <w:b/>
                <w:bCs/>
                <w:sz w:val="20"/>
                <w:szCs w:val="20"/>
                <w:lang w:eastAsia="zh-CN"/>
              </w:rPr>
              <w:t>ⅶ</w:t>
            </w:r>
            <w:r>
              <w:rPr>
                <w:rFonts w:ascii="Arial" w:hAnsi="Arial" w:cs="Arial"/>
                <w:b/>
                <w:bCs/>
                <w:sz w:val="20"/>
                <w:szCs w:val="20"/>
              </w:rPr>
              <w:t>）《中共湖南省委湖南省人民政府关于加强耕地保护和改进占补平衡的实施意见》：</w:t>
            </w:r>
            <w:r>
              <w:rPr>
                <w:rFonts w:ascii="Arial" w:hAnsi="Arial" w:cs="Arial"/>
                <w:sz w:val="20"/>
                <w:szCs w:val="20"/>
              </w:rPr>
              <w:t>1）强化土地用途管制，城乡建设、产业发展、基础设施、环境保护等相关规划应与土地利用总体规划相衔接，原则上不得突破土地利用总体规划确定的耕地保护红线、永久基本农田边界以及城镇开发边界。2）永久基本农田一经划定，任何单位和个人不得擅自占用或改变用途。一般建设项目不得占用永久基本农田，重大建设项目选址确实难以避让永久基本农田的，应严格按规定进行现场核实、论证和报批。严禁通过擅自调整县乡土地利用总体规划，规避占用永久基本农田审批。3）以节约集约用地缓解建设占用耕地压力。严格建设用地总量和强度控制。4）科学合理确定农村居民点用地布局和规模。引导农民集中建房或原址重建，充分利用村内存量建设用地和未利用地，尽量不占或少占耕地。农民建房经批准确需占用耕地的，应依法履行耕地占补平衡义务，不能依法履行耕地占补平衡义务的，应当按规定缴纳耕地开垦费，由县级政府统筹落实耕地占补平衡。5）严厉打击各类滥占、破坏耕地行为，严肃查处非法批准占用耕地案件，坚决遏制违法“挖田造湖”、建设人造水景等严重破坏耕地行为。6）严格落实耕地占补平衡责任，完成补充耕地任务。</w:t>
            </w:r>
          </w:p>
          <w:p w14:paraId="402D3B3B">
            <w:pPr>
              <w:adjustRightInd w:val="0"/>
              <w:snapToGrid w:val="0"/>
              <w:rPr>
                <w:rFonts w:ascii="Arial" w:hAnsi="Arial" w:cs="Arial"/>
                <w:sz w:val="20"/>
                <w:szCs w:val="20"/>
              </w:rPr>
            </w:pPr>
            <w:r>
              <w:rPr>
                <w:rFonts w:hint="eastAsia" w:ascii="Arial" w:hAnsi="Arial" w:cs="Arial"/>
                <w:b/>
                <w:bCs/>
                <w:sz w:val="20"/>
                <w:szCs w:val="20"/>
                <w:lang w:eastAsia="zh-CN"/>
              </w:rPr>
              <w:t>ⅷ）</w:t>
            </w:r>
            <w:r>
              <w:rPr>
                <w:rFonts w:ascii="Arial" w:hAnsi="Arial" w:cs="Arial"/>
                <w:b/>
                <w:bCs/>
                <w:sz w:val="20"/>
                <w:szCs w:val="20"/>
              </w:rPr>
              <w:t>《湖北省自然资源厅 省农业农村厅 关于进一步规范设施农业用地管理有关问题的通知》</w:t>
            </w:r>
            <w:r>
              <w:rPr>
                <w:rFonts w:ascii="Arial" w:hAnsi="Arial" w:cs="Arial"/>
                <w:sz w:val="20"/>
                <w:szCs w:val="20"/>
              </w:rPr>
              <w:t>（鄂自然资规〔2020〕4号），要求镇人民政府应会同县级自然资源和农业农村等部门依据国土空间规划、农业发展规划，合理布局设施农业用地，确定设施农业用地位置、范围。设施农业用地选址应尽量利用未利用地和低效闲置的土地，不占或少占耕地。确需占用耕地的，应尽量占用劣质耕地，避免滥占优质耕地。</w:t>
            </w:r>
          </w:p>
          <w:p w14:paraId="2246255F">
            <w:pPr>
              <w:adjustRightInd w:val="0"/>
              <w:snapToGrid w:val="0"/>
              <w:rPr>
                <w:rFonts w:ascii="Arial" w:hAnsi="Arial" w:cs="Arial"/>
                <w:b/>
                <w:bCs/>
                <w:sz w:val="20"/>
                <w:szCs w:val="20"/>
              </w:rPr>
            </w:pPr>
            <w:r>
              <w:rPr>
                <w:rFonts w:hint="eastAsia" w:ascii="Arial" w:hAnsi="Arial" w:cs="Arial"/>
                <w:b/>
                <w:bCs/>
                <w:sz w:val="20"/>
                <w:szCs w:val="20"/>
                <w:lang w:eastAsia="zh-CN"/>
              </w:rPr>
              <w:t>ⅸ）</w:t>
            </w:r>
            <w:r>
              <w:rPr>
                <w:rFonts w:ascii="Arial" w:hAnsi="Arial" w:cs="Arial"/>
                <w:b/>
                <w:bCs/>
                <w:sz w:val="20"/>
                <w:szCs w:val="20"/>
              </w:rPr>
              <w:t>《湖南省自然资源厅 湖南省农业农村厅关于改进设施农业用地管理的通知》</w:t>
            </w:r>
            <w:r>
              <w:rPr>
                <w:rFonts w:ascii="Arial" w:hAnsi="Arial" w:cs="Arial"/>
                <w:sz w:val="20"/>
                <w:szCs w:val="20"/>
              </w:rPr>
              <w:t>（湘自然资规〔2020〕3号），提出乡镇政府依据国土空间规划、农业发展规划、村庄规划等，在保护耕地、节约集约利用土地、符合设施农业用地政策的前提下，确定设施农业用地位置范围且选址应尽量利用荒山、荒沟、荒丘、荒滩和农村集体建设用地。</w:t>
            </w:r>
          </w:p>
        </w:tc>
        <w:tc>
          <w:tcPr>
            <w:tcW w:w="572" w:type="pct"/>
            <w:shd w:val="clear" w:color="auto" w:fill="auto"/>
          </w:tcPr>
          <w:p w14:paraId="7814664E">
            <w:pPr>
              <w:adjustRightInd w:val="0"/>
              <w:snapToGrid w:val="0"/>
              <w:rPr>
                <w:rFonts w:ascii="Arial" w:hAnsi="Arial" w:cs="Arial"/>
                <w:sz w:val="20"/>
                <w:szCs w:val="20"/>
              </w:rPr>
            </w:pPr>
            <w:r>
              <w:rPr>
                <w:rFonts w:ascii="Arial" w:hAnsi="Arial" w:cs="Arial"/>
                <w:sz w:val="20"/>
                <w:szCs w:val="20"/>
              </w:rPr>
              <w:t>一致。</w:t>
            </w:r>
          </w:p>
        </w:tc>
      </w:tr>
      <w:tr w14:paraId="1D71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0CB9DAD5">
            <w:pPr>
              <w:adjustRightInd w:val="0"/>
              <w:snapToGrid w:val="0"/>
              <w:rPr>
                <w:rFonts w:ascii="Arial" w:hAnsi="Arial" w:cs="Arial"/>
                <w:sz w:val="20"/>
                <w:szCs w:val="20"/>
              </w:rPr>
            </w:pPr>
            <w:r>
              <w:rPr>
                <w:rFonts w:hint="eastAsia" w:ascii="Arial" w:hAnsi="Arial" w:cs="Arial"/>
                <w:sz w:val="20"/>
                <w:szCs w:val="20"/>
                <w:lang w:eastAsia="zh-CN"/>
              </w:rPr>
              <w:t>ⅱ）</w:t>
            </w:r>
            <w:r>
              <w:rPr>
                <w:rFonts w:ascii="Arial" w:hAnsi="Arial" w:cs="Arial"/>
                <w:sz w:val="20"/>
                <w:szCs w:val="20"/>
              </w:rPr>
              <w:t xml:space="preserve"> 识别并解决因征地或丧失自然资源而造成的经济和社会影响</w:t>
            </w:r>
          </w:p>
        </w:tc>
        <w:tc>
          <w:tcPr>
            <w:tcW w:w="3924" w:type="pct"/>
            <w:shd w:val="clear" w:color="auto" w:fill="auto"/>
          </w:tcPr>
          <w:p w14:paraId="510CE6CF">
            <w:pPr>
              <w:adjustRightInd w:val="0"/>
              <w:snapToGrid w:val="0"/>
              <w:rPr>
                <w:rFonts w:ascii="Arial" w:hAnsi="Arial" w:cs="Arial"/>
                <w:b/>
                <w:bCs/>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第二十六条</w:t>
            </w:r>
            <w:r>
              <w:rPr>
                <w:rFonts w:ascii="Arial" w:hAnsi="Arial" w:cs="Arial"/>
                <w:b/>
                <w:bCs/>
                <w:sz w:val="20"/>
                <w:szCs w:val="20"/>
              </w:rPr>
              <w:t>，</w:t>
            </w:r>
            <w:r>
              <w:rPr>
                <w:rFonts w:ascii="Arial" w:hAnsi="Arial" w:cs="Arial"/>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p>
          <w:p w14:paraId="76FF6D56">
            <w:pPr>
              <w:adjustRightInd w:val="0"/>
              <w:snapToGrid w:val="0"/>
              <w:rPr>
                <w:rFonts w:ascii="Arial" w:hAnsi="Arial" w:cs="Arial"/>
                <w:sz w:val="20"/>
                <w:szCs w:val="20"/>
              </w:rPr>
            </w:pPr>
            <w:r>
              <w:rPr>
                <w:rFonts w:hint="eastAsia" w:ascii="Arial" w:hAnsi="Arial" w:cs="Arial"/>
                <w:b/>
                <w:bCs/>
                <w:sz w:val="20"/>
                <w:szCs w:val="20"/>
                <w:lang w:eastAsia="zh-CN"/>
              </w:rPr>
              <w:t>ⅱ）</w:t>
            </w:r>
            <w:r>
              <w:rPr>
                <w:rFonts w:ascii="Arial" w:hAnsi="Arial" w:cs="Arial"/>
                <w:b/>
                <w:bCs/>
                <w:sz w:val="20"/>
                <w:szCs w:val="20"/>
              </w:rPr>
              <w:t>《</w:t>
            </w:r>
            <w:r>
              <w:rPr>
                <w:rFonts w:hint="eastAsia" w:ascii="Arial" w:hAnsi="Arial" w:cs="Arial"/>
                <w:b/>
                <w:bCs/>
                <w:sz w:val="20"/>
                <w:szCs w:val="20"/>
                <w:lang w:eastAsia="zh-CN"/>
              </w:rPr>
              <w:t>中华人民共和国土地管理法实施条例</w:t>
            </w:r>
            <w:r>
              <w:rPr>
                <w:rFonts w:ascii="Arial" w:hAnsi="Arial" w:cs="Arial"/>
                <w:b/>
                <w:bCs/>
                <w:sz w:val="20"/>
                <w:szCs w:val="20"/>
              </w:rPr>
              <w:t>》</w:t>
            </w:r>
            <w:r>
              <w:rPr>
                <w:rFonts w:hint="eastAsia" w:ascii="Arial" w:hAnsi="Arial" w:cs="Arial"/>
                <w:b/>
                <w:bCs/>
                <w:sz w:val="20"/>
                <w:szCs w:val="20"/>
                <w:lang w:eastAsia="zh-CN"/>
              </w:rPr>
              <w:t>第二十五条</w:t>
            </w:r>
            <w:r>
              <w:rPr>
                <w:rFonts w:ascii="Arial" w:hAnsi="Arial" w:cs="Arial"/>
                <w:b/>
                <w:bCs/>
                <w:sz w:val="20"/>
                <w:szCs w:val="20"/>
              </w:rPr>
              <w:t>规定，</w:t>
            </w:r>
            <w:r>
              <w:rPr>
                <w:rFonts w:ascii="Arial" w:hAnsi="Arial" w:cs="Arial"/>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hAnsi="Arial" w:cs="Arial"/>
                <w:b/>
                <w:bCs/>
                <w:sz w:val="20"/>
                <w:szCs w:val="20"/>
              </w:rPr>
              <w:t>第26条</w:t>
            </w:r>
            <w:r>
              <w:rPr>
                <w:rFonts w:hint="eastAsia" w:ascii="Arial" w:hAnsi="Arial" w:cs="Arial"/>
                <w:b/>
                <w:bCs/>
                <w:sz w:val="20"/>
                <w:szCs w:val="20"/>
                <w:lang w:eastAsia="zh-CN"/>
              </w:rPr>
              <w:t>，</w:t>
            </w:r>
            <w:r>
              <w:rPr>
                <w:rFonts w:ascii="Arial" w:hAnsi="Arial" w:cs="Arial"/>
                <w:sz w:val="20"/>
                <w:szCs w:val="20"/>
              </w:rPr>
              <w:t>土地补偿费归农村集体经济组织所有；地上附着物及青苗补偿费归地上附着物及青苗的所有者所有。</w:t>
            </w:r>
          </w:p>
        </w:tc>
        <w:tc>
          <w:tcPr>
            <w:tcW w:w="572" w:type="pct"/>
            <w:shd w:val="clear" w:color="auto" w:fill="auto"/>
          </w:tcPr>
          <w:p w14:paraId="401269CA">
            <w:pPr>
              <w:adjustRightInd w:val="0"/>
              <w:snapToGrid w:val="0"/>
              <w:rPr>
                <w:rFonts w:ascii="Arial" w:hAnsi="Arial" w:cs="Arial"/>
                <w:sz w:val="20"/>
                <w:szCs w:val="20"/>
              </w:rPr>
            </w:pPr>
            <w:r>
              <w:rPr>
                <w:rFonts w:ascii="Arial" w:hAnsi="Arial" w:cs="Arial"/>
                <w:sz w:val="20"/>
                <w:szCs w:val="20"/>
              </w:rPr>
              <w:t>一致。</w:t>
            </w:r>
          </w:p>
        </w:tc>
      </w:tr>
      <w:tr w14:paraId="365A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1ACF2D5A">
            <w:pPr>
              <w:adjustRightInd w:val="0"/>
              <w:snapToGrid w:val="0"/>
              <w:rPr>
                <w:rFonts w:ascii="Arial" w:hAnsi="Arial" w:cs="Arial"/>
                <w:sz w:val="20"/>
                <w:szCs w:val="20"/>
              </w:rPr>
            </w:pPr>
            <w:r>
              <w:rPr>
                <w:rFonts w:hint="eastAsia" w:ascii="Arial" w:hAnsi="Arial" w:cs="Arial"/>
                <w:sz w:val="20"/>
                <w:szCs w:val="20"/>
                <w:lang w:eastAsia="zh-CN"/>
              </w:rPr>
              <w:t>ⅲ）</w:t>
            </w:r>
            <w:r>
              <w:rPr>
                <w:rFonts w:ascii="Arial" w:hAnsi="Arial" w:cs="Arial"/>
                <w:sz w:val="20"/>
                <w:szCs w:val="20"/>
              </w:rPr>
              <w:t xml:space="preserve"> 提供足够的补偿，以购买等值的重置资产，并支付在取得土地或限制进入之前所需的过渡费用。</w:t>
            </w:r>
          </w:p>
        </w:tc>
        <w:tc>
          <w:tcPr>
            <w:tcW w:w="3924" w:type="pct"/>
            <w:shd w:val="clear" w:color="auto" w:fill="auto"/>
          </w:tcPr>
          <w:p w14:paraId="190B8B1F">
            <w:pPr>
              <w:adjustRightInd w:val="0"/>
              <w:snapToGrid w:val="0"/>
              <w:rPr>
                <w:rFonts w:ascii="Arial" w:hAnsi="Arial" w:cs="Arial"/>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《物权法》</w:t>
            </w:r>
            <w:r>
              <w:rPr>
                <w:rFonts w:hint="eastAsia" w:ascii="Arial" w:hAnsi="Arial" w:cs="Arial"/>
                <w:b/>
                <w:bCs/>
                <w:sz w:val="20"/>
                <w:szCs w:val="20"/>
                <w:lang w:eastAsia="zh-CN"/>
              </w:rPr>
              <w:t>第四十二条</w:t>
            </w:r>
            <w:r>
              <w:rPr>
                <w:rFonts w:ascii="Arial" w:hAnsi="Arial" w:cs="Arial"/>
                <w:b/>
                <w:bCs/>
                <w:sz w:val="20"/>
                <w:szCs w:val="20"/>
              </w:rPr>
              <w:t>，</w:t>
            </w:r>
            <w:r>
              <w:rPr>
                <w:rFonts w:ascii="Arial" w:hAnsi="Arial" w:cs="Arial"/>
                <w:sz w:val="20"/>
                <w:szCs w:val="20"/>
              </w:rPr>
              <w:t>征收集体所有的土地，应当依法足额支付土地补偿费、安置补助费、地上附着物和青苗的补偿费等费用，安排被征地农民的社会保障费用，保障被征地农民的生活，维护被征地农民的合法权益。征收单位、个人的房屋及其他不动产，应当依法给予拆迁补偿，维护被征收人的合法权益；征收个人住宅的，还应当保障被征收人的居住条件。</w:t>
            </w:r>
            <w:r>
              <w:rPr>
                <w:rFonts w:ascii="Arial" w:hAnsi="Arial" w:cs="Arial"/>
                <w:sz w:val="20"/>
                <w:szCs w:val="20"/>
              </w:rPr>
              <w:br w:type="textWrapping"/>
            </w:r>
            <w:r>
              <w:rPr>
                <w:rFonts w:hint="eastAsia" w:ascii="Arial" w:hAnsi="Arial" w:cs="Arial"/>
                <w:sz w:val="20"/>
                <w:szCs w:val="20"/>
                <w:lang w:eastAsia="zh-CN"/>
              </w:rPr>
              <w:t>ⅱ</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第四十八条</w:t>
            </w:r>
            <w:r>
              <w:rPr>
                <w:rFonts w:ascii="Arial" w:hAnsi="Arial" w:cs="Arial"/>
                <w:b/>
                <w:bCs/>
                <w:sz w:val="20"/>
                <w:szCs w:val="20"/>
              </w:rPr>
              <w:t>，</w:t>
            </w:r>
            <w:r>
              <w:rPr>
                <w:rFonts w:ascii="Arial" w:hAnsi="Arial" w:cs="Arial"/>
                <w:sz w:val="20"/>
                <w:szCs w:val="20"/>
              </w:rPr>
              <w:t>征收土地应当给予公平、合理的补偿。征收土地应当依法及时足额支付土地补偿费、安置补助费以及农村村民住宅、其他地上附着物和青苗等的补偿费用，并安排被征地农民的社会保障费用。</w:t>
            </w:r>
            <w:r>
              <w:rPr>
                <w:rFonts w:ascii="Arial" w:hAnsi="Arial" w:cs="Arial"/>
                <w:sz w:val="20"/>
                <w:szCs w:val="20"/>
              </w:rPr>
              <w:br w:type="textWrapping"/>
            </w: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《国有土地上房屋征收与补偿条例》（国务院令</w:t>
            </w:r>
            <w:r>
              <w:rPr>
                <w:rFonts w:hint="eastAsia" w:ascii="Arial" w:hAnsi="Arial" w:cs="Arial"/>
                <w:b/>
                <w:bCs/>
                <w:sz w:val="20"/>
                <w:szCs w:val="20"/>
                <w:lang w:eastAsia="zh-CN"/>
              </w:rPr>
              <w:t>〔2011〕590号</w:t>
            </w:r>
            <w:r>
              <w:rPr>
                <w:rFonts w:ascii="Arial" w:hAnsi="Arial" w:cs="Arial"/>
                <w:b/>
                <w:bCs/>
                <w:sz w:val="20"/>
                <w:szCs w:val="20"/>
              </w:rPr>
              <w:t>）（2011.1.21）</w:t>
            </w:r>
            <w:r>
              <w:rPr>
                <w:rFonts w:ascii="Arial" w:hAnsi="Arial" w:cs="Arial"/>
                <w:sz w:val="20"/>
                <w:szCs w:val="20"/>
              </w:rPr>
              <w:t>第19条，对被征收房屋价值的补偿，不得低于房屋征收决定公告之日被征收房屋类似房地产的市场价格。被征收房屋的价值，由具有相应资质的房地产价格评估机构按照房屋征收评估办法评估确定。对评估确定的被征收房屋价值有异议的，可以向房地产价格评估机构申请复核评估。对复核结果有异议的，可以向房地产价格评估专家委员会申请鉴定。</w:t>
            </w:r>
            <w:r>
              <w:rPr>
                <w:rFonts w:ascii="Arial" w:hAnsi="Arial" w:cs="Arial"/>
                <w:sz w:val="20"/>
                <w:szCs w:val="20"/>
              </w:rPr>
              <w:br w:type="textWrapping"/>
            </w:r>
            <w:r>
              <w:rPr>
                <w:rFonts w:hint="eastAsia" w:ascii="Arial" w:hAnsi="Arial" w:cs="Arial"/>
                <w:sz w:val="20"/>
                <w:szCs w:val="20"/>
                <w:lang w:eastAsia="zh-CN"/>
              </w:rPr>
              <w:t>ⅳ</w:t>
            </w:r>
            <w:r>
              <w:rPr>
                <w:rFonts w:hint="eastAsia" w:ascii="Arial" w:hAnsi="Arial" w:cs="Arial"/>
                <w:b/>
                <w:bCs/>
                <w:sz w:val="20"/>
                <w:szCs w:val="20"/>
                <w:lang w:eastAsia="zh-CN"/>
              </w:rPr>
              <w:t>）</w:t>
            </w:r>
            <w:r>
              <w:rPr>
                <w:rFonts w:ascii="Arial" w:hAnsi="Arial" w:cs="Arial"/>
                <w:b/>
                <w:bCs/>
                <w:sz w:val="20"/>
                <w:szCs w:val="20"/>
              </w:rPr>
              <w:t>《国有土地上房屋征收评估办法》的通知（建房</w:t>
            </w:r>
            <w:r>
              <w:rPr>
                <w:rFonts w:hint="eastAsia" w:ascii="Arial" w:hAnsi="Arial" w:cs="Arial"/>
                <w:b/>
                <w:bCs/>
                <w:sz w:val="20"/>
                <w:szCs w:val="20"/>
                <w:lang w:eastAsia="zh-CN"/>
              </w:rPr>
              <w:t>〔2011〕77号</w:t>
            </w:r>
            <w:r>
              <w:rPr>
                <w:rFonts w:ascii="Arial" w:hAnsi="Arial" w:cs="Arial"/>
                <w:b/>
                <w:bCs/>
                <w:sz w:val="20"/>
                <w:szCs w:val="20"/>
              </w:rPr>
              <w:t>）（2011</w:t>
            </w:r>
            <w:r>
              <w:rPr>
                <w:rFonts w:hint="eastAsia" w:ascii="Arial" w:hAnsi="Arial" w:cs="Arial"/>
                <w:b/>
                <w:bCs/>
                <w:sz w:val="20"/>
                <w:szCs w:val="20"/>
                <w:lang w:eastAsia="zh-CN"/>
              </w:rPr>
              <w:t>—</w:t>
            </w:r>
            <w:r>
              <w:rPr>
                <w:rFonts w:ascii="Arial" w:hAnsi="Arial" w:cs="Arial"/>
                <w:b/>
                <w:bCs/>
                <w:sz w:val="20"/>
                <w:szCs w:val="20"/>
              </w:rPr>
              <w:t>6</w:t>
            </w:r>
            <w:r>
              <w:rPr>
                <w:rFonts w:hint="eastAsia" w:ascii="Arial" w:hAnsi="Arial" w:cs="Arial"/>
                <w:b/>
                <w:bCs/>
                <w:sz w:val="20"/>
                <w:szCs w:val="20"/>
                <w:lang w:eastAsia="zh-CN"/>
              </w:rPr>
              <w:t>—</w:t>
            </w:r>
            <w:r>
              <w:rPr>
                <w:rFonts w:ascii="Arial" w:hAnsi="Arial" w:cs="Arial"/>
                <w:b/>
                <w:bCs/>
                <w:sz w:val="20"/>
                <w:szCs w:val="20"/>
              </w:rPr>
              <w:t>3）</w:t>
            </w:r>
            <w:r>
              <w:rPr>
                <w:rFonts w:ascii="Arial" w:hAnsi="Arial" w:cs="Arial"/>
                <w:sz w:val="20"/>
                <w:szCs w:val="20"/>
              </w:rPr>
              <w:t>，第16条，房地产价格评估机构应当按照房屋征收委托书或者委托合同的约定，向房屋征收部门提供分户的初步评估结果。房屋征收部门应当将分户的初步评估结果在征收范围内向被征收人公示。公示</w:t>
            </w:r>
            <w:r>
              <w:rPr>
                <w:rFonts w:hint="eastAsia" w:ascii="Arial" w:hAnsi="Arial" w:cs="Arial"/>
                <w:sz w:val="20"/>
                <w:szCs w:val="20"/>
                <w:lang w:eastAsia="zh-CN"/>
              </w:rPr>
              <w:t>期间</w:t>
            </w:r>
            <w:r>
              <w:rPr>
                <w:rFonts w:ascii="Arial" w:hAnsi="Arial" w:cs="Arial"/>
                <w:sz w:val="20"/>
                <w:szCs w:val="20"/>
              </w:rPr>
              <w:t>，房地产价格评估机构应当安排注册地产估价师对分户的初步评估结果进行现场解释说明。存在错误的，房地产价格评估机构应当修正。</w:t>
            </w:r>
            <w:r>
              <w:rPr>
                <w:rFonts w:ascii="Arial" w:hAnsi="Arial" w:cs="Arial"/>
                <w:sz w:val="20"/>
                <w:szCs w:val="20"/>
              </w:rPr>
              <w:br w:type="textWrapping"/>
            </w:r>
            <w:r>
              <w:rPr>
                <w:rFonts w:hint="eastAsia" w:ascii="Arial" w:hAnsi="Arial" w:cs="Arial"/>
                <w:sz w:val="20"/>
                <w:szCs w:val="20"/>
                <w:lang w:eastAsia="zh-CN"/>
              </w:rPr>
              <w:t>ⅶ</w:t>
            </w:r>
            <w:r>
              <w:rPr>
                <w:rFonts w:hint="eastAsia" w:ascii="Arial" w:hAnsi="Arial" w:cs="Arial"/>
                <w:b/>
                <w:bCs/>
                <w:sz w:val="20"/>
                <w:szCs w:val="20"/>
                <w:lang w:eastAsia="zh-CN"/>
              </w:rPr>
              <w:t>）</w:t>
            </w:r>
            <w:r>
              <w:rPr>
                <w:rFonts w:ascii="Arial" w:hAnsi="Arial" w:cs="Arial"/>
                <w:b/>
                <w:bCs/>
                <w:sz w:val="20"/>
                <w:szCs w:val="20"/>
              </w:rPr>
              <w:t>《湖北省人民政府关于公布实施湖北省征地区片综合地价标准的通知》（2019.11.8），</w:t>
            </w:r>
            <w:r>
              <w:rPr>
                <w:rFonts w:ascii="Arial" w:hAnsi="Arial" w:cs="Arial"/>
                <w:sz w:val="20"/>
                <w:szCs w:val="20"/>
              </w:rPr>
              <w:t>征地区片综合地价标准由土地补偿费和安置补助费两部分构成，其中土地补偿费占40%、安置补助费占60%。经批准占用永久基本农田的，征地补偿按所在县（市、区）最高标准执行。因非农建设需要收回农林牧渔场等国有土地的，参照本标准执行。此外，地上附着物和青苗的补偿标准、征收非农建设需要收回农林牧渔场等国有土地的，以及征收水田、草地、未利用地等均有详细规定。</w:t>
            </w:r>
          </w:p>
          <w:p w14:paraId="6AE4EB4B">
            <w:pPr>
              <w:adjustRightInd w:val="0"/>
              <w:snapToGrid w:val="0"/>
              <w:rPr>
                <w:rFonts w:ascii="Arial" w:hAnsi="Arial" w:cs="Arial"/>
                <w:sz w:val="20"/>
                <w:szCs w:val="20"/>
              </w:rPr>
            </w:pPr>
            <w:r>
              <w:rPr>
                <w:rFonts w:ascii="Arial" w:hAnsi="Arial" w:cs="Arial"/>
                <w:b/>
                <w:bCs/>
                <w:sz w:val="20"/>
                <w:szCs w:val="20"/>
              </w:rPr>
              <w:t>vi）《湖北省国有土地上房屋征收与补偿实施办法》（2015.7.6）</w:t>
            </w:r>
            <w:r>
              <w:rPr>
                <w:rFonts w:ascii="Arial" w:hAnsi="Arial" w:cs="Arial"/>
                <w:sz w:val="20"/>
                <w:szCs w:val="20"/>
              </w:rPr>
              <w:t>，第25</w:t>
            </w:r>
            <w:r>
              <w:rPr>
                <w:rFonts w:hint="eastAsia" w:ascii="Arial" w:hAnsi="Arial" w:cs="Arial"/>
                <w:sz w:val="20"/>
                <w:szCs w:val="20"/>
                <w:lang w:eastAsia="zh-CN"/>
              </w:rPr>
              <w:t>—</w:t>
            </w:r>
            <w:r>
              <w:rPr>
                <w:rFonts w:ascii="Arial" w:hAnsi="Arial" w:cs="Arial"/>
                <w:sz w:val="20"/>
                <w:szCs w:val="20"/>
              </w:rPr>
              <w:t>27条规定：1）被征收房屋和产权调换房屋的价值，由具有相应资质的房地产价格评估机构依照国有土地上房屋征收评估办法评估确定，评估时点为房屋征收决定公告之日。2）房地产价格评估应当按照国家规定的技术标准和评估程序，参照被征收房屋类似房地产的市场价格进行评估。3）房地产价格评估机构、房地产估价师、房地产价格评估专家委员会应当独立、客观、公正地开展房屋征收评估、鉴定活动，任何单位和个人不得干预房屋征收评估、鉴定活动。4）市、县级房地产管理部门应当定期向社会公布依法登记注册、具有三级以上资质和无不良信用记录的房地产价格评估机构目录，供被征收人选择。</w:t>
            </w:r>
          </w:p>
          <w:p w14:paraId="6B237D93">
            <w:pPr>
              <w:adjustRightInd w:val="0"/>
              <w:snapToGrid w:val="0"/>
              <w:rPr>
                <w:rFonts w:ascii="Arial" w:hAnsi="Arial" w:cs="Arial"/>
                <w:sz w:val="20"/>
                <w:szCs w:val="20"/>
              </w:rPr>
            </w:pPr>
            <w:r>
              <w:rPr>
                <w:rFonts w:hint="eastAsia" w:ascii="Arial" w:hAnsi="Arial" w:cs="Arial"/>
                <w:b/>
                <w:bCs/>
                <w:sz w:val="20"/>
                <w:szCs w:val="20"/>
                <w:lang w:eastAsia="zh-CN"/>
              </w:rPr>
              <w:t>ⅶ）</w:t>
            </w:r>
            <w:r>
              <w:rPr>
                <w:rFonts w:ascii="Arial" w:hAnsi="Arial" w:cs="Arial"/>
                <w:b/>
                <w:bCs/>
                <w:sz w:val="20"/>
                <w:szCs w:val="20"/>
              </w:rPr>
              <w:t>《湖南省人民政府关于调整湖南省征地补偿标准的通知》</w:t>
            </w:r>
            <w:r>
              <w:rPr>
                <w:rFonts w:hint="eastAsia" w:ascii="Arial" w:hAnsi="Arial" w:cs="Arial"/>
                <w:sz w:val="20"/>
                <w:szCs w:val="20"/>
                <w:lang w:eastAsia="zh-CN"/>
              </w:rPr>
              <w:t>（</w:t>
            </w:r>
            <w:r>
              <w:rPr>
                <w:rFonts w:ascii="Arial" w:hAnsi="Arial" w:cs="Arial"/>
                <w:sz w:val="20"/>
                <w:szCs w:val="20"/>
              </w:rPr>
              <w:t>湘政发</w:t>
            </w:r>
            <w:r>
              <w:rPr>
                <w:rFonts w:hint="eastAsia" w:ascii="Arial" w:hAnsi="Arial" w:cs="Arial"/>
                <w:sz w:val="20"/>
                <w:szCs w:val="20"/>
                <w:lang w:eastAsia="zh-CN"/>
              </w:rPr>
              <w:t>〔2021〕3号）</w:t>
            </w:r>
            <w:r>
              <w:rPr>
                <w:rFonts w:ascii="Arial" w:hAnsi="Arial" w:cs="Arial"/>
                <w:sz w:val="20"/>
                <w:szCs w:val="20"/>
              </w:rPr>
              <w:t>，明确征地区片综合地价60%为安置补助费、40%为土地补偿费；征收永久基本农田的，按本标准的2倍执行；征收水田（属永久基本农田的除外）的，按本标准的1.2倍执行；征收园地、林地的，按照相应的地类系数执行；征收其他农用地的，按本标准执行；征收未利用地的，按本标准的0.6倍执行；市州人民政府可以根据当地实际制定具体实施细则，作出相应调整，但是不得低于本通知确定的补偿标准和地类系数。</w:t>
            </w:r>
          </w:p>
          <w:p w14:paraId="4B956ECE">
            <w:pPr>
              <w:adjustRightInd w:val="0"/>
              <w:snapToGrid w:val="0"/>
              <w:rPr>
                <w:rFonts w:ascii="Arial" w:hAnsi="Arial" w:cs="Arial"/>
                <w:sz w:val="20"/>
                <w:szCs w:val="20"/>
              </w:rPr>
            </w:pPr>
            <w:r>
              <w:rPr>
                <w:rFonts w:ascii="Arial" w:hAnsi="Arial" w:cs="Arial"/>
                <w:b/>
                <w:bCs/>
                <w:sz w:val="20"/>
                <w:szCs w:val="20"/>
              </w:rPr>
              <w:t>Viii</w:t>
            </w:r>
            <w:r>
              <w:rPr>
                <w:rFonts w:hint="eastAsia" w:ascii="Arial" w:hAnsi="Arial" w:cs="Arial"/>
                <w:b/>
                <w:bCs/>
                <w:sz w:val="20"/>
                <w:szCs w:val="20"/>
                <w:lang w:eastAsia="zh-CN"/>
              </w:rPr>
              <w:t>）</w:t>
            </w:r>
            <w:r>
              <w:rPr>
                <w:rFonts w:ascii="Arial" w:hAnsi="Arial" w:cs="Arial"/>
                <w:b/>
                <w:bCs/>
                <w:sz w:val="20"/>
                <w:szCs w:val="20"/>
              </w:rPr>
              <w:t>《湖南省国有土地上房屋征收与补偿实施办法》</w:t>
            </w:r>
            <w:r>
              <w:rPr>
                <w:rFonts w:ascii="Arial" w:hAnsi="Arial" w:cs="Arial"/>
                <w:sz w:val="20"/>
                <w:szCs w:val="20"/>
              </w:rPr>
              <w:t>（2014）规定，作出房屋征收决定的市、县级人民政府应当根据不同情况，按照规定给予被征收人以下补偿：1）被征收房屋价值的补偿；2）因征收房屋造成的搬迁、临时安置的补偿；3）因征收房屋造成的停产停业损失的补偿。被征收房屋价值补偿中的房屋室内装饰装修价值补偿，由房屋征收部门与被征收人协商确定；协商不成的，可以委托按照本办法选定或者确定的房地产价格评估机构评估确定。</w:t>
            </w:r>
          </w:p>
        </w:tc>
        <w:tc>
          <w:tcPr>
            <w:tcW w:w="572" w:type="pct"/>
            <w:shd w:val="clear" w:color="auto" w:fill="auto"/>
          </w:tcPr>
          <w:p w14:paraId="3EC8BF29">
            <w:pPr>
              <w:adjustRightInd w:val="0"/>
              <w:snapToGrid w:val="0"/>
              <w:rPr>
                <w:rFonts w:ascii="Arial" w:hAnsi="Arial" w:cs="Arial"/>
                <w:sz w:val="20"/>
                <w:szCs w:val="20"/>
              </w:rPr>
            </w:pPr>
            <w:r>
              <w:rPr>
                <w:rFonts w:ascii="Arial" w:hAnsi="Arial" w:cs="Arial"/>
                <w:sz w:val="20"/>
                <w:szCs w:val="20"/>
              </w:rPr>
              <w:t>一致。</w:t>
            </w:r>
          </w:p>
        </w:tc>
      </w:tr>
      <w:tr w14:paraId="7B46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42F16BA7">
            <w:pPr>
              <w:adjustRightInd w:val="0"/>
              <w:snapToGrid w:val="0"/>
              <w:rPr>
                <w:rFonts w:ascii="Arial" w:hAnsi="Arial" w:cs="Arial"/>
                <w:sz w:val="20"/>
                <w:szCs w:val="20"/>
              </w:rPr>
            </w:pPr>
            <w:r>
              <w:rPr>
                <w:rFonts w:hint="eastAsia" w:ascii="Arial" w:hAnsi="Arial" w:cs="Arial"/>
                <w:sz w:val="20"/>
                <w:szCs w:val="20"/>
                <w:lang w:eastAsia="zh-CN"/>
              </w:rPr>
              <w:t>ⅳ）</w:t>
            </w:r>
            <w:r>
              <w:rPr>
                <w:rFonts w:ascii="Arial" w:hAnsi="Arial" w:cs="Arial"/>
                <w:sz w:val="20"/>
                <w:szCs w:val="20"/>
              </w:rPr>
              <w:t xml:space="preserve"> 如果征用土地导致丧失创收机会（例如，农作物生产或就业损失），则提供补充的生计改善或恢复措施。</w:t>
            </w:r>
          </w:p>
        </w:tc>
        <w:tc>
          <w:tcPr>
            <w:tcW w:w="3924" w:type="pct"/>
            <w:shd w:val="clear" w:color="auto" w:fill="auto"/>
          </w:tcPr>
          <w:p w14:paraId="42BBB996">
            <w:pPr>
              <w:adjustRightInd w:val="0"/>
              <w:snapToGrid w:val="0"/>
              <w:rPr>
                <w:rFonts w:ascii="Arial" w:hAnsi="Arial" w:cs="Arial"/>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第四十八条</w:t>
            </w:r>
            <w:r>
              <w:rPr>
                <w:rFonts w:ascii="Arial" w:hAnsi="Arial" w:cs="Arial"/>
                <w:sz w:val="20"/>
                <w:szCs w:val="20"/>
              </w:rPr>
              <w:t>，征收土地应当保障被征地农民原有生活水平不降低、长远生计有保障。</w:t>
            </w:r>
            <w:r>
              <w:rPr>
                <w:rFonts w:ascii="Arial" w:hAnsi="Arial" w:cs="Arial"/>
                <w:sz w:val="20"/>
                <w:szCs w:val="20"/>
              </w:rPr>
              <w:br w:type="textWrapping"/>
            </w:r>
            <w:r>
              <w:rPr>
                <w:rFonts w:hint="eastAsia" w:ascii="Arial" w:hAnsi="Arial" w:cs="Arial"/>
                <w:sz w:val="20"/>
                <w:szCs w:val="20"/>
                <w:lang w:eastAsia="zh-CN"/>
              </w:rPr>
              <w:t>ⅱ</w:t>
            </w:r>
            <w:r>
              <w:rPr>
                <w:rFonts w:hint="eastAsia" w:ascii="Arial" w:hAnsi="Arial" w:cs="Arial"/>
                <w:b/>
                <w:bCs/>
                <w:sz w:val="20"/>
                <w:szCs w:val="20"/>
                <w:lang w:eastAsia="zh-CN"/>
              </w:rPr>
              <w:t>）</w:t>
            </w:r>
            <w:r>
              <w:rPr>
                <w:rFonts w:ascii="Arial" w:hAnsi="Arial" w:cs="Arial"/>
                <w:b/>
                <w:bCs/>
                <w:sz w:val="20"/>
                <w:szCs w:val="20"/>
              </w:rPr>
              <w:t>《关于完善征地补偿安置制度的指导意见（国土资发</w:t>
            </w:r>
            <w:r>
              <w:rPr>
                <w:rFonts w:hint="eastAsia" w:ascii="Arial" w:hAnsi="Arial" w:cs="Arial"/>
                <w:b/>
                <w:bCs/>
                <w:sz w:val="20"/>
                <w:szCs w:val="20"/>
                <w:lang w:eastAsia="zh-CN"/>
              </w:rPr>
              <w:t>〔2004〕238号</w:t>
            </w:r>
            <w:r>
              <w:rPr>
                <w:rFonts w:ascii="Arial" w:hAnsi="Arial" w:cs="Arial"/>
                <w:b/>
                <w:bCs/>
                <w:sz w:val="20"/>
                <w:szCs w:val="20"/>
              </w:rPr>
              <w:t>）》</w:t>
            </w:r>
            <w:r>
              <w:rPr>
                <w:rFonts w:hint="eastAsia" w:ascii="Arial" w:hAnsi="Arial" w:cs="Arial"/>
                <w:b/>
                <w:bCs/>
                <w:sz w:val="20"/>
                <w:szCs w:val="20"/>
                <w:lang w:eastAsia="zh-CN"/>
              </w:rPr>
              <w:t>：</w:t>
            </w:r>
            <w:r>
              <w:rPr>
                <w:rFonts w:ascii="Arial" w:hAnsi="Arial" w:cs="Arial"/>
                <w:sz w:val="20"/>
                <w:szCs w:val="20"/>
              </w:rPr>
              <w:t xml:space="preserve"> 1</w:t>
            </w:r>
            <w:r>
              <w:rPr>
                <w:rFonts w:hint="eastAsia" w:ascii="Arial" w:hAnsi="Arial" w:cs="Arial"/>
                <w:sz w:val="20"/>
                <w:szCs w:val="20"/>
                <w:lang w:eastAsia="zh-CN"/>
              </w:rPr>
              <w:t>）</w:t>
            </w:r>
            <w:r>
              <w:rPr>
                <w:rFonts w:ascii="Arial" w:hAnsi="Arial" w:cs="Arial"/>
                <w:sz w:val="20"/>
                <w:szCs w:val="20"/>
              </w:rPr>
              <w:t>农业生产安置。征收城市规划区外的农民集体土地，应当通过利用农村集体机动地、承包农户自愿交回的承包地、承包地流转和土地开发整理新增加的耕地等，首先使被征地农民有必要的耕作土地，继续从事农业生产。2</w:t>
            </w:r>
            <w:r>
              <w:rPr>
                <w:rFonts w:hint="eastAsia" w:ascii="Arial" w:hAnsi="Arial" w:cs="Arial"/>
                <w:sz w:val="20"/>
                <w:szCs w:val="20"/>
                <w:lang w:eastAsia="zh-CN"/>
              </w:rPr>
              <w:t>）</w:t>
            </w:r>
            <w:r>
              <w:rPr>
                <w:rFonts w:ascii="Arial" w:hAnsi="Arial" w:cs="Arial"/>
                <w:sz w:val="20"/>
                <w:szCs w:val="20"/>
              </w:rPr>
              <w:t>重新择业安置。应当积极创造条件，向被征地农民提供免费的劳动技能培训，安排相应的工作岗位。在同等条件下，用地单位应优先吸收被征地农民就业。征收城市规划区内的农民集体土地，应当将因征地而导致无地的农民，纳入城镇就业体系，并建立社会保障制度。3</w:t>
            </w:r>
            <w:r>
              <w:rPr>
                <w:rFonts w:hint="eastAsia" w:ascii="Arial" w:hAnsi="Arial" w:cs="Arial"/>
                <w:sz w:val="20"/>
                <w:szCs w:val="20"/>
                <w:lang w:eastAsia="zh-CN"/>
              </w:rPr>
              <w:t>）</w:t>
            </w:r>
            <w:r>
              <w:rPr>
                <w:rFonts w:ascii="Arial" w:hAnsi="Arial" w:cs="Arial"/>
                <w:sz w:val="20"/>
                <w:szCs w:val="20"/>
              </w:rPr>
              <w:t xml:space="preserve"> 入股分红安置。对有长期稳定收益的项目用地，在农户自愿的前提下，被征地农村集体经济组织经与用地单位协商，可以以征地补偿安置费用入股，或以经批准的建设用地土地使用权作价入股。农村集体经济组织和农户通过合同约定以优先股的方式获取收益。4</w:t>
            </w:r>
            <w:r>
              <w:rPr>
                <w:rFonts w:hint="eastAsia" w:ascii="Arial" w:hAnsi="Arial" w:cs="Arial"/>
                <w:sz w:val="20"/>
                <w:szCs w:val="20"/>
                <w:lang w:eastAsia="zh-CN"/>
              </w:rPr>
              <w:t>）</w:t>
            </w:r>
            <w:r>
              <w:rPr>
                <w:rFonts w:ascii="Arial" w:hAnsi="Arial" w:cs="Arial"/>
                <w:sz w:val="20"/>
                <w:szCs w:val="20"/>
              </w:rPr>
              <w:t xml:space="preserve"> 异地移民安置。本地区确实无法为因征地而导致无地的农民提供基本生产生活条件的，在充分征求被征地农村集体经济组织和农户意见的前提下，可由政府统一组织，实行异地移民安置。</w:t>
            </w:r>
            <w:r>
              <w:rPr>
                <w:rFonts w:ascii="Arial" w:hAnsi="Arial" w:cs="Arial"/>
                <w:sz w:val="20"/>
                <w:szCs w:val="20"/>
              </w:rPr>
              <w:br w:type="textWrapping"/>
            </w: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《关于做好被征地农民就业培训和社会保障工作的指导意见（国发</w:t>
            </w:r>
            <w:r>
              <w:rPr>
                <w:rFonts w:hint="eastAsia" w:ascii="Arial" w:hAnsi="Arial" w:cs="Arial"/>
                <w:b/>
                <w:bCs/>
                <w:sz w:val="20"/>
                <w:szCs w:val="20"/>
                <w:lang w:eastAsia="zh-CN"/>
              </w:rPr>
              <w:t>〔2006〕29号</w:t>
            </w:r>
            <w:r>
              <w:rPr>
                <w:rFonts w:ascii="Arial" w:hAnsi="Arial" w:cs="Arial"/>
                <w:b/>
                <w:bCs/>
                <w:sz w:val="20"/>
                <w:szCs w:val="20"/>
              </w:rPr>
              <w:t>）》</w:t>
            </w:r>
            <w:r>
              <w:rPr>
                <w:rFonts w:ascii="Arial" w:hAnsi="Arial" w:cs="Arial"/>
                <w:sz w:val="20"/>
                <w:szCs w:val="20"/>
              </w:rPr>
              <w:t>，将做好被征地农民就业培训和社会保障工作作为征地制度改革的重要内容。地方各级人民政府要从统筹城乡经济社会和谐发展的高度，加强就业培训和社会保障工作，将被征地农民的就业问题纳入政府经济和社会发展规划及年度计划，尽快建立适合被征地农民特点与需求的社会保障制度，采取有效措施落实就业培训和社会保障资金，促进被征地农民实现就业和融入城镇社会，确保被征地农民生活水平不因征地而降低，长远生计有保障。</w:t>
            </w:r>
            <w:r>
              <w:rPr>
                <w:rFonts w:ascii="Arial" w:hAnsi="Arial" w:cs="Arial"/>
                <w:sz w:val="20"/>
                <w:szCs w:val="20"/>
              </w:rPr>
              <w:br w:type="textWrapping"/>
            </w:r>
            <w:r>
              <w:rPr>
                <w:rFonts w:hint="eastAsia" w:ascii="Arial" w:hAnsi="Arial" w:cs="Arial"/>
                <w:sz w:val="20"/>
                <w:szCs w:val="20"/>
                <w:lang w:eastAsia="zh-CN"/>
              </w:rPr>
              <w:t>ⅳ</w:t>
            </w:r>
            <w:r>
              <w:rPr>
                <w:rFonts w:hint="eastAsia" w:ascii="Arial" w:hAnsi="Arial" w:cs="Arial"/>
                <w:b/>
                <w:bCs/>
                <w:sz w:val="20"/>
                <w:szCs w:val="20"/>
                <w:lang w:eastAsia="zh-CN"/>
              </w:rPr>
              <w:t>）</w:t>
            </w:r>
            <w:r>
              <w:rPr>
                <w:rFonts w:ascii="Arial" w:hAnsi="Arial" w:cs="Arial"/>
                <w:b/>
                <w:bCs/>
                <w:sz w:val="20"/>
                <w:szCs w:val="20"/>
              </w:rPr>
              <w:t>《劳动和社会保障部</w:t>
            </w:r>
            <w:r>
              <w:rPr>
                <w:rFonts w:hint="eastAsia" w:ascii="Arial" w:hAnsi="Arial" w:cs="Arial"/>
                <w:b/>
                <w:bCs/>
                <w:sz w:val="20"/>
                <w:szCs w:val="20"/>
                <w:lang w:val="en-US" w:eastAsia="zh-CN"/>
              </w:rPr>
              <w:t>国土</w:t>
            </w:r>
            <w:r>
              <w:rPr>
                <w:rFonts w:ascii="Arial" w:hAnsi="Arial" w:cs="Arial"/>
                <w:b/>
                <w:bCs/>
                <w:sz w:val="20"/>
                <w:szCs w:val="20"/>
              </w:rPr>
              <w:t>资源部文件关于切实做好被征地农民社会保障工作有关问题的通知（劳社部发</w:t>
            </w:r>
            <w:r>
              <w:rPr>
                <w:rFonts w:hint="eastAsia" w:ascii="Arial" w:hAnsi="Arial" w:cs="Arial"/>
                <w:b/>
                <w:bCs/>
                <w:sz w:val="20"/>
                <w:szCs w:val="20"/>
                <w:lang w:eastAsia="zh-CN"/>
              </w:rPr>
              <w:t>〔2007〕14号</w:t>
            </w:r>
            <w:r>
              <w:rPr>
                <w:rFonts w:ascii="Arial" w:hAnsi="Arial" w:cs="Arial"/>
                <w:b/>
                <w:bCs/>
                <w:sz w:val="20"/>
                <w:szCs w:val="20"/>
              </w:rPr>
              <w:t>）》，</w:t>
            </w:r>
            <w:r>
              <w:rPr>
                <w:rFonts w:ascii="Arial" w:hAnsi="Arial" w:cs="Arial"/>
                <w:sz w:val="20"/>
                <w:szCs w:val="20"/>
              </w:rPr>
              <w:t>各地要尽快建立被征地农民社会保障制度。被征地农民社会保障所需费用，应在征地补偿安置方案批准之日起 3 个月内，按标准足额划入“被征地农民社会保障资金专户”，按规定记入个人账户或统筹账户。</w:t>
            </w:r>
          </w:p>
          <w:p w14:paraId="36CB9A1E">
            <w:pPr>
              <w:adjustRightInd w:val="0"/>
              <w:snapToGrid w:val="0"/>
              <w:rPr>
                <w:rFonts w:ascii="Arial" w:hAnsi="Arial" w:cs="Arial"/>
                <w:sz w:val="20"/>
                <w:szCs w:val="20"/>
              </w:rPr>
            </w:pPr>
            <w:r>
              <w:rPr>
                <w:rFonts w:ascii="Arial" w:hAnsi="Arial" w:cs="Arial"/>
                <w:b/>
                <w:bCs/>
                <w:sz w:val="20"/>
                <w:szCs w:val="20"/>
              </w:rPr>
              <w:t>v）《湖北</w:t>
            </w:r>
            <w:r>
              <w:rPr>
                <w:rFonts w:ascii="Arial" w:hAnsi="Arial" w:cs="Arial"/>
                <w:b/>
                <w:bCs/>
                <w:color w:val="auto"/>
                <w:sz w:val="20"/>
                <w:szCs w:val="20"/>
                <w:u w:val="none"/>
              </w:rPr>
              <w:t>省人民政府关于被征地农民参加基本养老保险的指导意见</w:t>
            </w:r>
            <w:r>
              <w:rPr>
                <w:rFonts w:ascii="Arial" w:hAnsi="Arial" w:cs="Arial"/>
                <w:b/>
                <w:bCs/>
                <w:sz w:val="20"/>
                <w:szCs w:val="20"/>
              </w:rPr>
              <w:t>》</w:t>
            </w:r>
            <w:r>
              <w:rPr>
                <w:rFonts w:ascii="Arial" w:hAnsi="Arial" w:cs="Arial"/>
                <w:sz w:val="20"/>
                <w:szCs w:val="20"/>
              </w:rPr>
              <w:t>（鄂政发〔2014〕53号）规定，符合以下五项条件的被征地农民均应该纳入基本养老保险：1）承包地被县级以上人民政府依法征收</w:t>
            </w:r>
            <w:r>
              <w:rPr>
                <w:rFonts w:hint="eastAsia" w:ascii="Arial" w:hAnsi="Arial" w:cs="Arial"/>
                <w:sz w:val="20"/>
                <w:szCs w:val="20"/>
                <w:lang w:eastAsia="zh-CN"/>
              </w:rPr>
              <w:t>；</w:t>
            </w:r>
            <w:r>
              <w:rPr>
                <w:rFonts w:ascii="Arial" w:hAnsi="Arial" w:cs="Arial"/>
                <w:sz w:val="20"/>
                <w:szCs w:val="20"/>
              </w:rPr>
              <w:t>2）被征地时持有《农村土地承包合同》或《农村土地承包经营权证书》</w:t>
            </w:r>
            <w:r>
              <w:rPr>
                <w:rFonts w:hint="eastAsia" w:ascii="Arial" w:hAnsi="Arial" w:cs="Arial"/>
                <w:sz w:val="20"/>
                <w:szCs w:val="20"/>
                <w:lang w:eastAsia="zh-CN"/>
              </w:rPr>
              <w:t>；</w:t>
            </w:r>
            <w:r>
              <w:rPr>
                <w:rFonts w:ascii="Arial" w:hAnsi="Arial" w:cs="Arial"/>
                <w:sz w:val="20"/>
                <w:szCs w:val="20"/>
              </w:rPr>
              <w:t>3）被征地时户口在征地所在地</w:t>
            </w:r>
            <w:r>
              <w:rPr>
                <w:rFonts w:hint="eastAsia" w:ascii="Arial" w:hAnsi="Arial" w:cs="Arial"/>
                <w:sz w:val="20"/>
                <w:szCs w:val="20"/>
                <w:lang w:eastAsia="zh-CN"/>
              </w:rPr>
              <w:t>；</w:t>
            </w:r>
            <w:r>
              <w:rPr>
                <w:rFonts w:ascii="Arial" w:hAnsi="Arial" w:cs="Arial"/>
                <w:sz w:val="20"/>
                <w:szCs w:val="20"/>
              </w:rPr>
              <w:t>4）被征地后家庭人均耕地面积不足0.3亩</w:t>
            </w:r>
            <w:r>
              <w:rPr>
                <w:rFonts w:hint="eastAsia" w:ascii="Arial" w:hAnsi="Arial" w:cs="Arial"/>
                <w:sz w:val="20"/>
                <w:szCs w:val="20"/>
                <w:lang w:eastAsia="zh-CN"/>
              </w:rPr>
              <w:t>（</w:t>
            </w:r>
            <w:r>
              <w:rPr>
                <w:rFonts w:ascii="Arial" w:hAnsi="Arial" w:cs="Arial"/>
                <w:sz w:val="20"/>
                <w:szCs w:val="20"/>
              </w:rPr>
              <w:t>含0.3亩</w:t>
            </w:r>
            <w:r>
              <w:rPr>
                <w:rFonts w:hint="eastAsia" w:ascii="Arial" w:hAnsi="Arial" w:cs="Arial"/>
                <w:sz w:val="20"/>
                <w:szCs w:val="20"/>
                <w:lang w:eastAsia="zh-CN"/>
              </w:rPr>
              <w:t>）；</w:t>
            </w:r>
            <w:r>
              <w:rPr>
                <w:rFonts w:ascii="Arial" w:hAnsi="Arial" w:cs="Arial"/>
                <w:sz w:val="20"/>
                <w:szCs w:val="20"/>
              </w:rPr>
              <w:t>5）年满16周岁。湖北省征地农民基本养老保险补偿标准是：县级以上人民政府为被征地农民给予一次性养老保险补偿，其补偿标准按不低于被征地时所在市、州上年度农村居民年人均纯收入的3倍确定。对被征地时60周岁以上</w:t>
            </w:r>
            <w:r>
              <w:rPr>
                <w:rFonts w:hint="eastAsia" w:ascii="Arial" w:hAnsi="Arial" w:cs="Arial"/>
                <w:sz w:val="20"/>
                <w:szCs w:val="20"/>
                <w:lang w:eastAsia="zh-CN"/>
              </w:rPr>
              <w:t>（</w:t>
            </w:r>
            <w:r>
              <w:rPr>
                <w:rFonts w:ascii="Arial" w:hAnsi="Arial" w:cs="Arial"/>
                <w:sz w:val="20"/>
                <w:szCs w:val="20"/>
              </w:rPr>
              <w:t>含60周岁</w:t>
            </w:r>
            <w:r>
              <w:rPr>
                <w:rFonts w:hint="eastAsia" w:ascii="Arial" w:hAnsi="Arial" w:cs="Arial"/>
                <w:sz w:val="20"/>
                <w:szCs w:val="20"/>
                <w:lang w:eastAsia="zh-CN"/>
              </w:rPr>
              <w:t>）</w:t>
            </w:r>
            <w:r>
              <w:rPr>
                <w:rFonts w:ascii="Arial" w:hAnsi="Arial" w:cs="Arial"/>
                <w:sz w:val="20"/>
                <w:szCs w:val="20"/>
              </w:rPr>
              <w:t>的人员，按照一次性养老保险补偿标准给予全额补偿</w:t>
            </w:r>
            <w:r>
              <w:rPr>
                <w:rFonts w:hint="eastAsia" w:ascii="Arial" w:hAnsi="Arial" w:cs="Arial"/>
                <w:sz w:val="20"/>
                <w:szCs w:val="20"/>
                <w:lang w:eastAsia="zh-CN"/>
              </w:rPr>
              <w:t>；</w:t>
            </w:r>
            <w:r>
              <w:rPr>
                <w:rFonts w:ascii="Arial" w:hAnsi="Arial" w:cs="Arial"/>
                <w:sz w:val="20"/>
                <w:szCs w:val="20"/>
              </w:rPr>
              <w:t>对被征地时60周岁以下</w:t>
            </w:r>
            <w:r>
              <w:rPr>
                <w:rFonts w:hint="eastAsia" w:ascii="Arial" w:hAnsi="Arial" w:cs="Arial"/>
                <w:sz w:val="20"/>
                <w:szCs w:val="20"/>
                <w:lang w:eastAsia="zh-CN"/>
              </w:rPr>
              <w:t>（</w:t>
            </w:r>
            <w:r>
              <w:rPr>
                <w:rFonts w:ascii="Arial" w:hAnsi="Arial" w:cs="Arial"/>
                <w:sz w:val="20"/>
                <w:szCs w:val="20"/>
              </w:rPr>
              <w:t>59周岁至16周岁</w:t>
            </w:r>
            <w:r>
              <w:rPr>
                <w:rFonts w:hint="eastAsia" w:ascii="Arial" w:hAnsi="Arial" w:cs="Arial"/>
                <w:sz w:val="20"/>
                <w:szCs w:val="20"/>
                <w:lang w:eastAsia="zh-CN"/>
              </w:rPr>
              <w:t>）</w:t>
            </w:r>
            <w:r>
              <w:rPr>
                <w:rFonts w:ascii="Arial" w:hAnsi="Arial" w:cs="Arial"/>
                <w:sz w:val="20"/>
                <w:szCs w:val="20"/>
              </w:rPr>
              <w:t>的人员，年龄每降低1岁，补偿标准按全额补偿的1%递减。</w:t>
            </w:r>
          </w:p>
          <w:p w14:paraId="3BE43695">
            <w:pPr>
              <w:adjustRightInd w:val="0"/>
              <w:snapToGrid w:val="0"/>
              <w:rPr>
                <w:rFonts w:ascii="Arial" w:hAnsi="Arial" w:cs="Arial"/>
                <w:sz w:val="20"/>
                <w:szCs w:val="20"/>
              </w:rPr>
            </w:pPr>
            <w:r>
              <w:rPr>
                <w:rFonts w:ascii="Arial" w:hAnsi="Arial" w:cs="Arial"/>
                <w:b/>
                <w:bCs/>
                <w:sz w:val="20"/>
                <w:szCs w:val="20"/>
              </w:rPr>
              <w:t>vi</w:t>
            </w:r>
            <w:r>
              <w:rPr>
                <w:rFonts w:hint="eastAsia" w:ascii="Arial" w:hAnsi="Arial" w:cs="Arial"/>
                <w:b/>
                <w:bCs/>
                <w:sz w:val="20"/>
                <w:szCs w:val="20"/>
                <w:lang w:eastAsia="zh-CN"/>
              </w:rPr>
              <w:t>）</w:t>
            </w:r>
            <w:r>
              <w:rPr>
                <w:rFonts w:ascii="Arial" w:hAnsi="Arial" w:cs="Arial"/>
                <w:b/>
                <w:bCs/>
                <w:sz w:val="20"/>
                <w:szCs w:val="20"/>
              </w:rPr>
              <w:t>《湖南省人民政府办公厅转发省人力资源社会保障厅《关于做好被征地农民社会保障工作的意见》的通知》</w:t>
            </w:r>
            <w:r>
              <w:rPr>
                <w:rFonts w:ascii="Arial" w:hAnsi="Arial" w:cs="Arial"/>
                <w:sz w:val="20"/>
                <w:szCs w:val="20"/>
              </w:rPr>
              <w:t>（湘政办发〔2014〕31号）规定，因政府统一征收农村集体土地而导致失去全部或大部分土地，且在征地时享有农村集体土地承包权的16周岁以上在册农业人口，由被征地农民个人申请，所在的农村集体经济组织、村民委员会或村民小组讨论通过并公示，报乡镇、市州或县市区国土资源、农村土地承包经营管理和公安部门审核确定且在此公示无异议后，经市州或县市区人民政府审定，报送市州或县市区人力资源社会保障部门办理登记手续。符合参保条件的被征地农民自愿选择参加城镇职工基本养老保险或城乡居民社会养老保险，政府和集体经济组织为被征地农民参加上述社会养老保险提供参保缴费补贴。缴费补贴额=被征地农民一次性缴纳城镇职工基本养老保险费时上一年度全省在岗职工年平均工资的60%（或100%）×12%（或20%）×补贴年限。</w:t>
            </w:r>
          </w:p>
        </w:tc>
        <w:tc>
          <w:tcPr>
            <w:tcW w:w="572" w:type="pct"/>
            <w:shd w:val="clear" w:color="auto" w:fill="auto"/>
          </w:tcPr>
          <w:p w14:paraId="3D0EC91F">
            <w:pPr>
              <w:adjustRightInd w:val="0"/>
              <w:snapToGrid w:val="0"/>
              <w:rPr>
                <w:rFonts w:ascii="Arial" w:hAnsi="Arial" w:cs="Arial"/>
                <w:sz w:val="20"/>
                <w:szCs w:val="20"/>
              </w:rPr>
            </w:pPr>
            <w:r>
              <w:rPr>
                <w:rFonts w:ascii="Arial" w:hAnsi="Arial" w:cs="Arial"/>
                <w:sz w:val="20"/>
                <w:szCs w:val="20"/>
              </w:rPr>
              <w:t>一致。</w:t>
            </w:r>
          </w:p>
        </w:tc>
      </w:tr>
      <w:tr w14:paraId="0B81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5A9D12BF">
            <w:pPr>
              <w:adjustRightInd w:val="0"/>
              <w:snapToGrid w:val="0"/>
              <w:rPr>
                <w:rFonts w:ascii="Arial" w:hAnsi="Arial" w:cs="Arial"/>
                <w:sz w:val="20"/>
                <w:szCs w:val="20"/>
              </w:rPr>
            </w:pPr>
            <w:r>
              <w:rPr>
                <w:rFonts w:ascii="Arial" w:hAnsi="Arial" w:cs="Arial"/>
                <w:sz w:val="20"/>
                <w:szCs w:val="20"/>
              </w:rPr>
              <w:t>v</w:t>
            </w:r>
            <w:r>
              <w:rPr>
                <w:rFonts w:hint="eastAsia" w:ascii="Arial" w:hAnsi="Arial" w:cs="Arial"/>
                <w:sz w:val="20"/>
                <w:szCs w:val="20"/>
                <w:lang w:eastAsia="zh-CN"/>
              </w:rPr>
              <w:t>）</w:t>
            </w:r>
            <w:r>
              <w:rPr>
                <w:rFonts w:ascii="Arial" w:hAnsi="Arial" w:cs="Arial"/>
                <w:sz w:val="20"/>
                <w:szCs w:val="20"/>
              </w:rPr>
              <w:t xml:space="preserve"> 恢复或替换可能受到该计划不利影响的公共基础设施和社区服务；</w:t>
            </w:r>
          </w:p>
        </w:tc>
        <w:tc>
          <w:tcPr>
            <w:tcW w:w="3924" w:type="pct"/>
            <w:shd w:val="clear" w:color="auto" w:fill="auto"/>
          </w:tcPr>
          <w:p w14:paraId="56E50FD0">
            <w:pPr>
              <w:adjustRightInd w:val="0"/>
              <w:snapToGrid w:val="0"/>
              <w:rPr>
                <w:rFonts w:ascii="Arial" w:hAnsi="Arial" w:cs="Arial"/>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第四十七条</w:t>
            </w:r>
            <w:r>
              <w:rPr>
                <w:rFonts w:ascii="Arial" w:hAnsi="Arial" w:cs="Arial"/>
                <w:b/>
                <w:bCs/>
                <w:sz w:val="20"/>
                <w:szCs w:val="20"/>
              </w:rPr>
              <w:t>，</w:t>
            </w:r>
            <w:r>
              <w:rPr>
                <w:rFonts w:ascii="Arial" w:hAnsi="Arial" w:cs="Arial"/>
                <w:sz w:val="20"/>
                <w:szCs w:val="20"/>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r>
              <w:rPr>
                <w:rFonts w:ascii="Arial" w:hAnsi="Arial" w:cs="Arial"/>
                <w:sz w:val="20"/>
                <w:szCs w:val="20"/>
              </w:rPr>
              <w:br w:type="textWrapping"/>
            </w:r>
            <w:r>
              <w:rPr>
                <w:rFonts w:hint="eastAsia" w:ascii="Arial" w:hAnsi="Arial" w:cs="Arial"/>
                <w:sz w:val="20"/>
                <w:szCs w:val="20"/>
                <w:lang w:eastAsia="zh-CN"/>
              </w:rPr>
              <w:t>ⅱ</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中华人民共和国土地管理法实施条例</w:t>
            </w:r>
            <w:r>
              <w:rPr>
                <w:rFonts w:ascii="Arial" w:hAnsi="Arial" w:cs="Arial"/>
                <w:b/>
                <w:bCs/>
                <w:sz w:val="20"/>
                <w:szCs w:val="20"/>
              </w:rPr>
              <w:t>》</w:t>
            </w:r>
            <w:r>
              <w:rPr>
                <w:rFonts w:hint="eastAsia" w:ascii="Arial" w:hAnsi="Arial" w:cs="Arial"/>
                <w:b/>
                <w:bCs/>
                <w:sz w:val="20"/>
                <w:szCs w:val="20"/>
                <w:lang w:eastAsia="zh-CN"/>
              </w:rPr>
              <w:t>第二十五条</w:t>
            </w:r>
            <w:r>
              <w:rPr>
                <w:rFonts w:ascii="Arial" w:hAnsi="Arial" w:cs="Arial"/>
                <w:sz w:val="20"/>
                <w:szCs w:val="20"/>
              </w:rPr>
              <w:t>，征收土地方案经依法批准后，由被征收土地所在地的市、县人民政府组织实施，并将批准征地机关、批准文号、征收土地的用途、范围、面积以及征地补偿标准、农业人员安置办法和办理征地补偿的期限等，在被征收土地所在地的乡（镇）、村予以公告。</w:t>
            </w:r>
            <w:r>
              <w:rPr>
                <w:rFonts w:ascii="Arial" w:hAnsi="Arial" w:cs="Arial"/>
                <w:sz w:val="20"/>
                <w:szCs w:val="20"/>
              </w:rPr>
              <w:br w:type="textWrapping"/>
            </w:r>
            <w:r>
              <w:rPr>
                <w:rFonts w:hint="eastAsia" w:ascii="Arial" w:hAnsi="Arial" w:cs="Arial"/>
                <w:sz w:val="20"/>
                <w:szCs w:val="20"/>
                <w:lang w:eastAsia="zh-CN"/>
              </w:rPr>
              <w:t>ⅲ</w:t>
            </w:r>
            <w:r>
              <w:rPr>
                <w:rFonts w:hint="eastAsia" w:ascii="Arial" w:hAnsi="Arial" w:cs="Arial"/>
                <w:b/>
                <w:bCs/>
                <w:sz w:val="20"/>
                <w:szCs w:val="20"/>
                <w:lang w:eastAsia="zh-CN"/>
              </w:rPr>
              <w:t>）</w:t>
            </w:r>
            <w:r>
              <w:rPr>
                <w:rFonts w:ascii="Arial" w:hAnsi="Arial" w:cs="Arial"/>
                <w:b/>
                <w:bCs/>
                <w:sz w:val="20"/>
                <w:szCs w:val="20"/>
              </w:rPr>
              <w:t>《物权法》</w:t>
            </w:r>
            <w:r>
              <w:rPr>
                <w:rFonts w:hint="eastAsia" w:ascii="Arial" w:hAnsi="Arial" w:cs="Arial"/>
                <w:b/>
                <w:bCs/>
                <w:sz w:val="20"/>
                <w:szCs w:val="20"/>
                <w:lang w:eastAsia="zh-CN"/>
              </w:rPr>
              <w:t>第三十六条</w:t>
            </w:r>
            <w:r>
              <w:rPr>
                <w:rFonts w:ascii="Arial" w:hAnsi="Arial" w:cs="Arial"/>
                <w:sz w:val="20"/>
                <w:szCs w:val="20"/>
              </w:rPr>
              <w:t>，造成不动产或者动产毁损的，权利人可以请求修理、重作、更换或者恢复原状。</w:t>
            </w:r>
          </w:p>
        </w:tc>
        <w:tc>
          <w:tcPr>
            <w:tcW w:w="572" w:type="pct"/>
            <w:shd w:val="clear" w:color="auto" w:fill="auto"/>
          </w:tcPr>
          <w:p w14:paraId="2C9C8404">
            <w:pPr>
              <w:adjustRightInd w:val="0"/>
              <w:snapToGrid w:val="0"/>
              <w:rPr>
                <w:rFonts w:ascii="Arial" w:hAnsi="Arial" w:cs="Arial"/>
                <w:sz w:val="20"/>
                <w:szCs w:val="20"/>
              </w:rPr>
            </w:pPr>
            <w:r>
              <w:rPr>
                <w:rFonts w:ascii="Arial" w:hAnsi="Arial" w:cs="Arial"/>
                <w:sz w:val="20"/>
                <w:szCs w:val="20"/>
              </w:rPr>
              <w:t>一致。</w:t>
            </w:r>
          </w:p>
        </w:tc>
      </w:tr>
      <w:tr w14:paraId="262EE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7E0E3DCB">
            <w:pPr>
              <w:adjustRightInd w:val="0"/>
              <w:snapToGrid w:val="0"/>
              <w:rPr>
                <w:rFonts w:ascii="Arial" w:hAnsi="Arial" w:cs="Arial"/>
                <w:sz w:val="20"/>
                <w:szCs w:val="20"/>
              </w:rPr>
            </w:pPr>
            <w:r>
              <w:rPr>
                <w:rFonts w:ascii="Arial" w:hAnsi="Arial" w:cs="Arial"/>
                <w:sz w:val="20"/>
                <w:szCs w:val="20"/>
              </w:rPr>
              <w:t>vi</w:t>
            </w:r>
            <w:r>
              <w:rPr>
                <w:rFonts w:hint="eastAsia" w:ascii="Arial" w:hAnsi="Arial" w:cs="Arial"/>
                <w:sz w:val="20"/>
                <w:szCs w:val="20"/>
                <w:lang w:eastAsia="zh-CN"/>
              </w:rPr>
              <w:t>）</w:t>
            </w:r>
            <w:r>
              <w:rPr>
                <w:rFonts w:ascii="Arial" w:hAnsi="Arial" w:cs="Arial"/>
                <w:sz w:val="20"/>
                <w:szCs w:val="20"/>
              </w:rPr>
              <w:t xml:space="preserve"> 信息公示、公众参与和知情决策。</w:t>
            </w:r>
          </w:p>
        </w:tc>
        <w:tc>
          <w:tcPr>
            <w:tcW w:w="3924" w:type="pct"/>
            <w:shd w:val="clear" w:color="auto" w:fill="auto"/>
          </w:tcPr>
          <w:p w14:paraId="03659D0B">
            <w:pPr>
              <w:adjustRightInd w:val="0"/>
              <w:snapToGrid w:val="0"/>
              <w:rPr>
                <w:rFonts w:ascii="Arial" w:hAnsi="Arial" w:cs="Arial"/>
                <w:b/>
                <w:bCs/>
                <w:sz w:val="20"/>
                <w:szCs w:val="20"/>
              </w:rPr>
            </w:pPr>
            <w:r>
              <w:rPr>
                <w:rFonts w:ascii="Arial" w:hAnsi="Arial" w:cs="Arial"/>
                <w:b/>
                <w:bCs/>
                <w:sz w:val="20"/>
                <w:szCs w:val="20"/>
              </w:rPr>
              <w:t>i</w:t>
            </w:r>
            <w:r>
              <w:rPr>
                <w:rFonts w:hint="eastAsia" w:ascii="Arial" w:hAnsi="Arial" w:cs="Arial"/>
                <w:b/>
                <w:bCs/>
                <w:sz w:val="20"/>
                <w:szCs w:val="20"/>
                <w:lang w:eastAsia="zh-CN"/>
              </w:rPr>
              <w:t>）</w:t>
            </w:r>
            <w:r>
              <w:rPr>
                <w:rFonts w:ascii="Arial" w:hAnsi="Arial" w:cs="Arial"/>
                <w:b/>
                <w:bCs/>
                <w:sz w:val="20"/>
                <w:szCs w:val="20"/>
              </w:rPr>
              <w:t>《</w:t>
            </w:r>
            <w:r>
              <w:rPr>
                <w:rFonts w:hint="eastAsia" w:ascii="Arial" w:hAnsi="Arial" w:cs="Arial"/>
                <w:b/>
                <w:bCs/>
                <w:sz w:val="20"/>
                <w:szCs w:val="20"/>
                <w:lang w:eastAsia="zh-CN"/>
              </w:rPr>
              <w:t>中华人民共和国土地管理法</w:t>
            </w:r>
            <w:r>
              <w:rPr>
                <w:rFonts w:ascii="Arial" w:hAnsi="Arial" w:cs="Arial"/>
                <w:b/>
                <w:bCs/>
                <w:sz w:val="20"/>
                <w:szCs w:val="20"/>
              </w:rPr>
              <w:t>》</w:t>
            </w:r>
            <w:r>
              <w:rPr>
                <w:rFonts w:hint="eastAsia" w:ascii="Arial" w:hAnsi="Arial" w:cs="Arial"/>
                <w:b/>
                <w:bCs/>
                <w:sz w:val="20"/>
                <w:szCs w:val="20"/>
                <w:lang w:eastAsia="zh-CN"/>
              </w:rPr>
              <w:t>第二十六条</w:t>
            </w:r>
            <w:r>
              <w:rPr>
                <w:rFonts w:ascii="Arial" w:hAnsi="Arial" w:cs="Arial"/>
                <w:b/>
                <w:bCs/>
                <w:sz w:val="20"/>
                <w:szCs w:val="20"/>
              </w:rPr>
              <w:t>，</w:t>
            </w:r>
            <w:r>
              <w:rPr>
                <w:rFonts w:ascii="Arial" w:hAnsi="Arial" w:cs="Arial"/>
                <w:sz w:val="20"/>
                <w:szCs w:val="20"/>
              </w:rPr>
              <w:t>被征收土地的所有权人、使用权人应当在公告规定期限内，持土地权属证书到当地人民政府土地行政主管部门办理征地补偿登记。国家征收土地的，依照法定程序批准后，由县级以上地方人民政府予以公告并组织实施。</w:t>
            </w:r>
            <w:r>
              <w:rPr>
                <w:rFonts w:ascii="Arial" w:hAnsi="Arial" w:cs="Arial"/>
                <w:b/>
                <w:bCs/>
                <w:sz w:val="20"/>
                <w:szCs w:val="20"/>
              </w:rPr>
              <w:t>第47条，</w:t>
            </w:r>
            <w:r>
              <w:rPr>
                <w:rFonts w:ascii="Arial" w:hAnsi="Arial" w:cs="Arial"/>
                <w:sz w:val="20"/>
                <w:szCs w:val="20"/>
              </w:rPr>
              <w:t>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p w14:paraId="6C46720E">
            <w:pPr>
              <w:adjustRightInd w:val="0"/>
              <w:snapToGrid w:val="0"/>
              <w:rPr>
                <w:rFonts w:ascii="Arial" w:hAnsi="Arial" w:cs="Arial"/>
                <w:sz w:val="20"/>
                <w:szCs w:val="20"/>
              </w:rPr>
            </w:pPr>
            <w:r>
              <w:rPr>
                <w:rFonts w:hint="eastAsia" w:ascii="Arial" w:hAnsi="Arial" w:cs="Arial"/>
                <w:b/>
                <w:bCs/>
                <w:sz w:val="20"/>
                <w:szCs w:val="20"/>
                <w:lang w:eastAsia="zh-CN"/>
              </w:rPr>
              <w:t>ⅱ）</w:t>
            </w:r>
            <w:r>
              <w:rPr>
                <w:rFonts w:ascii="Arial" w:hAnsi="Arial" w:cs="Arial"/>
                <w:b/>
                <w:bCs/>
                <w:sz w:val="20"/>
                <w:szCs w:val="20"/>
              </w:rPr>
              <w:t>《信访工作条例》</w:t>
            </w:r>
            <w:r>
              <w:rPr>
                <w:rFonts w:hint="eastAsia" w:ascii="Arial" w:hAnsi="Arial" w:cs="Arial"/>
                <w:b/>
                <w:bCs/>
                <w:sz w:val="20"/>
                <w:szCs w:val="20"/>
                <w:lang w:eastAsia="zh-CN"/>
              </w:rPr>
              <w:t>第十四条</w:t>
            </w:r>
            <w:r>
              <w:rPr>
                <w:rFonts w:ascii="Arial" w:hAnsi="Arial" w:cs="Arial"/>
                <w:b/>
                <w:bCs/>
                <w:sz w:val="20"/>
                <w:szCs w:val="20"/>
              </w:rPr>
              <w:t>，</w:t>
            </w:r>
            <w:r>
              <w:rPr>
                <w:rFonts w:ascii="Arial" w:hAnsi="Arial" w:cs="Arial"/>
                <w:sz w:val="20"/>
                <w:szCs w:val="20"/>
              </w:rPr>
              <w:t>各级党委和政府信访部门是开展信访工作的专门机构，履行下列职责： （一）受理、转送、交办信访事项； （二）协调解决重要信访问题； （三）督促检查重要信访事项的处理和落实； （四）综合反映信访信息，分析研判信访形势，为党委和政府提供决策参考； （五）指导本级其他机关、单位和下级的信访工作； （六）提出改进工作、完善政策和追究责任的建议； （七）承担本级党委和政府交办的其他事项。</w:t>
            </w:r>
          </w:p>
          <w:p w14:paraId="659272BA">
            <w:pPr>
              <w:adjustRightInd w:val="0"/>
              <w:snapToGrid w:val="0"/>
              <w:rPr>
                <w:rFonts w:ascii="Arial" w:hAnsi="Arial" w:cs="Arial"/>
                <w:sz w:val="20"/>
                <w:szCs w:val="20"/>
              </w:rPr>
            </w:pPr>
            <w:r>
              <w:rPr>
                <w:rFonts w:hint="eastAsia" w:ascii="Arial" w:hAnsi="Arial" w:cs="Arial"/>
                <w:b/>
                <w:bCs/>
                <w:sz w:val="20"/>
                <w:szCs w:val="20"/>
                <w:lang w:eastAsia="zh-CN"/>
              </w:rPr>
              <w:t>ⅲ）</w:t>
            </w:r>
            <w:r>
              <w:rPr>
                <w:rFonts w:ascii="Arial" w:hAnsi="Arial" w:cs="Arial"/>
                <w:b/>
                <w:bCs/>
                <w:sz w:val="20"/>
                <w:szCs w:val="20"/>
              </w:rPr>
              <w:t xml:space="preserve"> 2020年的《中央一号文件》，</w:t>
            </w:r>
            <w:r>
              <w:rPr>
                <w:rFonts w:ascii="Arial" w:hAnsi="Arial" w:cs="Arial"/>
                <w:sz w:val="20"/>
                <w:szCs w:val="20"/>
              </w:rPr>
              <w:t>推行领导干部特别是市县领导干部定期下基层接访制度，积极化解信访积案。组织开展“一村一法律顾问”等形式多样的法律服务。2020年的《中央一号文件》提出加强人民调解工作，做到小事不出村、大事不出乡、矛盾不上交。畅通农民群众诉求表达渠道，及时妥善处理农民群众合理诉求。</w:t>
            </w:r>
          </w:p>
          <w:p w14:paraId="3E483C49">
            <w:pPr>
              <w:adjustRightInd w:val="0"/>
              <w:snapToGrid w:val="0"/>
              <w:rPr>
                <w:rFonts w:ascii="Arial" w:hAnsi="Arial" w:cs="Arial"/>
                <w:sz w:val="20"/>
                <w:szCs w:val="20"/>
              </w:rPr>
            </w:pPr>
            <w:r>
              <w:rPr>
                <w:rFonts w:hint="eastAsia" w:ascii="Arial" w:hAnsi="Arial" w:cs="Arial"/>
                <w:b/>
                <w:bCs/>
                <w:sz w:val="20"/>
                <w:szCs w:val="20"/>
                <w:lang w:eastAsia="zh-CN"/>
              </w:rPr>
              <w:t>ⅳ）</w:t>
            </w:r>
            <w:r>
              <w:rPr>
                <w:rFonts w:ascii="Arial" w:hAnsi="Arial" w:cs="Arial"/>
                <w:b/>
                <w:bCs/>
                <w:sz w:val="20"/>
                <w:szCs w:val="20"/>
              </w:rPr>
              <w:t>《农村集体土地征收基层政务公开标准指引》</w:t>
            </w:r>
            <w:r>
              <w:rPr>
                <w:rFonts w:hint="eastAsia" w:ascii="Arial" w:hAnsi="Arial" w:cs="Arial"/>
                <w:b/>
                <w:bCs/>
                <w:sz w:val="20"/>
                <w:szCs w:val="20"/>
                <w:lang w:eastAsia="zh-CN"/>
              </w:rPr>
              <w:t>（</w:t>
            </w:r>
            <w:r>
              <w:rPr>
                <w:rFonts w:ascii="Arial" w:hAnsi="Arial" w:cs="Arial"/>
                <w:b/>
                <w:bCs/>
                <w:sz w:val="20"/>
                <w:szCs w:val="20"/>
              </w:rPr>
              <w:t>自然资源部2019年6月</w:t>
            </w:r>
            <w:r>
              <w:rPr>
                <w:rFonts w:hint="eastAsia" w:ascii="Arial" w:hAnsi="Arial" w:cs="Arial"/>
                <w:b/>
                <w:bCs/>
                <w:sz w:val="20"/>
                <w:szCs w:val="20"/>
                <w:lang w:eastAsia="zh-CN"/>
              </w:rPr>
              <w:t>）</w:t>
            </w:r>
            <w:r>
              <w:rPr>
                <w:rFonts w:ascii="Arial" w:hAnsi="Arial" w:cs="Arial"/>
                <w:sz w:val="20"/>
                <w:szCs w:val="20"/>
              </w:rPr>
              <w:t>，全面梳理公开事项、明确公开内容、规范公开流程、完善公开方式，切实维护人民群众的</w:t>
            </w:r>
            <w:r>
              <w:rPr>
                <w:rFonts w:hint="eastAsia" w:ascii="Arial" w:hAnsi="Arial" w:cs="Arial"/>
                <w:sz w:val="20"/>
                <w:szCs w:val="20"/>
                <w:lang w:eastAsia="zh-CN"/>
              </w:rPr>
              <w:t>知情权、参与权、表达权、监督权</w:t>
            </w:r>
            <w:r>
              <w:rPr>
                <w:rFonts w:ascii="Arial" w:hAnsi="Arial" w:cs="Arial"/>
                <w:sz w:val="20"/>
                <w:szCs w:val="20"/>
              </w:rPr>
              <w:t>。征地移民过</w:t>
            </w:r>
            <w:r>
              <w:rPr>
                <w:rFonts w:hint="eastAsia" w:ascii="Arial" w:hAnsi="Arial" w:cs="Arial"/>
                <w:sz w:val="20"/>
                <w:szCs w:val="20"/>
                <w:lang w:eastAsia="zh-CN"/>
              </w:rPr>
              <w:t>程中</w:t>
            </w:r>
            <w:r>
              <w:rPr>
                <w:rFonts w:ascii="Arial" w:hAnsi="Arial" w:cs="Arial"/>
                <w:sz w:val="20"/>
                <w:szCs w:val="20"/>
              </w:rPr>
              <w:t>公众参与不同环节的主要目的如下：</w:t>
            </w:r>
          </w:p>
          <w:p w14:paraId="743D99E1">
            <w:pPr>
              <w:adjustRightInd w:val="0"/>
              <w:snapToGrid w:val="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项目前期及方案论证和比选过程中，项目单位和设计单位应对移民和其他利益相关方进行有意义磋商，根据反馈的诉求和意见完善工程措施和确定项目用地范围，避让重要的、敏感的影响对象，尽可能降低征地和移民影响。</w:t>
            </w:r>
          </w:p>
          <w:p w14:paraId="7A453303">
            <w:pPr>
              <w:adjustRightInd w:val="0"/>
              <w:snapToGrid w:val="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实物量调查阶段的参与包括征地公告、实物指标调查宣传、调查过程参与、调查成果签字确认以及调查成果公示和复核。</w:t>
            </w:r>
          </w:p>
          <w:p w14:paraId="4BC2F80B">
            <w:pPr>
              <w:adjustRightInd w:val="0"/>
              <w:snapToGrid w:val="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社会稳定风险评估阶段，通过与利益相关方进行有意义的磋商，评估项目征地拆迁可能产生的重大社会风险，包括其他与项目无直接关系但也可能对项目产生重大影响的风险。</w:t>
            </w:r>
          </w:p>
          <w:p w14:paraId="11B2A4E0">
            <w:pPr>
              <w:adjustRightInd w:val="0"/>
              <w:snapToGrid w:val="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补偿方案的拟定过程中，需要对方案进行公示、听取和征求受影响人意见，必要时召开听证会。</w:t>
            </w:r>
          </w:p>
          <w:p w14:paraId="0D6BE7EA">
            <w:pPr>
              <w:adjustRightInd w:val="0"/>
              <w:snapToGrid w:val="0"/>
              <w:rPr>
                <w:rFonts w:ascii="Arial" w:hAnsi="Arial" w:cs="Arial"/>
                <w:sz w:val="20"/>
                <w:szCs w:val="20"/>
              </w:rPr>
            </w:pPr>
            <w:r>
              <w:rPr>
                <w:rFonts w:ascii="Arial" w:hAnsi="Arial" w:cs="Arial"/>
                <w:sz w:val="20"/>
                <w:szCs w:val="20"/>
              </w:rPr>
              <w:t>•</w:t>
            </w:r>
            <w:r>
              <w:rPr>
                <w:rFonts w:ascii="Arial" w:hAnsi="Arial" w:cs="Arial"/>
                <w:sz w:val="20"/>
                <w:szCs w:val="20"/>
              </w:rPr>
              <w:tab/>
            </w:r>
            <w:r>
              <w:rPr>
                <w:rFonts w:ascii="Arial" w:hAnsi="Arial" w:cs="Arial"/>
                <w:sz w:val="20"/>
                <w:szCs w:val="20"/>
              </w:rPr>
              <w:t>实施过程中的公众参与主要包括生产安置、生活安置、补偿资金的分配和使用等环节的信息公开透明，并听取和征求移民的意见、谈判并达成协议。</w:t>
            </w:r>
          </w:p>
          <w:p w14:paraId="7FACBADE">
            <w:pPr>
              <w:adjustRightInd w:val="0"/>
              <w:snapToGrid w:val="0"/>
              <w:rPr>
                <w:rFonts w:ascii="Arial" w:hAnsi="Arial" w:cs="Arial"/>
                <w:sz w:val="20"/>
                <w:szCs w:val="20"/>
              </w:rPr>
            </w:pPr>
            <w:r>
              <w:rPr>
                <w:rFonts w:ascii="Arial" w:hAnsi="Arial" w:cs="Arial"/>
                <w:b/>
                <w:bCs/>
                <w:sz w:val="20"/>
                <w:szCs w:val="20"/>
              </w:rPr>
              <w:t>v</w:t>
            </w:r>
            <w:r>
              <w:rPr>
                <w:rFonts w:hint="eastAsia" w:ascii="Arial" w:hAnsi="Arial" w:cs="Arial"/>
                <w:b/>
                <w:bCs/>
                <w:sz w:val="20"/>
                <w:szCs w:val="20"/>
                <w:lang w:eastAsia="zh-CN"/>
              </w:rPr>
              <w:t>）</w:t>
            </w:r>
            <w:r>
              <w:rPr>
                <w:rFonts w:ascii="Arial" w:hAnsi="Arial" w:cs="Arial"/>
                <w:b/>
                <w:bCs/>
                <w:sz w:val="20"/>
                <w:szCs w:val="20"/>
              </w:rPr>
              <w:t>《湖北省自然资源厅 省农业农村厅 关于进一步规范设施农业用地管理有关问题的通知》</w:t>
            </w:r>
            <w:r>
              <w:rPr>
                <w:rFonts w:ascii="Arial" w:hAnsi="Arial" w:cs="Arial"/>
                <w:sz w:val="20"/>
                <w:szCs w:val="20"/>
              </w:rPr>
              <w:t>（鄂自然资规〔2020〕4号），要求经营者应与集体经济组织进行用地协商</w:t>
            </w:r>
            <w:r>
              <w:rPr>
                <w:rFonts w:hint="eastAsia" w:ascii="Arial" w:hAnsi="Arial" w:cs="Arial"/>
                <w:sz w:val="20"/>
                <w:szCs w:val="20"/>
                <w:lang w:eastAsia="zh-CN"/>
              </w:rPr>
              <w:t>，</w:t>
            </w:r>
            <w:r>
              <w:rPr>
                <w:rFonts w:ascii="Arial" w:hAnsi="Arial" w:cs="Arial"/>
                <w:sz w:val="20"/>
                <w:szCs w:val="20"/>
              </w:rPr>
              <w:t xml:space="preserve"> 协商一致后，通过村组政务公开等形式向社会公告设施建设方案和用地条件，公告时间不少于5个工作日。</w:t>
            </w:r>
          </w:p>
          <w:p w14:paraId="2089E610">
            <w:pPr>
              <w:adjustRightInd w:val="0"/>
              <w:snapToGrid w:val="0"/>
              <w:rPr>
                <w:rFonts w:ascii="Arial" w:hAnsi="Arial" w:cs="Arial"/>
                <w:sz w:val="20"/>
                <w:szCs w:val="20"/>
              </w:rPr>
            </w:pPr>
            <w:r>
              <w:rPr>
                <w:rFonts w:ascii="Arial" w:hAnsi="Arial" w:cs="Arial"/>
                <w:b/>
                <w:bCs/>
                <w:sz w:val="20"/>
                <w:szCs w:val="20"/>
              </w:rPr>
              <w:t>vi</w:t>
            </w:r>
            <w:r>
              <w:rPr>
                <w:rFonts w:hint="eastAsia" w:ascii="Arial" w:hAnsi="Arial" w:cs="Arial"/>
                <w:b/>
                <w:bCs/>
                <w:sz w:val="20"/>
                <w:szCs w:val="20"/>
                <w:lang w:eastAsia="zh-CN"/>
              </w:rPr>
              <w:t>）</w:t>
            </w:r>
            <w:r>
              <w:rPr>
                <w:rFonts w:ascii="Arial" w:hAnsi="Arial" w:cs="Arial"/>
                <w:b/>
                <w:bCs/>
                <w:sz w:val="20"/>
                <w:szCs w:val="20"/>
              </w:rPr>
              <w:t>《湖南省自然资源厅 湖南省农业农村厅关于改进设施农业用地管理的通知》</w:t>
            </w:r>
            <w:r>
              <w:rPr>
                <w:rFonts w:ascii="Arial" w:hAnsi="Arial" w:cs="Arial"/>
                <w:sz w:val="20"/>
                <w:szCs w:val="20"/>
              </w:rPr>
              <w:t>（湘自然资规〔2020〕3号）规定，经营者须与农村集体经济组织协商用地协议。协商一致后，村委会将建设方案和用地协议在乡镇政府、村务公开栏进行公告，公告时间不少于10天。</w:t>
            </w:r>
          </w:p>
        </w:tc>
        <w:tc>
          <w:tcPr>
            <w:tcW w:w="572" w:type="pct"/>
            <w:shd w:val="clear" w:color="auto" w:fill="auto"/>
          </w:tcPr>
          <w:p w14:paraId="654BC0C3">
            <w:pPr>
              <w:adjustRightInd w:val="0"/>
              <w:snapToGrid w:val="0"/>
              <w:rPr>
                <w:rFonts w:ascii="Arial" w:hAnsi="Arial" w:cs="Arial"/>
                <w:sz w:val="20"/>
                <w:szCs w:val="20"/>
              </w:rPr>
            </w:pPr>
            <w:r>
              <w:rPr>
                <w:rFonts w:ascii="Arial" w:hAnsi="Arial" w:cs="Arial"/>
                <w:sz w:val="20"/>
                <w:szCs w:val="20"/>
              </w:rPr>
              <w:t>一致。</w:t>
            </w:r>
          </w:p>
        </w:tc>
      </w:tr>
    </w:tbl>
    <w:p w14:paraId="70772ACC">
      <w:pPr>
        <w:adjustRightInd w:val="0"/>
        <w:snapToGrid w:val="0"/>
        <w:rPr>
          <w:rFonts w:ascii="Arial" w:hAnsi="Arial" w:cs="Arial"/>
          <w:sz w:val="20"/>
          <w:szCs w:val="20"/>
        </w:rPr>
      </w:pPr>
    </w:p>
    <w:p w14:paraId="26B1D4FD">
      <w:pPr>
        <w:adjustRightInd w:val="0"/>
        <w:snapToGrid w:val="0"/>
        <w:rPr>
          <w:rFonts w:ascii="Arial" w:hAnsi="Arial" w:cs="Arial"/>
          <w:sz w:val="20"/>
          <w:szCs w:val="20"/>
        </w:rPr>
      </w:pPr>
      <w:r>
        <w:rPr>
          <w:rFonts w:ascii="Arial" w:hAnsi="Arial" w:cs="Arial"/>
          <w:b/>
          <w:bCs/>
          <w:color w:val="1F4E79" w:themeColor="accent5" w:themeShade="80"/>
          <w:sz w:val="20"/>
          <w:szCs w:val="20"/>
        </w:rPr>
        <w:t>核心原则5</w:t>
      </w:r>
      <w:r>
        <w:rPr>
          <w:rFonts w:ascii="Arial" w:hAnsi="Arial" w:cs="Arial"/>
          <w:b/>
          <w:bCs/>
          <w:sz w:val="20"/>
          <w:szCs w:val="20"/>
        </w:rPr>
        <w:t>：</w:t>
      </w:r>
      <w:r>
        <w:rPr>
          <w:rFonts w:ascii="Arial" w:hAnsi="Arial" w:cs="Arial"/>
          <w:sz w:val="20"/>
          <w:szCs w:val="20"/>
        </w:rPr>
        <w:t>充分考虑项目福利的文化适宜性和公平获取，特别关注土著人民的权益和弱势群体的需求或关切。</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4"/>
        <w:gridCol w:w="11478"/>
        <w:gridCol w:w="1674"/>
      </w:tblGrid>
      <w:tr w14:paraId="3196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504" w:type="pct"/>
            <w:shd w:val="clear" w:color="auto" w:fill="auto"/>
          </w:tcPr>
          <w:p w14:paraId="0F44B193">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关键要素</w:t>
            </w:r>
          </w:p>
        </w:tc>
        <w:tc>
          <w:tcPr>
            <w:tcW w:w="3924" w:type="pct"/>
            <w:shd w:val="clear" w:color="auto" w:fill="auto"/>
          </w:tcPr>
          <w:p w14:paraId="595D08B3">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中国社会管理系统</w:t>
            </w:r>
          </w:p>
        </w:tc>
        <w:tc>
          <w:tcPr>
            <w:tcW w:w="572" w:type="pct"/>
            <w:shd w:val="clear" w:color="auto" w:fill="auto"/>
          </w:tcPr>
          <w:p w14:paraId="6123B2FC">
            <w:pPr>
              <w:adjustRightInd w:val="0"/>
              <w:snapToGrid w:val="0"/>
              <w:jc w:val="center"/>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一致性分析及建议</w:t>
            </w:r>
          </w:p>
        </w:tc>
      </w:tr>
      <w:tr w14:paraId="73B9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71E09D3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要素10</w:t>
            </w:r>
            <w:r>
              <w:rPr>
                <w:rFonts w:ascii="Arial" w:hAnsi="Arial" w:cs="Arial"/>
                <w:color w:val="000000" w:themeColor="text1"/>
                <w:sz w:val="20"/>
                <w:szCs w:val="20"/>
                <w14:textFill>
                  <w14:solidFill>
                    <w14:schemeClr w14:val="tx1"/>
                  </w14:solidFill>
                </w14:textFill>
              </w:rPr>
              <w:t>：如果少数民族可能受到（正面或负面）影响，则进行免费，事先和知情的协商，以确定是否有广泛的社区支持该计划的活动</w:t>
            </w:r>
          </w:p>
        </w:tc>
        <w:tc>
          <w:tcPr>
            <w:tcW w:w="3924" w:type="pct"/>
            <w:shd w:val="clear" w:color="auto" w:fill="auto"/>
          </w:tcPr>
          <w:p w14:paraId="50FC8573">
            <w:pPr>
              <w:numPr>
                <w:ilvl w:val="0"/>
                <w:numId w:val="39"/>
              </w:numPr>
              <w:adjustRightInd w:val="0"/>
              <w:snapToGrid w:val="0"/>
              <w:rPr>
                <w:rFonts w:ascii="Arial" w:hAnsi="Arial" w:cs="Arial"/>
                <w:color w:val="000000" w:themeColor="text1"/>
                <w:sz w:val="20"/>
                <w:szCs w:val="20"/>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《中华人民共和国宪法》第四条</w:t>
            </w:r>
            <w:r>
              <w:rPr>
                <w:rFonts w:ascii="Arial" w:hAnsi="Arial" w:cs="Arial"/>
                <w:b/>
                <w:bCs/>
                <w:color w:val="000000" w:themeColor="text1"/>
                <w:sz w:val="20"/>
                <w:szCs w:val="20"/>
                <w14:textFill>
                  <w14:solidFill>
                    <w14:schemeClr w14:val="tx1"/>
                  </w14:solidFill>
                </w14:textFill>
              </w:rPr>
              <w:t>，</w:t>
            </w:r>
            <w:r>
              <w:rPr>
                <w:rFonts w:ascii="Arial" w:hAnsi="Arial" w:cs="Arial"/>
                <w:color w:val="000000" w:themeColor="text1"/>
                <w:sz w:val="20"/>
                <w:szCs w:val="20"/>
                <w14:textFill>
                  <w14:solidFill>
                    <w14:schemeClr w14:val="tx1"/>
                  </w14:solidFill>
                </w14:textFill>
              </w:rPr>
              <w:t>中华人民共和国各民族一律平等。</w:t>
            </w:r>
            <w:r>
              <w:rPr>
                <w:rFonts w:ascii="Arial" w:hAnsi="Arial" w:cs="Arial"/>
                <w:color w:val="000000" w:themeColor="text1"/>
                <w:sz w:val="20"/>
                <w:szCs w:val="20"/>
                <w14:textFill>
                  <w14:solidFill>
                    <w14:schemeClr w14:val="tx1"/>
                  </w14:solidFill>
                </w14:textFill>
              </w:rPr>
              <w:br w:type="textWrapping"/>
            </w:r>
            <w:r>
              <w:rPr>
                <w:rFonts w:hint="eastAsia" w:ascii="Arial" w:hAnsi="Arial" w:cs="Arial"/>
                <w:color w:val="000000" w:themeColor="text1"/>
                <w:sz w:val="20"/>
                <w:szCs w:val="20"/>
                <w:lang w:eastAsia="zh-CN"/>
                <w14:textFill>
                  <w14:solidFill>
                    <w14:schemeClr w14:val="tx1"/>
                  </w14:solidFill>
                </w14:textFill>
              </w:rPr>
              <w:t>ⅱ</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中华人民共和国民族区域自治法</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第五十一条</w:t>
            </w:r>
            <w:r>
              <w:rPr>
                <w:rFonts w:ascii="Arial" w:hAnsi="Arial" w:cs="Arial"/>
                <w:color w:val="000000" w:themeColor="text1"/>
                <w:sz w:val="20"/>
                <w:szCs w:val="20"/>
                <w14:textFill>
                  <w14:solidFill>
                    <w14:schemeClr w14:val="tx1"/>
                  </w14:solidFill>
                </w14:textFill>
              </w:rPr>
              <w:t>，民族自治地方的自治机关在处理涉及本地方各民族的特殊问题的时候，必须与他们的代表充分协商，尊重他们的意见</w:t>
            </w:r>
            <w:r>
              <w:rPr>
                <w:rFonts w:hint="eastAsia" w:ascii="Arial" w:hAnsi="Arial" w:cs="Arial"/>
                <w:color w:val="000000" w:themeColor="text1"/>
                <w:sz w:val="20"/>
                <w:szCs w:val="20"/>
                <w:lang w:eastAsia="zh-CN"/>
                <w14:textFill>
                  <w14:solidFill>
                    <w14:schemeClr w14:val="tx1"/>
                  </w14:solidFill>
                </w14:textFill>
              </w:rPr>
              <w:t>；第</w:t>
            </w:r>
            <w:r>
              <w:rPr>
                <w:rFonts w:ascii="Arial" w:hAnsi="Arial" w:cs="Arial"/>
                <w:color w:val="000000" w:themeColor="text1"/>
                <w:sz w:val="20"/>
                <w:szCs w:val="20"/>
                <w14:textFill>
                  <w14:solidFill>
                    <w14:schemeClr w14:val="tx1"/>
                  </w14:solidFill>
                </w14:textFill>
              </w:rPr>
              <w:t>52条，民族自治地方的自治机关保障本地方内各民族公民都享有宪法规定的公民权利。</w:t>
            </w:r>
            <w:r>
              <w:rPr>
                <w:rFonts w:ascii="Arial" w:hAnsi="Arial" w:cs="Arial"/>
                <w:color w:val="000000" w:themeColor="text1"/>
                <w:sz w:val="20"/>
                <w:szCs w:val="20"/>
                <w14:textFill>
                  <w14:solidFill>
                    <w14:schemeClr w14:val="tx1"/>
                  </w14:solidFill>
                </w14:textFill>
              </w:rPr>
              <w:br w:type="textWrapping"/>
            </w:r>
            <w:r>
              <w:rPr>
                <w:rFonts w:hint="eastAsia" w:ascii="Arial" w:hAnsi="Arial" w:cs="Arial"/>
                <w:color w:val="000000" w:themeColor="text1"/>
                <w:sz w:val="20"/>
                <w:szCs w:val="20"/>
                <w:lang w:eastAsia="zh-CN"/>
                <w14:textFill>
                  <w14:solidFill>
                    <w14:schemeClr w14:val="tx1"/>
                  </w14:solidFill>
                </w14:textFill>
              </w:rPr>
              <w:t>ⅲ</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《社会稳定性风险评估》</w:t>
            </w:r>
            <w:r>
              <w:rPr>
                <w:rFonts w:hint="eastAsia" w:ascii="Arial" w:hAnsi="Arial" w:cs="Arial"/>
                <w:b/>
                <w:bCs/>
                <w:color w:val="000000" w:themeColor="text1"/>
                <w:sz w:val="20"/>
                <w:szCs w:val="20"/>
                <w:lang w:eastAsia="zh-CN"/>
                <w14:textFill>
                  <w14:solidFill>
                    <w14:schemeClr w14:val="tx1"/>
                  </w14:solidFill>
                </w14:textFill>
              </w:rPr>
              <w:t>第三条</w:t>
            </w:r>
            <w:r>
              <w:rPr>
                <w:rFonts w:ascii="Arial" w:hAnsi="Arial" w:cs="Arial"/>
                <w:color w:val="000000" w:themeColor="text1"/>
                <w:sz w:val="20"/>
                <w:szCs w:val="20"/>
                <w14:textFill>
                  <w14:solidFill>
                    <w14:schemeClr w14:val="tx1"/>
                  </w14:solidFill>
                </w14:textFill>
              </w:rPr>
              <w:t>，项目可行性研究阶段，实施单位（委托专业机构）开展社会风险评价，进行影响识别、公众咨询、提出减缓措施并编制《项目社会稳定性风险评价》，另一方面，县级以上地方人民政府拟申请征收土地的，应当开展拟征收土地现状调查和社会稳定风险评估。社会稳定风险评估报告县政府指定部门组织专家评审，评审通过后签发批复。在此基础上，地方颁布了对应的实施意见/通知，如湖北省政府办公厅《关于加强新形势下重大决策社会稳定风险评估工作的实施意见》（2021.12.13）以及湖南省《关于加强新形势下重大决策社会稳定风险评估工作的实施意见》（湘办发</w:t>
            </w:r>
            <w:r>
              <w:rPr>
                <w:rFonts w:hint="eastAsia" w:ascii="Arial" w:hAnsi="Arial" w:cs="Arial"/>
                <w:color w:val="000000" w:themeColor="text1"/>
                <w:sz w:val="20"/>
                <w:szCs w:val="20"/>
                <w:lang w:eastAsia="zh-CN"/>
                <w14:textFill>
                  <w14:solidFill>
                    <w14:schemeClr w14:val="tx1"/>
                  </w14:solidFill>
                </w14:textFill>
              </w:rPr>
              <w:t>〔2021〕27号</w:t>
            </w:r>
            <w:r>
              <w:rPr>
                <w:rFonts w:ascii="Arial" w:hAnsi="Arial" w:cs="Arial"/>
                <w:color w:val="000000" w:themeColor="text1"/>
                <w:sz w:val="20"/>
                <w:szCs w:val="20"/>
                <w14:textFill>
                  <w14:solidFill>
                    <w14:schemeClr w14:val="tx1"/>
                  </w14:solidFill>
                </w14:textFill>
              </w:rPr>
              <w:t>）。</w:t>
            </w:r>
          </w:p>
          <w:p w14:paraId="02985C6E">
            <w:pPr>
              <w:numPr>
                <w:ilvl w:val="255"/>
                <w:numId w:val="0"/>
              </w:numPr>
              <w:adjustRightInd w:val="0"/>
              <w:snapToGrid w:val="0"/>
              <w:rPr>
                <w:rFonts w:ascii="Arial" w:hAnsi="Arial" w:cs="Arial"/>
                <w:color w:val="000000" w:themeColor="text1"/>
                <w:sz w:val="20"/>
                <w:szCs w:val="20"/>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ⅳ）</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中华人民共和国土地管理法</w:t>
            </w:r>
            <w:r>
              <w:rPr>
                <w:rFonts w:ascii="Arial" w:hAnsi="Arial" w:cs="Arial"/>
                <w:b/>
                <w:bCs/>
                <w:color w:val="000000" w:themeColor="text1"/>
                <w:sz w:val="20"/>
                <w:szCs w:val="20"/>
                <w14:textFill>
                  <w14:solidFill>
                    <w14:schemeClr w14:val="tx1"/>
                  </w14:solidFill>
                </w14:textFill>
              </w:rPr>
              <w:t>》（2020）第47条</w:t>
            </w:r>
            <w:r>
              <w:rPr>
                <w:rFonts w:ascii="Arial" w:hAnsi="Arial" w:cs="Arial"/>
                <w:color w:val="000000" w:themeColor="text1"/>
                <w:sz w:val="20"/>
                <w:szCs w:val="20"/>
                <w14:textFill>
                  <w14:solidFill>
                    <w14:schemeClr w14:val="tx1"/>
                  </w14:solidFill>
                </w14:textFill>
              </w:rPr>
              <w:t>，国家征收土地的，依照法定程序批准后，由县级以上地方人民政府予以公告并组织实施。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 被征地的农村集体经济组织及其成员、村民委员会和其他利害关系人的意见。</w:t>
            </w:r>
          </w:p>
        </w:tc>
        <w:tc>
          <w:tcPr>
            <w:tcW w:w="572" w:type="pct"/>
            <w:shd w:val="clear" w:color="auto" w:fill="auto"/>
          </w:tcPr>
          <w:p w14:paraId="2A1E9EA9">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一致。</w:t>
            </w:r>
          </w:p>
        </w:tc>
      </w:tr>
      <w:tr w14:paraId="3A5C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2F02281D">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要素11</w:t>
            </w:r>
            <w:r>
              <w:rPr>
                <w:rFonts w:ascii="Arial" w:hAnsi="Arial" w:cs="Arial"/>
                <w:color w:val="000000" w:themeColor="text1"/>
                <w:sz w:val="20"/>
                <w:szCs w:val="20"/>
                <w14:textFill>
                  <w14:solidFill>
                    <w14:schemeClr w14:val="tx1"/>
                  </w14:solidFill>
                </w14:textFill>
              </w:rPr>
              <w:t>：确保土著人民可以参与创造机会，以利用传统资源或土著知识，后者（土著知识）应征得土著人民的同意</w:t>
            </w:r>
          </w:p>
        </w:tc>
        <w:tc>
          <w:tcPr>
            <w:tcW w:w="3924" w:type="pct"/>
            <w:shd w:val="clear" w:color="auto" w:fill="auto"/>
          </w:tcPr>
          <w:p w14:paraId="00C9B5E2">
            <w:pPr>
              <w:adjustRightInd w:val="0"/>
              <w:snapToGrid w:val="0"/>
              <w:rPr>
                <w:rFonts w:ascii="Arial" w:hAnsi="Arial" w:cs="Arial"/>
                <w:b/>
                <w:bCs/>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i</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中华人民共和国民族区域自治法</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第六十五条</w:t>
            </w:r>
            <w:r>
              <w:rPr>
                <w:rFonts w:ascii="Arial" w:hAnsi="Arial" w:cs="Arial"/>
                <w:b/>
                <w:bCs/>
                <w:color w:val="000000" w:themeColor="text1"/>
                <w:sz w:val="20"/>
                <w:szCs w:val="20"/>
                <w14:textFill>
                  <w14:solidFill>
                    <w14:schemeClr w14:val="tx1"/>
                  </w14:solidFill>
                </w14:textFill>
              </w:rPr>
              <w:t>，</w:t>
            </w:r>
            <w:r>
              <w:rPr>
                <w:rFonts w:ascii="Arial" w:hAnsi="Arial" w:cs="Arial"/>
                <w:color w:val="000000" w:themeColor="text1"/>
                <w:sz w:val="20"/>
                <w:szCs w:val="20"/>
                <w14:textFill>
                  <w14:solidFill>
                    <w14:schemeClr w14:val="tx1"/>
                  </w14:solidFill>
                </w14:textFill>
              </w:rPr>
              <w:t>国家在民族自治地方开发资源、进行建设的时候，应当照顾民族自治地方的利益，作出有利于民族自治地方经济建设的安排，照顾当地少数民族的生 产和生活。</w:t>
            </w:r>
            <w:r>
              <w:rPr>
                <w:rFonts w:ascii="Arial" w:hAnsi="Arial" w:cs="Arial"/>
                <w:b/>
                <w:bCs/>
                <w:color w:val="000000" w:themeColor="text1"/>
                <w:sz w:val="20"/>
                <w:szCs w:val="20"/>
                <w14:textFill>
                  <w14:solidFill>
                    <w14:schemeClr w14:val="tx1"/>
                  </w14:solidFill>
                </w14:textFill>
              </w:rPr>
              <w:t>第66条，上</w:t>
            </w:r>
            <w:r>
              <w:rPr>
                <w:rFonts w:ascii="Arial" w:hAnsi="Arial" w:cs="Arial"/>
                <w:color w:val="000000" w:themeColor="text1"/>
                <w:sz w:val="20"/>
                <w:szCs w:val="20"/>
                <w14:textFill>
                  <w14:solidFill>
                    <w14:schemeClr w14:val="tx1"/>
                  </w14:solidFill>
                </w14:textFill>
              </w:rPr>
              <w:t>级国家机关应当把民族自治地方的重大生态平衡、环境保护的综合治理工程项目纳入国民经济和社会发展计划。</w:t>
            </w:r>
          </w:p>
          <w:p w14:paraId="55534E4E">
            <w:pPr>
              <w:adjustRightInd w:val="0"/>
              <w:snapToGrid w:val="0"/>
              <w:rPr>
                <w:rFonts w:ascii="Arial" w:hAnsi="Arial" w:cs="Arial"/>
                <w:color w:val="000000" w:themeColor="text1"/>
                <w:sz w:val="20"/>
                <w:szCs w:val="20"/>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ⅱ）</w:t>
            </w:r>
            <w:r>
              <w:rPr>
                <w:rFonts w:ascii="Arial" w:hAnsi="Arial" w:cs="Arial"/>
                <w:b/>
                <w:bCs/>
                <w:color w:val="000000" w:themeColor="text1"/>
                <w:sz w:val="20"/>
                <w:szCs w:val="20"/>
                <w14:textFill>
                  <w14:solidFill>
                    <w14:schemeClr w14:val="tx1"/>
                  </w14:solidFill>
                </w14:textFill>
              </w:rPr>
              <w:t>《重大行政决策程序暂行条例》（2019.9.1）规定，</w:t>
            </w:r>
            <w:r>
              <w:rPr>
                <w:rFonts w:ascii="Arial" w:hAnsi="Arial" w:cs="Arial"/>
                <w:color w:val="000000" w:themeColor="text1"/>
                <w:sz w:val="20"/>
                <w:szCs w:val="20"/>
                <w14:textFill>
                  <w14:solidFill>
                    <w14:schemeClr w14:val="tx1"/>
                  </w14:solidFill>
                </w14:textFill>
              </w:rPr>
              <w:t>以下方面要开展事先公众咨询，包括制定经济和社会发展等方面的重要规划，制定开发利用、保护重要自然资源和文化资源的重大公共政策和措施；决定在本行政区域实施的重大公共建设项目；决定对经济社会发展有重大影响、涉及重大公共利益或者社会公众切身利益的其他重大事项。</w:t>
            </w:r>
            <w:r>
              <w:rPr>
                <w:rFonts w:ascii="Arial" w:hAnsi="Arial" w:cs="Arial"/>
                <w:b/>
                <w:bCs/>
                <w:color w:val="000000" w:themeColor="text1"/>
                <w:sz w:val="20"/>
                <w:szCs w:val="20"/>
                <w14:textFill>
                  <w14:solidFill>
                    <w14:schemeClr w14:val="tx1"/>
                  </w14:solidFill>
                </w14:textFill>
              </w:rPr>
              <w:t>第14条，</w:t>
            </w:r>
            <w:r>
              <w:rPr>
                <w:rFonts w:ascii="Arial" w:hAnsi="Arial" w:cs="Arial"/>
                <w:color w:val="000000" w:themeColor="text1"/>
                <w:sz w:val="20"/>
                <w:szCs w:val="20"/>
                <w14:textFill>
                  <w14:solidFill>
                    <w14:schemeClr w14:val="tx1"/>
                  </w14:solidFill>
                </w14:textFill>
              </w:rPr>
              <w:t>决策承办单位应当采取便于社会公众参与的方式充分听取意见。听取意见可以采取座谈会、听证会、实地走访、书面征求意见、向社会公开征求意见、问卷调查、民意调查等多种方式。</w:t>
            </w:r>
            <w:r>
              <w:rPr>
                <w:rFonts w:ascii="Arial" w:hAnsi="Arial" w:cs="Arial"/>
                <w:b/>
                <w:bCs/>
                <w:color w:val="000000" w:themeColor="text1"/>
                <w:sz w:val="20"/>
                <w:szCs w:val="20"/>
                <w14:textFill>
                  <w14:solidFill>
                    <w14:schemeClr w14:val="tx1"/>
                  </w14:solidFill>
                </w14:textFill>
              </w:rPr>
              <w:t>第15条，</w:t>
            </w:r>
            <w:r>
              <w:rPr>
                <w:rFonts w:ascii="Arial" w:hAnsi="Arial" w:cs="Arial"/>
                <w:color w:val="000000" w:themeColor="text1"/>
                <w:sz w:val="20"/>
                <w:szCs w:val="20"/>
                <w14:textFill>
                  <w14:solidFill>
                    <w14:schemeClr w14:val="tx1"/>
                  </w14:solidFill>
                </w14:textFill>
              </w:rPr>
              <w:t>决策事项向社会公开征求意见的，决策承办单位应当通过政府网站、政务新媒体以及报刊、广播、电视等便于社会公众知晓的途径，公布决策草案及其说明等材料，明确提出意见的方式和期限。公开征求意见的期限一般不少于30日；因情况紧急等原因需要缩短期限的，公开征求意见时应当予以说明。对社会公众普遍关心或者专业性、技术性较强的问题，决策承办单位可以通过专家访谈等方式进行解释说明</w:t>
            </w:r>
            <w:r>
              <w:rPr>
                <w:rFonts w:ascii="Arial" w:hAnsi="Arial" w:cs="Arial"/>
                <w:b/>
                <w:bCs/>
                <w:color w:val="000000" w:themeColor="text1"/>
                <w:sz w:val="20"/>
                <w:szCs w:val="20"/>
                <w14:textFill>
                  <w14:solidFill>
                    <w14:schemeClr w14:val="tx1"/>
                  </w14:solidFill>
                </w14:textFill>
              </w:rPr>
              <w:t>。第16条</w:t>
            </w:r>
            <w:r>
              <w:rPr>
                <w:rFonts w:ascii="Arial" w:hAnsi="Arial" w:cs="Arial"/>
                <w:color w:val="000000" w:themeColor="text1"/>
                <w:sz w:val="20"/>
                <w:szCs w:val="20"/>
                <w14:textFill>
                  <w14:solidFill>
                    <w14:schemeClr w14:val="tx1"/>
                  </w14:solidFill>
                </w14:textFill>
              </w:rPr>
              <w:t>，决策事项直接涉及公民、法人、其他组织切身利益或者存在较大分歧的，可以召开听证会。</w:t>
            </w:r>
            <w:r>
              <w:rPr>
                <w:rFonts w:hint="eastAsia" w:ascii="Arial" w:hAnsi="Arial" w:cs="Arial"/>
                <w:color w:val="000000" w:themeColor="text1"/>
                <w:sz w:val="20"/>
                <w:szCs w:val="20"/>
                <w:lang w:eastAsia="zh-CN"/>
                <w14:textFill>
                  <w14:solidFill>
                    <w14:schemeClr w14:val="tx1"/>
                  </w14:solidFill>
                </w14:textFill>
              </w:rPr>
              <w:t>法律法规</w:t>
            </w:r>
            <w:r>
              <w:rPr>
                <w:rFonts w:ascii="Arial" w:hAnsi="Arial" w:cs="Arial"/>
                <w:color w:val="000000" w:themeColor="text1"/>
                <w:sz w:val="20"/>
                <w:szCs w:val="20"/>
                <w14:textFill>
                  <w14:solidFill>
                    <w14:schemeClr w14:val="tx1"/>
                  </w14:solidFill>
                </w14:textFill>
              </w:rPr>
              <w:t>、规章对召开听证会另有规定的，依照其规定。决策承办单位或者组织听证会的其他单位应当提前公布决策草案及其说明等材料，明确听证时间、地点等信息。</w:t>
            </w:r>
            <w:r>
              <w:rPr>
                <w:rFonts w:ascii="Arial" w:hAnsi="Arial" w:cs="Arial"/>
                <w:b/>
                <w:bCs/>
                <w:color w:val="000000" w:themeColor="text1"/>
                <w:sz w:val="20"/>
                <w:szCs w:val="20"/>
                <w14:textFill>
                  <w14:solidFill>
                    <w14:schemeClr w14:val="tx1"/>
                  </w14:solidFill>
                </w14:textFill>
              </w:rPr>
              <w:t>第29条，</w:t>
            </w:r>
            <w:r>
              <w:rPr>
                <w:rFonts w:ascii="Arial" w:hAnsi="Arial" w:cs="Arial"/>
                <w:color w:val="000000" w:themeColor="text1"/>
                <w:sz w:val="20"/>
                <w:szCs w:val="20"/>
                <w14:textFill>
                  <w14:solidFill>
                    <w14:schemeClr w14:val="tx1"/>
                  </w14:solidFill>
                </w14:textFill>
              </w:rPr>
              <w:t>履行公众参与程序的，决策承办单位提交决策机关讨论决策草案，应当报送社会公众提出的主要意见的研究采纳情况；</w:t>
            </w:r>
            <w:r>
              <w:rPr>
                <w:rFonts w:ascii="Arial" w:hAnsi="Arial" w:cs="Arial"/>
                <w:b/>
                <w:bCs/>
                <w:color w:val="000000" w:themeColor="text1"/>
                <w:sz w:val="20"/>
                <w:szCs w:val="20"/>
                <w14:textFill>
                  <w14:solidFill>
                    <w14:schemeClr w14:val="tx1"/>
                  </w14:solidFill>
                </w14:textFill>
              </w:rPr>
              <w:t>第30条，</w:t>
            </w:r>
            <w:r>
              <w:rPr>
                <w:rFonts w:ascii="Arial" w:hAnsi="Arial" w:cs="Arial"/>
                <w:color w:val="000000" w:themeColor="text1"/>
                <w:sz w:val="20"/>
                <w:szCs w:val="20"/>
                <w14:textFill>
                  <w14:solidFill>
                    <w14:schemeClr w14:val="tx1"/>
                  </w14:solidFill>
                </w14:textFill>
              </w:rPr>
              <w:t>讨论决策草案，会议组成人员应当充分发表意见，行政首长最后发表意见。行政首长拟作出的决定与会议组成人员多数人的意见不一致的，应当在会上说明理由。</w:t>
            </w:r>
          </w:p>
          <w:p w14:paraId="77EFF0CF">
            <w:pPr>
              <w:rPr>
                <w:rFonts w:ascii="Arial" w:hAnsi="Arial" w:cs="Arial"/>
                <w:color w:val="000000" w:themeColor="text1"/>
                <w:sz w:val="20"/>
                <w:szCs w:val="20"/>
                <w:shd w:val="clear" w:color="auto" w:fill="FFFFFF"/>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ⅲ</w:t>
            </w:r>
            <w:r>
              <w:rPr>
                <w:rFonts w:ascii="Arial" w:hAnsi="Arial" w:cs="Arial"/>
                <w:b/>
                <w:bCs/>
                <w:color w:val="000000" w:themeColor="text1"/>
                <w:sz w:val="20"/>
                <w:szCs w:val="20"/>
                <w14:textFill>
                  <w14:solidFill>
                    <w14:schemeClr w14:val="tx1"/>
                  </w14:solidFill>
                </w14:textFill>
              </w:rPr>
              <w:t>）《湖北省民族工作高质量发展“十四五”规划》（2022.1）</w:t>
            </w:r>
            <w:r>
              <w:rPr>
                <w:rFonts w:ascii="Arial" w:hAnsi="Arial" w:cs="Arial"/>
                <w:color w:val="000000" w:themeColor="text1"/>
                <w:sz w:val="20"/>
                <w:szCs w:val="20"/>
                <w:shd w:val="clear" w:color="auto" w:fill="FFFFFF"/>
                <w14:textFill>
                  <w14:solidFill>
                    <w14:schemeClr w14:val="tx1"/>
                  </w14:solidFill>
                </w14:textFill>
              </w:rPr>
              <w:t>规划明确了推进</w:t>
            </w:r>
            <w:r>
              <w:rPr>
                <w:rFonts w:hint="eastAsia" w:ascii="Arial" w:hAnsi="Arial" w:cs="Arial"/>
                <w:color w:val="000000" w:themeColor="text1"/>
                <w:sz w:val="20"/>
                <w:szCs w:val="20"/>
                <w:shd w:val="clear" w:color="auto" w:fill="FFFFFF"/>
                <w:lang w:eastAsia="zh-CN"/>
                <w14:textFill>
                  <w14:solidFill>
                    <w14:schemeClr w14:val="tx1"/>
                  </w14:solidFill>
                </w14:textFill>
              </w:rPr>
              <w:t>新时代党的民族工作</w:t>
            </w:r>
            <w:r>
              <w:rPr>
                <w:rFonts w:ascii="Arial" w:hAnsi="Arial" w:cs="Arial"/>
                <w:color w:val="000000" w:themeColor="text1"/>
                <w:sz w:val="20"/>
                <w:szCs w:val="20"/>
                <w:shd w:val="clear" w:color="auto" w:fill="FFFFFF"/>
                <w14:textFill>
                  <w14:solidFill>
                    <w14:schemeClr w14:val="tx1"/>
                  </w14:solidFill>
                </w14:textFill>
              </w:rPr>
              <w:t>高质量发展6项重点工作任务，包括创新推进铸牢中华民族共同体意识工作、全面推进中华民族共有精神家园建设、推动各民族共同走向社会主义现代化、促进各民族广泛交往交流交融、提升民族事务治理现代化水平、加强党对民族工作的集中统一领导。规划分类提出了共筑精神家园、共同繁荣发展、共享美好生活、民族交往交流交融等4个方面18项具体指标，采取专栏形式明确了创新推进铸牢中华民族共同体意识工程、民族地区绿色产业融合创新发展工程、乡村振兴重点帮扶工程、民族宗教事务大数据管理平台建设等8个重点工程项目。</w:t>
            </w:r>
          </w:p>
          <w:p w14:paraId="4AF61EC6">
            <w:pPr>
              <w:rPr>
                <w:rFonts w:ascii="Arial" w:hAnsi="Arial" w:cs="Arial"/>
                <w:b/>
                <w:bCs/>
                <w:color w:val="000000" w:themeColor="text1"/>
                <w:sz w:val="20"/>
                <w:szCs w:val="20"/>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ⅳ）</w:t>
            </w:r>
            <w:r>
              <w:rPr>
                <w:rFonts w:ascii="Arial" w:hAnsi="Arial" w:cs="Arial"/>
                <w:b/>
                <w:bCs/>
                <w:color w:val="000000" w:themeColor="text1"/>
                <w:sz w:val="20"/>
                <w:szCs w:val="20"/>
                <w14:textFill>
                  <w14:solidFill>
                    <w14:schemeClr w14:val="tx1"/>
                  </w14:solidFill>
                </w14:textFill>
              </w:rPr>
              <w:t>《湖南省民族工作“十四五”发展规划》，</w:t>
            </w:r>
            <w:r>
              <w:rPr>
                <w:rFonts w:ascii="Arial" w:hAnsi="Arial" w:cs="Arial"/>
                <w:color w:val="000000" w:themeColor="text1"/>
                <w:sz w:val="20"/>
                <w:szCs w:val="20"/>
                <w14:textFill>
                  <w14:solidFill>
                    <w14:schemeClr w14:val="tx1"/>
                  </w14:solidFill>
                </w14:textFill>
              </w:rPr>
              <w:t>分类提出了经济社会发展、民生福祉、生态文明建设、乡村振兴、铸牢中华民族共同体意识重点工程、民族团结进步创建等6个方面的具体指标、42个重点工程项目。</w:t>
            </w:r>
          </w:p>
        </w:tc>
        <w:tc>
          <w:tcPr>
            <w:tcW w:w="572" w:type="pct"/>
            <w:shd w:val="clear" w:color="auto" w:fill="auto"/>
          </w:tcPr>
          <w:p w14:paraId="5F076938">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一致。</w:t>
            </w:r>
          </w:p>
        </w:tc>
      </w:tr>
      <w:tr w14:paraId="006C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04" w:type="pct"/>
            <w:shd w:val="clear" w:color="auto" w:fill="auto"/>
          </w:tcPr>
          <w:p w14:paraId="08D98B45">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要素12</w:t>
            </w:r>
            <w:r>
              <w:rPr>
                <w:rFonts w:ascii="Arial" w:hAnsi="Arial" w:cs="Arial"/>
                <w:color w:val="000000" w:themeColor="text1"/>
                <w:sz w:val="20"/>
                <w:szCs w:val="20"/>
                <w14:textFill>
                  <w14:solidFill>
                    <w14:schemeClr w14:val="tx1"/>
                  </w14:solidFill>
                </w14:textFill>
              </w:rPr>
              <w:t>：关注易受困境或不利影响的群体，包括相关的穷人，残疾人，妇女和儿童，老年人或边缘化的族群； 并在必要时采取特殊措施，以促进公平地获得项目收益</w:t>
            </w:r>
          </w:p>
        </w:tc>
        <w:tc>
          <w:tcPr>
            <w:tcW w:w="3924" w:type="pct"/>
            <w:shd w:val="clear" w:color="auto" w:fill="auto"/>
          </w:tcPr>
          <w:p w14:paraId="1CC0978E">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i</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《国务院关于印发“十三五”促进民族地区和人口较少民族发展规划的通知》（国发〔2016〕79号）</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支持贫困</w:t>
            </w:r>
            <w:r>
              <w:rPr>
                <w:rFonts w:hint="eastAsia" w:ascii="Arial" w:hAnsi="Arial" w:cs="Arial"/>
                <w:color w:val="000000" w:themeColor="text1"/>
                <w:sz w:val="20"/>
                <w:szCs w:val="20"/>
                <w:lang w:eastAsia="zh-CN"/>
                <w14:textFill>
                  <w14:solidFill>
                    <w14:schemeClr w14:val="tx1"/>
                  </w14:solidFill>
                </w14:textFill>
              </w:rPr>
              <w:t>民族地区</w:t>
            </w:r>
            <w:r>
              <w:rPr>
                <w:rFonts w:ascii="Arial" w:hAnsi="Arial" w:cs="Arial"/>
                <w:color w:val="000000" w:themeColor="text1"/>
                <w:sz w:val="20"/>
                <w:szCs w:val="20"/>
                <w14:textFill>
                  <w14:solidFill>
                    <w14:schemeClr w14:val="tx1"/>
                  </w14:solidFill>
                </w14:textFill>
              </w:rPr>
              <w:t>优势产业和特色经济的发展；通过发展养殖业和少数民族传统手工艺品，支持少数民族贫困村； 实施贫困村“一村一品”产业振兴行动和“互联网+”产业扶贫。实施电商扶贫、光电扶贫、乡村旅游扶贫等项目，增加当地群众收入；积极推进民族地区重大基础设施建设和工程建设，改善</w:t>
            </w:r>
            <w:r>
              <w:rPr>
                <w:rFonts w:hint="eastAsia" w:ascii="Arial" w:hAnsi="Arial" w:cs="Arial"/>
                <w:color w:val="000000" w:themeColor="text1"/>
                <w:sz w:val="20"/>
                <w:szCs w:val="20"/>
                <w:lang w:eastAsia="zh-CN"/>
                <w14:textFill>
                  <w14:solidFill>
                    <w14:schemeClr w14:val="tx1"/>
                  </w14:solidFill>
                </w14:textFill>
              </w:rPr>
              <w:t>民族地区</w:t>
            </w:r>
            <w:r>
              <w:rPr>
                <w:rFonts w:ascii="Arial" w:hAnsi="Arial" w:cs="Arial"/>
                <w:color w:val="000000" w:themeColor="text1"/>
                <w:sz w:val="20"/>
                <w:szCs w:val="20"/>
                <w14:textFill>
                  <w14:solidFill>
                    <w14:schemeClr w14:val="tx1"/>
                  </w14:solidFill>
                </w14:textFill>
              </w:rPr>
              <w:t>民生。完善民族地区基本社会服务机制，在养老服务、社会救助、社会福利、优抚安置等方面为各族群众提供保障。加大对民族地区贫困群众自然灾害生活救助的投入力度，完善自然灾害应急救助体系。合理确定民族地区</w:t>
            </w:r>
            <w:r>
              <w:rPr>
                <w:rFonts w:hint="eastAsia" w:ascii="Arial" w:hAnsi="Arial" w:cs="Arial"/>
                <w:color w:val="000000" w:themeColor="text1"/>
                <w:sz w:val="20"/>
                <w:szCs w:val="20"/>
                <w:lang w:eastAsia="zh-CN"/>
                <w14:textFill>
                  <w14:solidFill>
                    <w14:schemeClr w14:val="tx1"/>
                  </w14:solidFill>
                </w14:textFill>
              </w:rPr>
              <w:t>城乡居民最低生活保障</w:t>
            </w:r>
            <w:r>
              <w:rPr>
                <w:rFonts w:ascii="Arial" w:hAnsi="Arial" w:cs="Arial"/>
                <w:color w:val="000000" w:themeColor="text1"/>
                <w:sz w:val="20"/>
                <w:szCs w:val="20"/>
                <w14:textFill>
                  <w14:solidFill>
                    <w14:schemeClr w14:val="tx1"/>
                  </w14:solidFill>
                </w14:textFill>
              </w:rPr>
              <w:t>标准。支持公益慈善事业健康发展。</w:t>
            </w:r>
          </w:p>
          <w:p w14:paraId="2382F2FC">
            <w:pPr>
              <w:rPr>
                <w:rFonts w:ascii="Arial" w:hAnsi="Arial" w:cs="Arial"/>
                <w:color w:val="000000" w:themeColor="text1"/>
                <w:sz w:val="20"/>
                <w:szCs w:val="20"/>
                <w:shd w:val="clear" w:color="auto" w:fill="FFFFFF"/>
                <w14:textFill>
                  <w14:solidFill>
                    <w14:schemeClr w14:val="tx1"/>
                  </w14:solidFill>
                </w14:textFill>
              </w:rPr>
            </w:pPr>
            <w:r>
              <w:rPr>
                <w:rFonts w:hint="eastAsia" w:ascii="Arial" w:hAnsi="Arial" w:cs="Arial"/>
                <w:b/>
                <w:bCs/>
                <w:color w:val="000000" w:themeColor="text1"/>
                <w:sz w:val="20"/>
                <w:szCs w:val="20"/>
                <w:shd w:val="clear" w:color="auto" w:fill="FFFFFF"/>
                <w:lang w:eastAsia="zh-CN"/>
                <w14:textFill>
                  <w14:solidFill>
                    <w14:schemeClr w14:val="tx1"/>
                  </w14:solidFill>
                </w14:textFill>
              </w:rPr>
              <w:t>ⅱ）</w:t>
            </w:r>
            <w:r>
              <w:rPr>
                <w:rFonts w:ascii="Arial" w:hAnsi="Arial" w:cs="Arial"/>
                <w:b/>
                <w:bCs/>
                <w:color w:val="000000" w:themeColor="text1"/>
                <w:sz w:val="20"/>
                <w:szCs w:val="20"/>
                <w:shd w:val="clear" w:color="auto" w:fill="FFFFFF"/>
                <w14:textFill>
                  <w14:solidFill>
                    <w14:schemeClr w14:val="tx1"/>
                  </w14:solidFill>
                </w14:textFill>
              </w:rPr>
              <w:t>《湖北省民政事业发展“十四五”规划》</w:t>
            </w:r>
            <w:r>
              <w:rPr>
                <w:rFonts w:hint="eastAsia" w:ascii="Arial" w:hAnsi="Arial" w:cs="Arial"/>
                <w:b/>
                <w:bCs/>
                <w:color w:val="000000" w:themeColor="text1"/>
                <w:sz w:val="20"/>
                <w:szCs w:val="20"/>
                <w:shd w:val="clear" w:color="auto" w:fill="FFFFFF"/>
                <w:lang w:eastAsia="zh-CN"/>
                <w14:textFill>
                  <w14:solidFill>
                    <w14:schemeClr w14:val="tx1"/>
                  </w14:solidFill>
                </w14:textFill>
              </w:rPr>
              <w:t>（</w:t>
            </w:r>
            <w:r>
              <w:rPr>
                <w:rFonts w:ascii="Arial" w:hAnsi="Arial" w:cs="Arial"/>
                <w:b/>
                <w:bCs/>
                <w:color w:val="000000" w:themeColor="text1"/>
                <w:sz w:val="20"/>
                <w:szCs w:val="20"/>
                <w:shd w:val="clear" w:color="auto" w:fill="FFFFFF"/>
                <w14:textFill>
                  <w14:solidFill>
                    <w14:schemeClr w14:val="tx1"/>
                  </w14:solidFill>
                </w14:textFill>
              </w:rPr>
              <w:t>2021.10</w:t>
            </w:r>
            <w:r>
              <w:rPr>
                <w:rFonts w:hint="eastAsia" w:ascii="Arial" w:hAnsi="Arial" w:cs="Arial"/>
                <w:b/>
                <w:bCs/>
                <w:color w:val="000000" w:themeColor="text1"/>
                <w:sz w:val="20"/>
                <w:szCs w:val="20"/>
                <w:shd w:val="clear" w:color="auto" w:fill="FFFFFF"/>
                <w:lang w:eastAsia="zh-CN"/>
                <w14:textFill>
                  <w14:solidFill>
                    <w14:schemeClr w14:val="tx1"/>
                  </w14:solidFill>
                </w14:textFill>
              </w:rPr>
              <w:t>.</w:t>
            </w:r>
            <w:r>
              <w:rPr>
                <w:rFonts w:ascii="Arial" w:hAnsi="Arial" w:cs="Arial"/>
                <w:b/>
                <w:bCs/>
                <w:color w:val="000000" w:themeColor="text1"/>
                <w:sz w:val="20"/>
                <w:szCs w:val="20"/>
                <w:shd w:val="clear" w:color="auto" w:fill="FFFFFF"/>
                <w14:textFill>
                  <w14:solidFill>
                    <w14:schemeClr w14:val="tx1"/>
                  </w14:solidFill>
                </w14:textFill>
              </w:rPr>
              <w:t>29</w:t>
            </w:r>
            <w:r>
              <w:rPr>
                <w:rFonts w:hint="eastAsia" w:ascii="Arial" w:hAnsi="Arial" w:cs="Arial"/>
                <w:b/>
                <w:bCs/>
                <w:color w:val="000000" w:themeColor="text1"/>
                <w:sz w:val="20"/>
                <w:szCs w:val="20"/>
                <w:shd w:val="clear" w:color="auto" w:fill="FFFFFF"/>
                <w:lang w:eastAsia="zh-CN"/>
                <w14:textFill>
                  <w14:solidFill>
                    <w14:schemeClr w14:val="tx1"/>
                  </w14:solidFill>
                </w14:textFill>
              </w:rPr>
              <w:t>），</w:t>
            </w:r>
            <w:r>
              <w:rPr>
                <w:rFonts w:ascii="Arial" w:hAnsi="Arial" w:cs="Arial"/>
                <w:color w:val="000000" w:themeColor="text1"/>
                <w:sz w:val="20"/>
                <w:szCs w:val="20"/>
                <w:shd w:val="clear" w:color="auto" w:fill="FFFFFF"/>
                <w14:textFill>
                  <w14:solidFill>
                    <w14:schemeClr w14:val="tx1"/>
                  </w14:solidFill>
                </w14:textFill>
              </w:rPr>
              <w:t>到2025年，建成与全省经济社会发展水平相适应的民政事业高质量发展格局</w:t>
            </w:r>
            <w:r>
              <w:rPr>
                <w:rFonts w:hint="eastAsia" w:ascii="Arial" w:hAnsi="Arial" w:cs="Arial"/>
                <w:color w:val="000000" w:themeColor="text1"/>
                <w:sz w:val="20"/>
                <w:szCs w:val="20"/>
                <w:shd w:val="clear" w:color="auto" w:fill="FFFFFF"/>
                <w:lang w:eastAsia="zh-CN"/>
                <w14:textFill>
                  <w14:solidFill>
                    <w14:schemeClr w14:val="tx1"/>
                  </w14:solidFill>
                </w14:textFill>
              </w:rPr>
              <w:t>：</w:t>
            </w:r>
            <w:r>
              <w:rPr>
                <w:rFonts w:ascii="Arial" w:hAnsi="Arial" w:cs="Arial"/>
                <w:color w:val="000000" w:themeColor="text1"/>
                <w:sz w:val="20"/>
                <w:szCs w:val="20"/>
                <w:shd w:val="clear" w:color="auto" w:fill="FFFFFF"/>
                <w14:textFill>
                  <w14:solidFill>
                    <w14:schemeClr w14:val="tx1"/>
                  </w14:solidFill>
                </w14:textFill>
              </w:rPr>
              <w:t>1</w:t>
            </w:r>
            <w:r>
              <w:rPr>
                <w:rFonts w:hint="eastAsia" w:ascii="Arial" w:hAnsi="Arial" w:cs="Arial"/>
                <w:color w:val="000000" w:themeColor="text1"/>
                <w:sz w:val="20"/>
                <w:szCs w:val="20"/>
                <w:shd w:val="clear" w:color="auto" w:fill="FFFFFF"/>
                <w:lang w:eastAsia="zh-CN"/>
                <w14:textFill>
                  <w14:solidFill>
                    <w14:schemeClr w14:val="tx1"/>
                  </w14:solidFill>
                </w14:textFill>
              </w:rPr>
              <w:t>）</w:t>
            </w:r>
            <w:r>
              <w:rPr>
                <w:rFonts w:ascii="Arial" w:hAnsi="Arial" w:cs="Arial"/>
                <w:color w:val="000000" w:themeColor="text1"/>
                <w:sz w:val="20"/>
                <w:szCs w:val="20"/>
                <w:shd w:val="clear" w:color="auto" w:fill="FFFFFF"/>
                <w14:textFill>
                  <w14:solidFill>
                    <w14:schemeClr w14:val="tx1"/>
                  </w14:solidFill>
                </w14:textFill>
              </w:rPr>
              <w:t>基本民生保障水平明显提升。社会救助体系更加完善，形成以基本生活救助、专项社会救助、急难社会救助为主体</w:t>
            </w:r>
            <w:r>
              <w:rPr>
                <w:rFonts w:hint="eastAsia" w:ascii="Arial" w:hAnsi="Arial" w:cs="Arial"/>
                <w:color w:val="000000" w:themeColor="text1"/>
                <w:sz w:val="20"/>
                <w:szCs w:val="20"/>
                <w:shd w:val="clear" w:color="auto" w:fill="FFFFFF"/>
                <w:lang w:eastAsia="zh-CN"/>
                <w14:textFill>
                  <w14:solidFill>
                    <w14:schemeClr w14:val="tx1"/>
                  </w14:solidFill>
                </w14:textFill>
              </w:rPr>
              <w:t>，以</w:t>
            </w:r>
            <w:r>
              <w:rPr>
                <w:rFonts w:ascii="Arial" w:hAnsi="Arial" w:cs="Arial"/>
                <w:color w:val="000000" w:themeColor="text1"/>
                <w:sz w:val="20"/>
                <w:szCs w:val="20"/>
                <w:shd w:val="clear" w:color="auto" w:fill="FFFFFF"/>
                <w14:textFill>
                  <w14:solidFill>
                    <w14:schemeClr w14:val="tx1"/>
                  </w14:solidFill>
                </w14:textFill>
              </w:rPr>
              <w:t>社会力量参与为补充，建立健全</w:t>
            </w:r>
            <w:r>
              <w:rPr>
                <w:rFonts w:hint="eastAsia" w:ascii="Arial" w:hAnsi="Arial" w:cs="Arial"/>
                <w:color w:val="000000" w:themeColor="text1"/>
                <w:sz w:val="20"/>
                <w:szCs w:val="20"/>
                <w:shd w:val="clear" w:color="auto" w:fill="FFFFFF"/>
                <w:lang w:eastAsia="zh-CN"/>
                <w14:textFill>
                  <w14:solidFill>
                    <w14:schemeClr w14:val="tx1"/>
                  </w14:solidFill>
                </w14:textFill>
              </w:rPr>
              <w:t>分层分类社会救助</w:t>
            </w:r>
            <w:r>
              <w:rPr>
                <w:rFonts w:ascii="Arial" w:hAnsi="Arial" w:cs="Arial"/>
                <w:color w:val="000000" w:themeColor="text1"/>
                <w:sz w:val="20"/>
                <w:szCs w:val="20"/>
                <w:shd w:val="clear" w:color="auto" w:fill="FFFFFF"/>
                <w14:textFill>
                  <w14:solidFill>
                    <w14:schemeClr w14:val="tx1"/>
                  </w14:solidFill>
                </w14:textFill>
              </w:rPr>
              <w:t>制度体系。实现救助管理服务提档升级。孤儿、事实无人抚养儿童保障政策得到有效落实，困难残疾人生活补贴、重度残疾人护理补贴制度及老年人社会福利制度进一步完善，保障水平不断提升。2</w:t>
            </w:r>
            <w:r>
              <w:rPr>
                <w:rFonts w:hint="eastAsia" w:ascii="Arial" w:hAnsi="Arial" w:cs="Arial"/>
                <w:color w:val="000000" w:themeColor="text1"/>
                <w:sz w:val="20"/>
                <w:szCs w:val="20"/>
                <w:shd w:val="clear" w:color="auto" w:fill="FFFFFF"/>
                <w:lang w:eastAsia="zh-CN"/>
                <w14:textFill>
                  <w14:solidFill>
                    <w14:schemeClr w14:val="tx1"/>
                  </w14:solidFill>
                </w14:textFill>
              </w:rPr>
              <w:t>）</w:t>
            </w:r>
            <w:r>
              <w:rPr>
                <w:rFonts w:ascii="Arial" w:hAnsi="Arial" w:cs="Arial"/>
                <w:color w:val="000000" w:themeColor="text1"/>
                <w:sz w:val="20"/>
                <w:szCs w:val="20"/>
                <w:shd w:val="clear" w:color="auto" w:fill="FFFFFF"/>
                <w14:textFill>
                  <w14:solidFill>
                    <w14:schemeClr w14:val="tx1"/>
                  </w14:solidFill>
                </w14:textFill>
              </w:rPr>
              <w:t>基本社会服务质量明显提高。居家社区机构相协调、医养康养相结合的养老服务体系不断完善，养老服务供给结构不断优化，养老服务质量持续改善。关爱服务体系更加健全。政府购买社会服务力度增强，社会专业力量提供多样化服务。婚姻综合服务提质增效，儿童收养工作进一步规范。到2025年的主要发展指标有：乡村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8万人；志愿服务站点在社区综合服务设施中的覆盖率达到80%；每百户居民拥有的社区综合服务设施面积超过30平方米；社会组织专职工作人员数量达到40万人。</w:t>
            </w:r>
          </w:p>
          <w:p w14:paraId="71B08390">
            <w:pPr>
              <w:rPr>
                <w:rFonts w:ascii="Arial" w:hAnsi="Arial" w:cs="Arial"/>
                <w:color w:val="000000" w:themeColor="text1"/>
                <w:sz w:val="20"/>
                <w:szCs w:val="20"/>
                <w:shd w:val="clear" w:color="auto" w:fill="FFFFFF"/>
                <w14:textFill>
                  <w14:solidFill>
                    <w14:schemeClr w14:val="tx1"/>
                  </w14:solidFill>
                </w14:textFill>
              </w:rPr>
            </w:pPr>
            <w:r>
              <w:rPr>
                <w:rFonts w:hint="eastAsia" w:ascii="Arial" w:hAnsi="Arial" w:cs="Arial"/>
                <w:b/>
                <w:bCs/>
                <w:color w:val="000000" w:themeColor="text1"/>
                <w:sz w:val="20"/>
                <w:szCs w:val="20"/>
                <w:shd w:val="clear" w:color="auto" w:fill="FFFFFF"/>
                <w:lang w:eastAsia="zh-CN"/>
                <w14:textFill>
                  <w14:solidFill>
                    <w14:schemeClr w14:val="tx1"/>
                  </w14:solidFill>
                </w14:textFill>
              </w:rPr>
              <w:t>ⅲ）</w:t>
            </w:r>
            <w:r>
              <w:rPr>
                <w:rFonts w:ascii="Arial" w:hAnsi="Arial" w:cs="Arial"/>
                <w:b/>
                <w:bCs/>
                <w:color w:val="000000" w:themeColor="text1"/>
                <w:sz w:val="20"/>
                <w:szCs w:val="20"/>
                <w:shd w:val="clear" w:color="auto" w:fill="FFFFFF"/>
                <w14:textFill>
                  <w14:solidFill>
                    <w14:schemeClr w14:val="tx1"/>
                  </w14:solidFill>
                </w14:textFill>
              </w:rPr>
              <w:t>《湖南省“十四五”民政事业发展规划》（2021.9.13）</w:t>
            </w:r>
            <w:r>
              <w:rPr>
                <w:rFonts w:ascii="Arial" w:hAnsi="Arial" w:cs="Arial"/>
                <w:color w:val="000000" w:themeColor="text1"/>
                <w:sz w:val="20"/>
                <w:szCs w:val="20"/>
                <w:shd w:val="clear" w:color="auto" w:fill="FFFFFF"/>
                <w14:textFill>
                  <w14:solidFill>
                    <w14:schemeClr w14:val="tx1"/>
                  </w14:solidFill>
                </w14:textFill>
              </w:rPr>
              <w:t>分别从社会救助、养老服务、儿童福利、基层社会治理、基本社会服务、社会组织发展、慈善事业和社会工作、区划地名管理服务、现代化新湖南“五化”民政共九个方面，明确了发展任务，提出了工作重点。《规划》提出，到2025年，城乡低保标准年度增速不低于居民上年度人均消费支出增速；农村低保标准占城市低保标准比例超过75%；困难残疾人生活补贴覆盖率达到100%；重度残疾人护理补贴覆盖率达到100%；婚姻登记“跨省通办”实施率达到100%；查明身份信息流浪乞讨受助人员接送返回率达到100%；县级公益性安葬（放）设施覆盖率达到100%；养老机构护理型床位占比达到60%；乡镇（街道）范围具备综合功能的养老服务机构覆盖率达到60%；乡镇（街道）未成年人保护工作站覆盖率达到50%；社会工作专业人才总量达到9万人；志愿服务站点在社区综合服务设施中的覆盖率达到80%；每百户居民拥有的社区综合服务设施面积超过43平方米；社会组织专职工作人员数量达到37万人。</w:t>
            </w:r>
          </w:p>
          <w:p w14:paraId="1BB4193C">
            <w:pPr>
              <w:rPr>
                <w:rFonts w:ascii="Arial" w:hAnsi="Arial" w:cs="Arial"/>
                <w:color w:val="000000" w:themeColor="text1"/>
                <w:sz w:val="20"/>
                <w:szCs w:val="20"/>
                <w14:textFill>
                  <w14:solidFill>
                    <w14:schemeClr w14:val="tx1"/>
                  </w14:solidFill>
                </w14:textFill>
              </w:rPr>
            </w:pPr>
            <w:r>
              <w:rPr>
                <w:rFonts w:hint="eastAsia" w:ascii="Arial" w:hAnsi="Arial" w:cs="Arial"/>
                <w:b/>
                <w:bCs/>
                <w:color w:val="000000" w:themeColor="text1"/>
                <w:sz w:val="20"/>
                <w:szCs w:val="20"/>
                <w:lang w:eastAsia="zh-CN"/>
                <w14:textFill>
                  <w14:solidFill>
                    <w14:schemeClr w14:val="tx1"/>
                  </w14:solidFill>
                </w14:textFill>
              </w:rPr>
              <w:t>ⅳ</w:t>
            </w:r>
            <w:r>
              <w:rPr>
                <w:rFonts w:ascii="Arial" w:hAnsi="Arial" w:cs="Arial"/>
                <w:b/>
                <w:bCs/>
                <w:color w:val="000000" w:themeColor="text1"/>
                <w:sz w:val="20"/>
                <w:szCs w:val="20"/>
                <w14:textFill>
                  <w14:solidFill>
                    <w14:schemeClr w14:val="tx1"/>
                  </w14:solidFill>
                </w14:textFill>
              </w:rPr>
              <w:t>）</w:t>
            </w:r>
            <w:r>
              <w:rPr>
                <w:rFonts w:hint="eastAsia" w:ascii="Arial" w:hAnsi="Arial" w:cs="Arial"/>
                <w:b/>
                <w:bCs/>
                <w:color w:val="000000" w:themeColor="text1"/>
                <w:sz w:val="20"/>
                <w:szCs w:val="20"/>
                <w:lang w:eastAsia="zh-CN"/>
                <w14:textFill>
                  <w14:solidFill>
                    <w14:schemeClr w14:val="tx1"/>
                  </w14:solidFill>
                </w14:textFill>
              </w:rPr>
              <w:t>其他</w:t>
            </w:r>
            <w:r>
              <w:rPr>
                <w:rFonts w:ascii="Arial" w:hAnsi="Arial" w:cs="Arial"/>
                <w:b/>
                <w:bCs/>
                <w:color w:val="000000" w:themeColor="text1"/>
                <w:sz w:val="20"/>
                <w:szCs w:val="20"/>
                <w14:textFill>
                  <w14:solidFill>
                    <w14:schemeClr w14:val="tx1"/>
                  </w14:solidFill>
                </w14:textFill>
              </w:rPr>
              <w:t>扶贫政策：</w:t>
            </w:r>
            <w:r>
              <w:rPr>
                <w:rFonts w:ascii="Arial" w:hAnsi="Arial" w:cs="Arial"/>
                <w:color w:val="000000" w:themeColor="text1"/>
                <w:sz w:val="20"/>
                <w:szCs w:val="20"/>
                <w14:textFill>
                  <w14:solidFill>
                    <w14:schemeClr w14:val="tx1"/>
                  </w14:solidFill>
                </w14:textFill>
              </w:rPr>
              <w:t>国内贫困主要指那些生活未达到最低生活保障线的贫困家庭，分为两类：a）城乡居民最低生活保障对象，指以户为单位家庭人均月收入低于当地最低生活保障标准的群体。各地每年都要公布低保标准和政策。2022年湖北省</w:t>
            </w:r>
            <w:r>
              <w:rPr>
                <w:rFonts w:hint="eastAsia" w:ascii="Arial" w:hAnsi="Arial" w:cs="Arial"/>
                <w:color w:val="000000" w:themeColor="text1"/>
                <w:sz w:val="20"/>
                <w:szCs w:val="20"/>
                <w:lang w:eastAsia="zh-CN"/>
                <w14:textFill>
                  <w14:solidFill>
                    <w14:schemeClr w14:val="tx1"/>
                  </w14:solidFill>
                </w14:textFill>
              </w:rPr>
              <w:t>城乡居民最低生活保障</w:t>
            </w:r>
            <w:r>
              <w:rPr>
                <w:rFonts w:ascii="Arial" w:hAnsi="Arial" w:cs="Arial"/>
                <w:color w:val="000000" w:themeColor="text1"/>
                <w:sz w:val="20"/>
                <w:szCs w:val="20"/>
                <w14:textFill>
                  <w14:solidFill>
                    <w14:schemeClr w14:val="tx1"/>
                  </w14:solidFill>
                </w14:textFill>
              </w:rPr>
              <w:t>标准分别达到8400元/人/年和6236元/人/年</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城乡特困供养标准分别达到16807元/人/年和11990元/人/年</w:t>
            </w:r>
            <w:r>
              <w:rPr>
                <w:rFonts w:hint="eastAsia" w:ascii="Arial" w:hAnsi="Arial" w:cs="Arial"/>
                <w:color w:val="000000" w:themeColor="text1"/>
                <w:sz w:val="20"/>
                <w:szCs w:val="20"/>
                <w:lang w:eastAsia="zh-CN"/>
                <w14:textFill>
                  <w14:solidFill>
                    <w14:schemeClr w14:val="tx1"/>
                  </w14:solidFill>
                </w14:textFill>
              </w:rPr>
              <w:t>；</w:t>
            </w:r>
            <w:r>
              <w:rPr>
                <w:rFonts w:ascii="Arial" w:hAnsi="Arial" w:cs="Arial"/>
                <w:color w:val="000000" w:themeColor="text1"/>
                <w:sz w:val="20"/>
                <w:szCs w:val="20"/>
                <w14:textFill>
                  <w14:solidFill>
                    <w14:schemeClr w14:val="tx1"/>
                  </w14:solidFill>
                </w14:textFill>
              </w:rPr>
              <w:t>湖南省城乡低保平均标准分别是7416元/人/年和5557元/人/年，城乡特困供养平均标准分别为9640元/人/年和7224元/人/年。b）特困人员，无劳动能力、无生活来源、无法定义务赡养或抚养人，或法定义务赡养或抚养人无履行义务能力的老年人和残疾人和未满16周岁的儿童。对这部分人，国家全额保障，做到“一超、</w:t>
            </w:r>
            <w:r>
              <w:rPr>
                <w:rFonts w:hint="eastAsia" w:ascii="Arial" w:hAnsi="Arial" w:cs="Arial"/>
                <w:color w:val="000000" w:themeColor="text1"/>
                <w:sz w:val="20"/>
                <w:szCs w:val="20"/>
                <w:lang w:eastAsia="zh-CN"/>
                <w14:textFill>
                  <w14:solidFill>
                    <w14:schemeClr w14:val="tx1"/>
                  </w14:solidFill>
                </w14:textFill>
              </w:rPr>
              <w:t>‘两不愁三保障’</w:t>
            </w:r>
            <w:r>
              <w:rPr>
                <w:rFonts w:ascii="Arial" w:hAnsi="Arial" w:cs="Arial"/>
                <w:color w:val="000000" w:themeColor="text1"/>
                <w:sz w:val="20"/>
                <w:szCs w:val="20"/>
                <w14:textFill>
                  <w14:solidFill>
                    <w14:schemeClr w14:val="tx1"/>
                  </w14:solidFill>
                </w14:textFill>
              </w:rPr>
              <w:t>”，其中“一超”指对象户的收入水平超过当地最低人均收入，“两不愁”指不愁吃、不愁穿，“三保障”指保障其医疗服务、住房和子女教育。根据贫困情况，各地对建档立卡户</w:t>
            </w:r>
            <w:r>
              <w:rPr>
                <w:rFonts w:hint="eastAsia" w:ascii="Arial" w:hAnsi="Arial" w:cs="Arial"/>
                <w:color w:val="000000" w:themeColor="text1"/>
                <w:sz w:val="20"/>
                <w:szCs w:val="20"/>
                <w:lang w:eastAsia="zh-CN"/>
                <w14:textFill>
                  <w14:solidFill>
                    <w14:schemeClr w14:val="tx1"/>
                  </w14:solidFill>
                </w14:textFill>
              </w:rPr>
              <w:t>提供</w:t>
            </w:r>
            <w:r>
              <w:rPr>
                <w:rFonts w:ascii="Arial" w:hAnsi="Arial" w:cs="Arial"/>
                <w:color w:val="000000" w:themeColor="text1"/>
                <w:sz w:val="20"/>
                <w:szCs w:val="20"/>
                <w14:textFill>
                  <w14:solidFill>
                    <w14:schemeClr w14:val="tx1"/>
                  </w14:solidFill>
                </w14:textFill>
              </w:rPr>
              <w:t>生活补贴、建房补贴、儿童免费教育、免息贷款、特殊职业培训和优先安排就业等。</w:t>
            </w:r>
          </w:p>
          <w:p w14:paraId="6738D84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v</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《中华人民共和国妇女权益保障法》（2018修正）第22条，</w:t>
            </w:r>
            <w:r>
              <w:rPr>
                <w:rFonts w:ascii="Arial" w:hAnsi="Arial" w:cs="Arial"/>
                <w:color w:val="000000" w:themeColor="text1"/>
                <w:sz w:val="20"/>
                <w:szCs w:val="20"/>
                <w14:textFill>
                  <w14:solidFill>
                    <w14:schemeClr w14:val="tx1"/>
                  </w14:solidFill>
                </w14:textFill>
              </w:rPr>
              <w:t>国家保障妇女享有与男子平等的劳动权利和社会保障权利。</w:t>
            </w:r>
            <w:r>
              <w:rPr>
                <w:rFonts w:ascii="Arial" w:hAnsi="Arial" w:cs="Arial"/>
                <w:b/>
                <w:bCs/>
                <w:color w:val="000000" w:themeColor="text1"/>
                <w:sz w:val="20"/>
                <w:szCs w:val="20"/>
                <w14:textFill>
                  <w14:solidFill>
                    <w14:schemeClr w14:val="tx1"/>
                  </w14:solidFill>
                </w14:textFill>
              </w:rPr>
              <w:t>第24条，</w:t>
            </w:r>
            <w:r>
              <w:rPr>
                <w:rFonts w:ascii="Arial" w:hAnsi="Arial" w:cs="Arial"/>
                <w:color w:val="000000" w:themeColor="text1"/>
                <w:sz w:val="20"/>
                <w:szCs w:val="20"/>
                <w14:textFill>
                  <w14:solidFill>
                    <w14:schemeClr w14:val="tx1"/>
                  </w14:solidFill>
                </w14:textFill>
              </w:rPr>
              <w:t>实行男女同工同酬。妇女在享受福利待遇方面享有与男子平等的权利。</w:t>
            </w:r>
            <w:r>
              <w:rPr>
                <w:rFonts w:ascii="Arial" w:hAnsi="Arial" w:cs="Arial"/>
                <w:b/>
                <w:bCs/>
                <w:color w:val="000000" w:themeColor="text1"/>
                <w:sz w:val="20"/>
                <w:szCs w:val="20"/>
                <w14:textFill>
                  <w14:solidFill>
                    <w14:schemeClr w14:val="tx1"/>
                  </w14:solidFill>
                </w14:textFill>
              </w:rPr>
              <w:t>第26条，</w:t>
            </w:r>
            <w:r>
              <w:rPr>
                <w:rFonts w:ascii="Arial" w:hAnsi="Arial" w:cs="Arial"/>
                <w:color w:val="000000" w:themeColor="text1"/>
                <w:sz w:val="20"/>
                <w:szCs w:val="20"/>
                <w14:textFill>
                  <w14:solidFill>
                    <w14:schemeClr w14:val="tx1"/>
                  </w14:solidFill>
                </w14:textFill>
              </w:rPr>
              <w:t>任何单位均应根据妇女的特点，依法保护妇女在工作和劳动时的安全和健康，不得安排不适合妇女从事的工作和劳动。 妇女在经期、孕期、产期、哺乳期受特殊保护。</w:t>
            </w:r>
            <w:r>
              <w:rPr>
                <w:rFonts w:ascii="Arial" w:hAnsi="Arial" w:cs="Arial"/>
                <w:b/>
                <w:bCs/>
                <w:color w:val="000000" w:themeColor="text1"/>
                <w:sz w:val="20"/>
                <w:szCs w:val="20"/>
                <w14:textFill>
                  <w14:solidFill>
                    <w14:schemeClr w14:val="tx1"/>
                  </w14:solidFill>
                </w14:textFill>
              </w:rPr>
              <w:t>第27条，</w:t>
            </w:r>
            <w:r>
              <w:rPr>
                <w:rFonts w:ascii="Arial" w:hAnsi="Arial" w:cs="Arial"/>
                <w:color w:val="000000" w:themeColor="text1"/>
                <w:sz w:val="20"/>
                <w:szCs w:val="20"/>
                <w14:textFill>
                  <w14:solidFill>
                    <w14:schemeClr w14:val="tx1"/>
                  </w14:solidFill>
                </w14:textFill>
              </w:rPr>
              <w:t>任何单位不得因结婚、怀孕、产假、哺乳等情形，降低女职工的工资，辞退女职工，单方解除劳动（聘用）合同或者服务协议。</w:t>
            </w:r>
            <w:r>
              <w:rPr>
                <w:rFonts w:ascii="Arial" w:hAnsi="Arial" w:cs="Arial"/>
                <w:b/>
                <w:bCs/>
                <w:color w:val="000000" w:themeColor="text1"/>
                <w:sz w:val="20"/>
                <w:szCs w:val="20"/>
                <w14:textFill>
                  <w14:solidFill>
                    <w14:schemeClr w14:val="tx1"/>
                  </w14:solidFill>
                </w14:textFill>
              </w:rPr>
              <w:t>第28条，</w:t>
            </w:r>
            <w:r>
              <w:rPr>
                <w:rFonts w:ascii="Arial" w:hAnsi="Arial" w:cs="Arial"/>
                <w:color w:val="000000" w:themeColor="text1"/>
                <w:sz w:val="20"/>
                <w:szCs w:val="20"/>
                <w14:textFill>
                  <w14:solidFill>
                    <w14:schemeClr w14:val="tx1"/>
                  </w14:solidFill>
                </w14:textFill>
              </w:rPr>
              <w:t>国家发展社会保险、社会救助、社会福利和医疗卫生事业，保障妇女享有社会保险、社会救助、社会福利和卫生保健等权益。 国家提倡和鼓励为帮助妇女开展的社会公益活动。</w:t>
            </w:r>
            <w:r>
              <w:rPr>
                <w:rFonts w:ascii="Arial" w:hAnsi="Arial" w:cs="Arial"/>
                <w:b/>
                <w:bCs/>
                <w:color w:val="000000" w:themeColor="text1"/>
                <w:sz w:val="20"/>
                <w:szCs w:val="20"/>
                <w14:textFill>
                  <w14:solidFill>
                    <w14:schemeClr w14:val="tx1"/>
                  </w14:solidFill>
                </w14:textFill>
              </w:rPr>
              <w:t>第29条，</w:t>
            </w:r>
            <w:r>
              <w:rPr>
                <w:rFonts w:ascii="Arial" w:hAnsi="Arial" w:cs="Arial"/>
                <w:color w:val="000000" w:themeColor="text1"/>
                <w:sz w:val="20"/>
                <w:szCs w:val="20"/>
                <w14:textFill>
                  <w14:solidFill>
                    <w14:schemeClr w14:val="tx1"/>
                  </w14:solidFill>
                </w14:textFill>
              </w:rPr>
              <w:t xml:space="preserve">国家推行生育保险制度，建立健全与生育相关的其他保障制度。 </w:t>
            </w:r>
          </w:p>
          <w:p w14:paraId="0ACD1E11">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vi</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《中国妇女发展纲要（2021</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2030年）》，</w:t>
            </w:r>
            <w:r>
              <w:rPr>
                <w:rFonts w:ascii="Arial" w:hAnsi="Arial" w:cs="Arial"/>
                <w:color w:val="000000" w:themeColor="text1"/>
                <w:sz w:val="20"/>
                <w:szCs w:val="20"/>
                <w14:textFill>
                  <w14:solidFill>
                    <w14:schemeClr w14:val="tx1"/>
                  </w14:solidFill>
                </w14:textFill>
              </w:rPr>
              <w:t>总体目标是男女平等基本国策得到深入贯彻落实，促进男女平等和妇女全面发展的制度机制创新完善。妇女平等享有全方位全生命周期健康服务，健康水平持续提升。妇女平等享有受教育权利，素质能力持续提高。妇女平等享有经济权益，经济地位稳步提升。妇女平等享有政治权利，参与国家和经济文化社会事务管理的水平逐步提高。妇女平等享有多层次可持续的社会保障，待遇水平稳步提高。支持家庭发展的法规政策体系更加完善，社会主义家庭文明新风尚广泛弘扬。男女平等理念更加深入人心，妇女发展环境更为优化。法治体系更加健全，妇女合法权益得到切实保障。妇女的获得感、幸福感、安全感显著提升。</w:t>
            </w:r>
          </w:p>
        </w:tc>
        <w:tc>
          <w:tcPr>
            <w:tcW w:w="572" w:type="pct"/>
            <w:shd w:val="clear" w:color="auto" w:fill="auto"/>
          </w:tcPr>
          <w:p w14:paraId="7A072D97">
            <w:pPr>
              <w:adjustRightInd w:val="0"/>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一致。</w:t>
            </w:r>
          </w:p>
        </w:tc>
      </w:tr>
    </w:tbl>
    <w:p w14:paraId="6FFE4067">
      <w:pPr>
        <w:adjustRightInd w:val="0"/>
        <w:snapToGrid w:val="0"/>
        <w:rPr>
          <w:rFonts w:ascii="Arial" w:hAnsi="Arial" w:cs="Arial"/>
          <w:sz w:val="20"/>
          <w:szCs w:val="20"/>
          <w:lang w:val="en-GB"/>
        </w:rPr>
      </w:pPr>
    </w:p>
    <w:p w14:paraId="07F9A55C">
      <w:pPr>
        <w:adjustRightInd w:val="0"/>
        <w:snapToGrid w:val="0"/>
        <w:rPr>
          <w:rFonts w:ascii="Arial" w:hAnsi="Arial" w:cs="Arial"/>
          <w:sz w:val="20"/>
          <w:szCs w:val="20"/>
        </w:rPr>
      </w:pPr>
      <w:r>
        <w:rPr>
          <w:rFonts w:ascii="Arial" w:hAnsi="Arial" w:cs="Arial"/>
          <w:b/>
          <w:bCs/>
          <w:color w:val="1F4E79" w:themeColor="accent5" w:themeShade="80"/>
          <w:sz w:val="20"/>
          <w:szCs w:val="20"/>
        </w:rPr>
        <w:t>核心原则6</w:t>
      </w:r>
      <w:r>
        <w:rPr>
          <w:rFonts w:ascii="Arial" w:hAnsi="Arial" w:cs="Arial"/>
          <w:b/>
          <w:bCs/>
          <w:sz w:val="20"/>
          <w:szCs w:val="20"/>
        </w:rPr>
        <w:t>：</w:t>
      </w:r>
      <w:r>
        <w:rPr>
          <w:rFonts w:ascii="Arial" w:hAnsi="Arial" w:cs="Arial"/>
          <w:sz w:val="20"/>
          <w:szCs w:val="20"/>
        </w:rPr>
        <w:t>项目环境与社会体系尽量避免加重地区社会冲突，特别是对于脆弱的地区，冲突后地区或有领土争议的地区。</w:t>
      </w:r>
    </w:p>
    <w:p w14:paraId="0F4975B2">
      <w:pPr>
        <w:adjustRightInd w:val="0"/>
        <w:snapToGrid w:val="0"/>
        <w:rPr>
          <w:rFonts w:ascii="Arial" w:hAnsi="Arial" w:cs="Arial"/>
          <w:sz w:val="20"/>
          <w:szCs w:val="20"/>
        </w:rPr>
      </w:pPr>
      <w:r>
        <w:rPr>
          <w:rFonts w:ascii="Arial" w:hAnsi="Arial" w:cs="Arial"/>
          <w:b/>
          <w:bCs/>
          <w:sz w:val="20"/>
          <w:szCs w:val="20"/>
        </w:rPr>
        <w:t>要素13</w:t>
      </w:r>
      <w:r>
        <w:rPr>
          <w:rFonts w:ascii="Arial" w:hAnsi="Arial" w:cs="Arial"/>
          <w:sz w:val="20"/>
          <w:szCs w:val="20"/>
        </w:rPr>
        <w:t>：考虑冲突的风险，包括分配不均和文化敏感性。</w:t>
      </w:r>
    </w:p>
    <w:p w14:paraId="1034D4C8">
      <w:pPr>
        <w:adjustRightInd w:val="0"/>
        <w:snapToGrid w:val="0"/>
        <w:rPr>
          <w:rFonts w:ascii="Arial" w:hAnsi="Arial" w:cs="Arial"/>
          <w:b/>
          <w:bCs/>
          <w:sz w:val="20"/>
          <w:szCs w:val="20"/>
        </w:rPr>
      </w:pPr>
      <w:r>
        <w:rPr>
          <w:rFonts w:ascii="Arial" w:hAnsi="Arial" w:cs="Arial"/>
          <w:sz w:val="20"/>
          <w:szCs w:val="20"/>
        </w:rPr>
        <w:t>不相关</w:t>
      </w:r>
    </w:p>
    <w:p w14:paraId="55D3A916">
      <w:pPr>
        <w:rPr>
          <w:rFonts w:ascii="Arial" w:hAnsi="Arial" w:cs="Arial"/>
          <w:sz w:val="28"/>
          <w:szCs w:val="32"/>
        </w:rPr>
        <w:sectPr>
          <w:pgSz w:w="16838" w:h="11906" w:orient="landscape"/>
          <w:pgMar w:top="1134" w:right="1134" w:bottom="1134" w:left="1134" w:header="720" w:footer="720" w:gutter="0"/>
          <w:cols w:space="720" w:num="1"/>
          <w:docGrid w:linePitch="360" w:charSpace="0"/>
        </w:sectPr>
      </w:pPr>
      <w:bookmarkStart w:id="756" w:name="_Toc79939282"/>
      <w:r>
        <w:rPr>
          <w:rFonts w:ascii="Arial" w:hAnsi="Arial" w:cs="Arial"/>
          <w:sz w:val="28"/>
          <w:szCs w:val="32"/>
        </w:rPr>
        <w:br w:type="page"/>
      </w:r>
    </w:p>
    <w:bookmarkEnd w:id="756"/>
    <w:p w14:paraId="340AA62E">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57" w:name="_Toc79939283"/>
      <w:bookmarkStart w:id="758" w:name="_Toc93944853"/>
      <w:bookmarkStart w:id="759" w:name="_Ref91099944"/>
      <w:bookmarkStart w:id="760" w:name="_Ref91099620"/>
      <w:bookmarkStart w:id="761" w:name="_Toc119937334"/>
      <w:r>
        <w:rPr>
          <w:rFonts w:ascii="Arial" w:hAnsi="Arial" w:cs="Arial"/>
          <w:color w:val="000000" w:themeColor="text1"/>
          <w:sz w:val="28"/>
          <w:szCs w:val="28"/>
          <w14:textFill>
            <w14:solidFill>
              <w14:schemeClr w14:val="tx1"/>
            </w14:solidFill>
          </w14:textFill>
        </w:rPr>
        <w:t>附件4：利益相关方分析</w:t>
      </w:r>
      <w:bookmarkEnd w:id="757"/>
      <w:bookmarkEnd w:id="758"/>
      <w:bookmarkEnd w:id="759"/>
      <w:bookmarkEnd w:id="760"/>
      <w:bookmarkEnd w:id="761"/>
    </w:p>
    <w:p w14:paraId="17960FD9">
      <w:pPr>
        <w:pStyle w:val="48"/>
        <w:adjustRightInd w:val="0"/>
        <w:snapToGrid w:val="0"/>
        <w:spacing w:before="120" w:after="120"/>
        <w:ind w:firstLine="550" w:firstLineChars="250"/>
        <w:rPr>
          <w:rFonts w:ascii="Arial" w:hAnsi="Arial" w:cs="Arial"/>
          <w:sz w:val="22"/>
        </w:rPr>
      </w:pPr>
      <w:r>
        <w:rPr>
          <w:rFonts w:ascii="Arial" w:hAnsi="Arial" w:cs="Arial"/>
          <w:sz w:val="22"/>
        </w:rPr>
        <w:t>PforR项目的环境社会管理系统将涉及不同的利益相关方，包括个人、政府部门和</w:t>
      </w:r>
      <w:r>
        <w:rPr>
          <w:rFonts w:hint="eastAsia" w:ascii="Arial" w:hAnsi="Arial" w:cs="Arial"/>
          <w:sz w:val="22"/>
          <w:lang w:eastAsia="zh-CN"/>
        </w:rPr>
        <w:t>其他</w:t>
      </w:r>
      <w:r>
        <w:rPr>
          <w:rFonts w:ascii="Arial" w:hAnsi="Arial" w:cs="Arial"/>
          <w:sz w:val="22"/>
        </w:rPr>
        <w:t>机构。利益相关方要么被某个项目影响，要么可能影响某个项目的建设和运行。因此，PforR项目下的每一个子项目都将建立机制，识别牵涉的利益相关方。PforR项目环境社会管理系统下每一项结果领域的利益相关方类型总体上具有一致性，包括受影响单位、感兴趣的单位和管理机构。附表4</w:t>
      </w:r>
      <w:r>
        <w:rPr>
          <w:rFonts w:hint="eastAsia" w:ascii="Arial" w:hAnsi="Arial" w:cs="Arial"/>
          <w:sz w:val="22"/>
          <w:lang w:eastAsia="zh-CN"/>
        </w:rPr>
        <w:t>—</w:t>
      </w:r>
      <w:r>
        <w:rPr>
          <w:rFonts w:ascii="Arial" w:hAnsi="Arial" w:cs="Arial"/>
          <w:sz w:val="22"/>
        </w:rPr>
        <w:t>1是结合本项目的调查进行的利益相关方识别和分析结果。</w:t>
      </w:r>
    </w:p>
    <w:p w14:paraId="72EAC934">
      <w:pPr>
        <w:pStyle w:val="60"/>
        <w:numPr>
          <w:ilvl w:val="0"/>
          <w:numId w:val="0"/>
        </w:numPr>
        <w:adjustRightInd w:val="0"/>
        <w:snapToGrid w:val="0"/>
        <w:spacing w:after="120"/>
        <w:contextualSpacing w:val="0"/>
        <w:rPr>
          <w:rFonts w:ascii="Arial" w:hAnsi="Arial" w:eastAsia="宋体" w:cs="Arial"/>
          <w:color w:val="000000" w:themeColor="text1"/>
          <w:sz w:val="22"/>
          <w:lang w:eastAsia="zh-CN"/>
          <w14:textFill>
            <w14:solidFill>
              <w14:schemeClr w14:val="tx1"/>
            </w14:solidFill>
          </w14:textFill>
        </w:rPr>
      </w:pPr>
      <w:r>
        <w:rPr>
          <w:rFonts w:ascii="Arial" w:hAnsi="Arial" w:eastAsia="宋体" w:cs="Arial"/>
          <w:color w:val="000000" w:themeColor="text1"/>
          <w:szCs w:val="28"/>
          <w:lang w:eastAsia="zh-CN"/>
          <w14:textFill>
            <w14:solidFill>
              <w14:schemeClr w14:val="tx1"/>
            </w14:solidFill>
          </w14:textFill>
        </w:rPr>
        <w:t>附表4</w:t>
      </w:r>
      <w:r>
        <w:rPr>
          <w:rFonts w:hint="eastAsia" w:ascii="Arial" w:hAnsi="Arial" w:eastAsia="宋体" w:cs="Arial"/>
          <w:color w:val="000000" w:themeColor="text1"/>
          <w:szCs w:val="28"/>
          <w:lang w:eastAsia="zh-CN"/>
          <w14:textFill>
            <w14:solidFill>
              <w14:schemeClr w14:val="tx1"/>
            </w14:solidFill>
          </w14:textFill>
        </w:rPr>
        <w:t>—</w:t>
      </w:r>
      <w:r>
        <w:rPr>
          <w:rFonts w:ascii="Arial" w:hAnsi="Arial" w:eastAsia="宋体" w:cs="Arial"/>
          <w:color w:val="000000" w:themeColor="text1"/>
          <w:szCs w:val="28"/>
          <w:lang w:eastAsia="zh-CN"/>
          <w14:textFill>
            <w14:solidFill>
              <w14:schemeClr w14:val="tx1"/>
            </w14:solidFill>
          </w14:textFill>
        </w:rPr>
        <w:t>1：利益相关方识别与分析</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23"/>
        <w:gridCol w:w="2141"/>
        <w:gridCol w:w="1571"/>
        <w:gridCol w:w="2425"/>
        <w:gridCol w:w="2135"/>
      </w:tblGrid>
      <w:tr w14:paraId="5FF4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734" w:type="pct"/>
            <w:shd w:val="clear" w:color="auto" w:fill="auto"/>
            <w:vAlign w:val="center"/>
          </w:tcPr>
          <w:p w14:paraId="3435B3C5">
            <w:pPr>
              <w:adjustRightInd w:val="0"/>
              <w:snapToGrid w:val="0"/>
              <w:jc w:val="both"/>
              <w:rPr>
                <w:rFonts w:ascii="Arial" w:hAnsi="Arial" w:cs="Arial"/>
                <w:b/>
                <w:bCs/>
                <w:color w:val="000000"/>
                <w:sz w:val="20"/>
                <w:szCs w:val="20"/>
              </w:rPr>
            </w:pPr>
            <w:r>
              <w:rPr>
                <w:rFonts w:ascii="Arial" w:hAnsi="Arial" w:cs="Arial"/>
                <w:b/>
                <w:bCs/>
                <w:color w:val="000000"/>
                <w:sz w:val="20"/>
                <w:szCs w:val="20"/>
              </w:rPr>
              <w:t>结果领域</w:t>
            </w:r>
          </w:p>
        </w:tc>
        <w:tc>
          <w:tcPr>
            <w:tcW w:w="1104" w:type="pct"/>
            <w:shd w:val="clear" w:color="auto" w:fill="auto"/>
            <w:vAlign w:val="center"/>
          </w:tcPr>
          <w:p w14:paraId="0B3E6B5B">
            <w:pPr>
              <w:adjustRightInd w:val="0"/>
              <w:snapToGrid w:val="0"/>
              <w:jc w:val="both"/>
              <w:rPr>
                <w:rFonts w:ascii="Arial" w:hAnsi="Arial" w:cs="Arial"/>
                <w:b/>
                <w:bCs/>
                <w:color w:val="000000"/>
                <w:sz w:val="20"/>
                <w:szCs w:val="20"/>
              </w:rPr>
            </w:pPr>
            <w:r>
              <w:rPr>
                <w:rFonts w:ascii="Arial" w:hAnsi="Arial" w:cs="Arial"/>
                <w:b/>
                <w:bCs/>
                <w:color w:val="000000"/>
                <w:sz w:val="20"/>
                <w:szCs w:val="20"/>
              </w:rPr>
              <w:t>活动</w:t>
            </w:r>
          </w:p>
        </w:tc>
        <w:tc>
          <w:tcPr>
            <w:tcW w:w="810" w:type="pct"/>
            <w:shd w:val="clear" w:color="auto" w:fill="auto"/>
            <w:noWrap/>
            <w:vAlign w:val="center"/>
          </w:tcPr>
          <w:p w14:paraId="74A92CEA">
            <w:pPr>
              <w:adjustRightInd w:val="0"/>
              <w:snapToGrid w:val="0"/>
              <w:jc w:val="both"/>
              <w:rPr>
                <w:rFonts w:ascii="Arial" w:hAnsi="Arial" w:cs="Arial"/>
                <w:b/>
                <w:bCs/>
                <w:color w:val="000000"/>
                <w:sz w:val="20"/>
                <w:szCs w:val="20"/>
              </w:rPr>
            </w:pPr>
            <w:r>
              <w:rPr>
                <w:rFonts w:ascii="Arial" w:hAnsi="Arial" w:cs="Arial"/>
                <w:b/>
                <w:bCs/>
                <w:color w:val="000000"/>
                <w:sz w:val="20"/>
                <w:szCs w:val="20"/>
              </w:rPr>
              <w:t>受影响单位</w:t>
            </w:r>
          </w:p>
        </w:tc>
        <w:tc>
          <w:tcPr>
            <w:tcW w:w="1251" w:type="pct"/>
            <w:shd w:val="clear" w:color="auto" w:fill="auto"/>
            <w:noWrap/>
            <w:vAlign w:val="center"/>
          </w:tcPr>
          <w:p w14:paraId="192D0951">
            <w:pPr>
              <w:adjustRightInd w:val="0"/>
              <w:snapToGrid w:val="0"/>
              <w:jc w:val="both"/>
              <w:rPr>
                <w:rFonts w:ascii="Arial" w:hAnsi="Arial" w:cs="Arial"/>
                <w:b/>
                <w:bCs/>
                <w:color w:val="000000"/>
                <w:sz w:val="20"/>
                <w:szCs w:val="20"/>
              </w:rPr>
            </w:pPr>
            <w:r>
              <w:rPr>
                <w:rFonts w:ascii="Arial" w:hAnsi="Arial" w:cs="Arial"/>
                <w:b/>
                <w:bCs/>
                <w:color w:val="000000"/>
                <w:sz w:val="20"/>
                <w:szCs w:val="20"/>
              </w:rPr>
              <w:t>感兴趣的单位</w:t>
            </w:r>
          </w:p>
        </w:tc>
        <w:tc>
          <w:tcPr>
            <w:tcW w:w="1101" w:type="pct"/>
            <w:shd w:val="clear" w:color="auto" w:fill="auto"/>
            <w:noWrap/>
            <w:vAlign w:val="center"/>
          </w:tcPr>
          <w:p w14:paraId="6FCB2916">
            <w:pPr>
              <w:adjustRightInd w:val="0"/>
              <w:snapToGrid w:val="0"/>
              <w:jc w:val="both"/>
              <w:rPr>
                <w:rFonts w:ascii="Arial" w:hAnsi="Arial" w:cs="Arial"/>
                <w:b/>
                <w:bCs/>
                <w:color w:val="000000"/>
                <w:sz w:val="20"/>
                <w:szCs w:val="20"/>
              </w:rPr>
            </w:pPr>
            <w:r>
              <w:rPr>
                <w:rFonts w:ascii="Arial" w:hAnsi="Arial" w:cs="Arial"/>
                <w:b/>
                <w:bCs/>
                <w:color w:val="000000"/>
                <w:sz w:val="20"/>
                <w:szCs w:val="20"/>
              </w:rPr>
              <w:t>管理机构</w:t>
            </w:r>
          </w:p>
        </w:tc>
      </w:tr>
      <w:tr w14:paraId="7EAB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shd w:val="clear" w:color="auto" w:fill="auto"/>
            <w:vAlign w:val="center"/>
          </w:tcPr>
          <w:p w14:paraId="34A8CD27">
            <w:pPr>
              <w:adjustRightInd w:val="0"/>
              <w:snapToGrid w:val="0"/>
              <w:rPr>
                <w:rFonts w:ascii="Arial" w:hAnsi="Arial" w:cs="Arial"/>
                <w:b/>
                <w:bCs/>
                <w:color w:val="000000"/>
                <w:sz w:val="20"/>
                <w:szCs w:val="20"/>
              </w:rPr>
            </w:pPr>
            <w:r>
              <w:rPr>
                <w:rFonts w:ascii="Arial" w:hAnsi="Arial" w:cs="Arial"/>
                <w:b/>
                <w:bCs/>
                <w:color w:val="000000" w:themeColor="text1"/>
                <w:sz w:val="20"/>
                <w:szCs w:val="20"/>
                <w14:textFill>
                  <w14:solidFill>
                    <w14:schemeClr w14:val="tx1"/>
                  </w14:solidFill>
                </w14:textFill>
              </w:rPr>
              <w:t>RA1</w:t>
            </w:r>
            <w:r>
              <w:rPr>
                <w:rFonts w:ascii="Arial" w:hAnsi="Arial" w:cs="Arial"/>
                <w:b/>
                <w:bCs/>
                <w:color w:val="000000" w:themeColor="text1"/>
                <w:sz w:val="20"/>
                <w:szCs w:val="20"/>
                <w:lang w:val="en-GB"/>
                <w14:textFill>
                  <w14:solidFill>
                    <w14:schemeClr w14:val="tx1"/>
                  </w14:solidFill>
                </w14:textFill>
              </w:rPr>
              <w:t xml:space="preserve">.1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加强机构管理能力</w:t>
            </w:r>
          </w:p>
        </w:tc>
        <w:tc>
          <w:tcPr>
            <w:tcW w:w="1104" w:type="pct"/>
            <w:shd w:val="clear" w:color="auto" w:fill="auto"/>
            <w:vAlign w:val="center"/>
          </w:tcPr>
          <w:p w14:paraId="4AD3228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开发国家信息化平台，绘制农村基础设施和公共服务地图</w:t>
            </w:r>
          </w:p>
          <w:p w14:paraId="20E0EC04">
            <w:pPr>
              <w:pStyle w:val="48"/>
              <w:numPr>
                <w:ilvl w:val="0"/>
                <w:numId w:val="40"/>
              </w:numPr>
              <w:adjustRightInd w:val="0"/>
              <w:snapToGrid w:val="0"/>
              <w:ind w:left="170" w:hanging="170" w:firstLineChars="0"/>
              <w:rPr>
                <w:rFonts w:ascii="Arial" w:hAnsi="Arial" w:cs="Arial"/>
                <w:b/>
                <w:bCs/>
                <w:color w:val="000000"/>
                <w:sz w:val="20"/>
                <w:szCs w:val="20"/>
              </w:rPr>
            </w:pPr>
            <w:r>
              <w:rPr>
                <w:rFonts w:ascii="Arial" w:hAnsi="Arial" w:cs="Arial"/>
                <w:color w:val="000000"/>
                <w:sz w:val="20"/>
                <w:szCs w:val="20"/>
              </w:rPr>
              <w:t>制定国家农业农村温室气体减排监测、报告与核验方法</w:t>
            </w:r>
          </w:p>
        </w:tc>
        <w:tc>
          <w:tcPr>
            <w:tcW w:w="810" w:type="pct"/>
            <w:shd w:val="clear" w:color="auto" w:fill="auto"/>
            <w:noWrap/>
            <w:vAlign w:val="center"/>
          </w:tcPr>
          <w:p w14:paraId="6FCB0DCC">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无</w:t>
            </w:r>
          </w:p>
        </w:tc>
        <w:tc>
          <w:tcPr>
            <w:tcW w:w="1251" w:type="pct"/>
            <w:shd w:val="clear" w:color="auto" w:fill="auto"/>
            <w:noWrap/>
            <w:vAlign w:val="center"/>
          </w:tcPr>
          <w:p w14:paraId="5BDD3BB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tc>
        <w:tc>
          <w:tcPr>
            <w:tcW w:w="1101" w:type="pct"/>
            <w:shd w:val="clear" w:color="auto" w:fill="auto"/>
            <w:noWrap/>
            <w:vAlign w:val="center"/>
          </w:tcPr>
          <w:p w14:paraId="514928B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省级政府部门，如农业农村部门、生态环境部门、自然资源</w:t>
            </w:r>
            <w:r>
              <w:rPr>
                <w:rFonts w:hint="eastAsia" w:ascii="Arial" w:hAnsi="Arial" w:cs="Arial"/>
                <w:color w:val="000000"/>
                <w:sz w:val="20"/>
                <w:szCs w:val="20"/>
                <w:lang w:eastAsia="zh-CN"/>
              </w:rPr>
              <w:t>和</w:t>
            </w:r>
            <w:r>
              <w:rPr>
                <w:rFonts w:ascii="Arial" w:hAnsi="Arial" w:cs="Arial"/>
                <w:color w:val="000000"/>
                <w:sz w:val="20"/>
                <w:szCs w:val="20"/>
              </w:rPr>
              <w:t>规划部门等</w:t>
            </w:r>
          </w:p>
        </w:tc>
      </w:tr>
      <w:tr w14:paraId="1A35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shd w:val="clear" w:color="auto" w:fill="auto"/>
            <w:vAlign w:val="center"/>
          </w:tcPr>
          <w:p w14:paraId="178B73E1">
            <w:pPr>
              <w:adjustRightInd w:val="0"/>
              <w:snapToGrid w:val="0"/>
              <w:rPr>
                <w:rFonts w:ascii="Arial" w:hAnsi="Arial" w:cs="Arial"/>
                <w:b/>
                <w:bCs/>
                <w:color w:val="000000"/>
                <w:sz w:val="20"/>
                <w:szCs w:val="20"/>
              </w:rPr>
            </w:pPr>
            <w:r>
              <w:rPr>
                <w:rFonts w:ascii="Arial" w:hAnsi="Arial" w:cs="Arial"/>
                <w:b/>
                <w:bCs/>
                <w:color w:val="000000" w:themeColor="text1"/>
                <w:sz w:val="20"/>
                <w:szCs w:val="20"/>
                <w14:textFill>
                  <w14:solidFill>
                    <w14:schemeClr w14:val="tx1"/>
                  </w14:solidFill>
                </w14:textFill>
              </w:rPr>
              <w:t>RA1</w:t>
            </w:r>
            <w:r>
              <w:rPr>
                <w:rFonts w:ascii="Arial" w:hAnsi="Arial" w:cs="Arial"/>
                <w:b/>
                <w:bCs/>
                <w:color w:val="000000" w:themeColor="text1"/>
                <w:sz w:val="20"/>
                <w:szCs w:val="20"/>
                <w:lang w:val="en-GB"/>
                <w14:textFill>
                  <w14:solidFill>
                    <w14:schemeClr w14:val="tx1"/>
                  </w14:solidFill>
                </w14:textFill>
              </w:rPr>
              <w:t>.2</w:t>
            </w:r>
            <w:r>
              <w:rPr>
                <w:rFonts w:ascii="Arial" w:hAnsi="Arial" w:cs="Arial"/>
                <w:b/>
                <w:bCs/>
                <w:color w:val="000000" w:themeColor="text1"/>
                <w:sz w:val="20"/>
                <w:szCs w:val="20"/>
                <w14:textFill>
                  <w14:solidFill>
                    <w14:schemeClr w14:val="tx1"/>
                  </w14:solidFill>
                </w14:textFill>
              </w:rPr>
              <w:t xml:space="preserve">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加强机构管理能力</w:t>
            </w:r>
          </w:p>
        </w:tc>
        <w:tc>
          <w:tcPr>
            <w:tcW w:w="1104" w:type="pct"/>
            <w:shd w:val="clear" w:color="auto" w:fill="auto"/>
            <w:vAlign w:val="center"/>
          </w:tcPr>
          <w:p w14:paraId="5BE94E8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制定或采纳绿色农业实践、农村基础设施与公共服务相关的规定、标准、指南等</w:t>
            </w:r>
          </w:p>
          <w:p w14:paraId="2076C8C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建立绿色农业规划的预算、支出和报告机制</w:t>
            </w:r>
          </w:p>
          <w:p w14:paraId="0800EFB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使用农村基础设施与公共服务制图、监测与评价平台</w:t>
            </w:r>
          </w:p>
          <w:p w14:paraId="26F99B5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制定绿色农技与人才培养框架</w:t>
            </w:r>
          </w:p>
        </w:tc>
        <w:tc>
          <w:tcPr>
            <w:tcW w:w="810" w:type="pct"/>
            <w:shd w:val="clear" w:color="auto" w:fill="auto"/>
            <w:noWrap/>
            <w:vAlign w:val="center"/>
          </w:tcPr>
          <w:p w14:paraId="50C87014">
            <w:pPr>
              <w:pStyle w:val="48"/>
              <w:numPr>
                <w:ilvl w:val="0"/>
                <w:numId w:val="40"/>
              </w:numPr>
              <w:adjustRightInd w:val="0"/>
              <w:snapToGrid w:val="0"/>
              <w:ind w:left="170" w:hanging="170" w:firstLineChars="0"/>
              <w:rPr>
                <w:rFonts w:ascii="Arial" w:hAnsi="Arial" w:cs="Arial"/>
                <w:b/>
                <w:bCs/>
                <w:color w:val="000000"/>
                <w:sz w:val="20"/>
                <w:szCs w:val="20"/>
              </w:rPr>
            </w:pPr>
            <w:r>
              <w:rPr>
                <w:rFonts w:ascii="Arial" w:hAnsi="Arial" w:cs="Arial"/>
                <w:color w:val="000000"/>
                <w:sz w:val="20"/>
                <w:szCs w:val="20"/>
              </w:rPr>
              <w:t>无</w:t>
            </w:r>
          </w:p>
        </w:tc>
        <w:tc>
          <w:tcPr>
            <w:tcW w:w="1251" w:type="pct"/>
            <w:shd w:val="clear" w:color="auto" w:fill="auto"/>
            <w:noWrap/>
            <w:vAlign w:val="center"/>
          </w:tcPr>
          <w:p w14:paraId="3480A08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tc>
        <w:tc>
          <w:tcPr>
            <w:tcW w:w="1101" w:type="pct"/>
            <w:shd w:val="clear" w:color="auto" w:fill="auto"/>
            <w:noWrap/>
            <w:vAlign w:val="center"/>
          </w:tcPr>
          <w:p w14:paraId="459C5A00">
            <w:pPr>
              <w:pStyle w:val="48"/>
              <w:numPr>
                <w:ilvl w:val="0"/>
                <w:numId w:val="40"/>
              </w:numPr>
              <w:adjustRightInd w:val="0"/>
              <w:snapToGrid w:val="0"/>
              <w:ind w:left="170" w:hanging="170" w:firstLineChars="0"/>
              <w:rPr>
                <w:rFonts w:ascii="Arial" w:hAnsi="Arial" w:cs="Arial"/>
                <w:b/>
                <w:bCs/>
                <w:color w:val="000000"/>
                <w:sz w:val="20"/>
                <w:szCs w:val="20"/>
              </w:rPr>
            </w:pPr>
            <w:r>
              <w:rPr>
                <w:rFonts w:ascii="Arial" w:hAnsi="Arial" w:cs="Arial"/>
                <w:color w:val="000000"/>
                <w:sz w:val="20"/>
                <w:szCs w:val="20"/>
              </w:rPr>
              <w:t>省级政府部门，</w:t>
            </w:r>
            <w:r>
              <w:rPr>
                <w:rFonts w:hint="eastAsia" w:ascii="Arial" w:hAnsi="Arial" w:cs="Arial"/>
                <w:color w:val="000000"/>
                <w:sz w:val="20"/>
                <w:szCs w:val="20"/>
              </w:rPr>
              <w:t>如</w:t>
            </w:r>
            <w:r>
              <w:rPr>
                <w:rFonts w:ascii="Arial" w:hAnsi="Arial" w:cs="Arial"/>
                <w:color w:val="000000"/>
                <w:sz w:val="20"/>
                <w:szCs w:val="20"/>
              </w:rPr>
              <w:t>农业农村部门、生态环境部门、自然资源</w:t>
            </w:r>
            <w:r>
              <w:rPr>
                <w:rFonts w:hint="eastAsia" w:ascii="Arial" w:hAnsi="Arial" w:cs="Arial"/>
                <w:color w:val="000000"/>
                <w:sz w:val="20"/>
                <w:szCs w:val="20"/>
                <w:lang w:eastAsia="zh-CN"/>
              </w:rPr>
              <w:t>和</w:t>
            </w:r>
            <w:r>
              <w:rPr>
                <w:rFonts w:ascii="Arial" w:hAnsi="Arial" w:cs="Arial"/>
                <w:color w:val="000000"/>
                <w:sz w:val="20"/>
                <w:szCs w:val="20"/>
              </w:rPr>
              <w:t>规划部门等</w:t>
            </w:r>
          </w:p>
        </w:tc>
      </w:tr>
      <w:tr w14:paraId="16BB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restart"/>
            <w:shd w:val="clear" w:color="auto" w:fill="auto"/>
            <w:vAlign w:val="center"/>
          </w:tcPr>
          <w:p w14:paraId="155C1099">
            <w:pPr>
              <w:adjustRightInd w:val="0"/>
              <w:snapToGrid w:val="0"/>
              <w:rPr>
                <w:rFonts w:ascii="Arial" w:hAnsi="Arial" w:cs="Arial"/>
                <w:color w:val="000000" w:themeColor="text1"/>
                <w:sz w:val="22"/>
                <w14:textFill>
                  <w14:solidFill>
                    <w14:schemeClr w14:val="tx1"/>
                  </w14:solidFill>
                </w14:textFill>
              </w:rPr>
            </w:pPr>
            <w:r>
              <w:rPr>
                <w:rFonts w:ascii="Arial" w:hAnsi="Arial" w:cs="Arial"/>
                <w:b/>
                <w:bCs/>
                <w:color w:val="000000" w:themeColor="text1"/>
                <w:sz w:val="20"/>
                <w:szCs w:val="20"/>
                <w14:textFill>
                  <w14:solidFill>
                    <w14:schemeClr w14:val="tx1"/>
                  </w14:solidFill>
                </w14:textFill>
              </w:rPr>
              <w:t xml:space="preserve">RA2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 xml:space="preserve"> 农业产业链绿色发展</w:t>
            </w:r>
          </w:p>
        </w:tc>
        <w:tc>
          <w:tcPr>
            <w:tcW w:w="1104" w:type="pct"/>
            <w:shd w:val="clear" w:color="auto" w:fill="auto"/>
            <w:vAlign w:val="center"/>
          </w:tcPr>
          <w:p w14:paraId="07F56D3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化肥减量、有毒农药减量、畜禽粪污处理与资源化利用</w:t>
            </w:r>
          </w:p>
        </w:tc>
        <w:tc>
          <w:tcPr>
            <w:tcW w:w="810" w:type="pct"/>
            <w:shd w:val="clear" w:color="auto" w:fill="auto"/>
            <w:noWrap/>
            <w:vAlign w:val="center"/>
          </w:tcPr>
          <w:p w14:paraId="6D6C84B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农业种植户、养殖户</w:t>
            </w:r>
          </w:p>
          <w:p w14:paraId="772C4C3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受征地/占地影响的农户和居民</w:t>
            </w:r>
          </w:p>
        </w:tc>
        <w:tc>
          <w:tcPr>
            <w:tcW w:w="1251" w:type="pct"/>
            <w:shd w:val="clear" w:color="auto" w:fill="auto"/>
            <w:noWrap/>
            <w:vAlign w:val="center"/>
          </w:tcPr>
          <w:p w14:paraId="79752EB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1F8D7CF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农资产品供应商</w:t>
            </w:r>
          </w:p>
          <w:p w14:paraId="11FF036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有机肥生产企业</w:t>
            </w:r>
          </w:p>
          <w:p w14:paraId="7F31E4F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关注贫困的组织</w:t>
            </w:r>
          </w:p>
        </w:tc>
        <w:tc>
          <w:tcPr>
            <w:tcW w:w="1101" w:type="pct"/>
            <w:shd w:val="clear" w:color="auto" w:fill="auto"/>
            <w:noWrap/>
            <w:vAlign w:val="center"/>
          </w:tcPr>
          <w:p w14:paraId="382B0A6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主管部门，如省级和县级农业农村部门、生态环境部门</w:t>
            </w:r>
          </w:p>
          <w:p w14:paraId="663A6CA0">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6A662F3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6D2DF27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3EE9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42882821">
            <w:pPr>
              <w:adjustRightInd w:val="0"/>
              <w:snapToGrid w:val="0"/>
              <w:rPr>
                <w:rFonts w:ascii="Arial" w:hAnsi="Arial" w:cs="Arial"/>
                <w:color w:val="000000" w:themeColor="text1"/>
                <w:sz w:val="22"/>
                <w14:textFill>
                  <w14:solidFill>
                    <w14:schemeClr w14:val="tx1"/>
                  </w14:solidFill>
                </w14:textFill>
              </w:rPr>
            </w:pPr>
          </w:p>
        </w:tc>
        <w:tc>
          <w:tcPr>
            <w:tcW w:w="1104" w:type="pct"/>
            <w:shd w:val="clear" w:color="auto" w:fill="auto"/>
            <w:vAlign w:val="center"/>
          </w:tcPr>
          <w:p w14:paraId="7C7848F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采用气候智慧型农业实践，以提高农业产量、建立适应性、减少种植业和养殖业温室气体</w:t>
            </w:r>
            <w:r>
              <w:rPr>
                <w:rFonts w:hint="eastAsia" w:ascii="Arial" w:hAnsi="Arial" w:cs="Arial"/>
                <w:color w:val="000000"/>
                <w:sz w:val="20"/>
                <w:szCs w:val="20"/>
                <w:lang w:eastAsia="zh-CN"/>
              </w:rPr>
              <w:t>（</w:t>
            </w:r>
            <w:r>
              <w:rPr>
                <w:rFonts w:ascii="Arial" w:hAnsi="Arial" w:cs="Arial"/>
                <w:color w:val="000000"/>
                <w:sz w:val="20"/>
                <w:szCs w:val="20"/>
              </w:rPr>
              <w:t>CO2</w:t>
            </w:r>
            <w:r>
              <w:rPr>
                <w:rFonts w:hint="eastAsia" w:ascii="Arial" w:hAnsi="Arial" w:cs="Arial"/>
                <w:color w:val="000000"/>
                <w:sz w:val="20"/>
                <w:szCs w:val="20"/>
                <w:lang w:eastAsia="zh-CN"/>
              </w:rPr>
              <w:t>，</w:t>
            </w:r>
            <w:r>
              <w:rPr>
                <w:rFonts w:ascii="Arial" w:hAnsi="Arial" w:cs="Arial"/>
                <w:color w:val="000000"/>
                <w:sz w:val="20"/>
                <w:szCs w:val="20"/>
              </w:rPr>
              <w:t xml:space="preserve"> CH4</w:t>
            </w:r>
            <w:r>
              <w:rPr>
                <w:rFonts w:hint="eastAsia" w:ascii="Arial" w:hAnsi="Arial" w:cs="Arial"/>
                <w:color w:val="000000"/>
                <w:sz w:val="20"/>
                <w:szCs w:val="20"/>
                <w:lang w:eastAsia="zh-CN"/>
              </w:rPr>
              <w:t>，</w:t>
            </w:r>
            <w:r>
              <w:rPr>
                <w:rFonts w:ascii="Arial" w:hAnsi="Arial" w:cs="Arial"/>
                <w:color w:val="000000"/>
                <w:sz w:val="20"/>
                <w:szCs w:val="20"/>
              </w:rPr>
              <w:t xml:space="preserve"> N2O</w:t>
            </w:r>
            <w:r>
              <w:rPr>
                <w:rFonts w:hint="eastAsia" w:ascii="Arial" w:hAnsi="Arial" w:cs="Arial"/>
                <w:color w:val="000000"/>
                <w:sz w:val="20"/>
                <w:szCs w:val="20"/>
                <w:lang w:eastAsia="zh-CN"/>
              </w:rPr>
              <w:t>）</w:t>
            </w:r>
            <w:r>
              <w:rPr>
                <w:rFonts w:ascii="Arial" w:hAnsi="Arial" w:cs="Arial"/>
                <w:color w:val="000000"/>
                <w:sz w:val="20"/>
                <w:szCs w:val="20"/>
              </w:rPr>
              <w:t>排放量</w:t>
            </w:r>
          </w:p>
        </w:tc>
        <w:tc>
          <w:tcPr>
            <w:tcW w:w="810" w:type="pct"/>
            <w:shd w:val="clear" w:color="auto" w:fill="auto"/>
            <w:noWrap/>
            <w:vAlign w:val="center"/>
          </w:tcPr>
          <w:p w14:paraId="2D93F071">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农业种植户、养殖户</w:t>
            </w:r>
          </w:p>
        </w:tc>
        <w:tc>
          <w:tcPr>
            <w:tcW w:w="1251" w:type="pct"/>
            <w:shd w:val="clear" w:color="auto" w:fill="auto"/>
            <w:noWrap/>
            <w:vAlign w:val="center"/>
          </w:tcPr>
          <w:p w14:paraId="1F7BE84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6F89F13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服务供应商</w:t>
            </w:r>
          </w:p>
        </w:tc>
        <w:tc>
          <w:tcPr>
            <w:tcW w:w="1101" w:type="pct"/>
            <w:shd w:val="clear" w:color="auto" w:fill="auto"/>
            <w:noWrap/>
            <w:vAlign w:val="center"/>
          </w:tcPr>
          <w:p w14:paraId="19F7782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主管部门，如省级和县级农业农村部门、生态环境部门</w:t>
            </w:r>
          </w:p>
          <w:p w14:paraId="45C9AB1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64B658C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427934B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3FB4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15F2D68D">
            <w:pPr>
              <w:adjustRightInd w:val="0"/>
              <w:snapToGrid w:val="0"/>
              <w:rPr>
                <w:rFonts w:ascii="Arial" w:hAnsi="Arial" w:cs="Arial"/>
                <w:color w:val="000000" w:themeColor="text1"/>
                <w:sz w:val="22"/>
                <w14:textFill>
                  <w14:solidFill>
                    <w14:schemeClr w14:val="tx1"/>
                  </w14:solidFill>
                </w14:textFill>
              </w:rPr>
            </w:pPr>
          </w:p>
        </w:tc>
        <w:tc>
          <w:tcPr>
            <w:tcW w:w="1104" w:type="pct"/>
            <w:shd w:val="clear" w:color="auto" w:fill="auto"/>
            <w:vAlign w:val="center"/>
          </w:tcPr>
          <w:p w14:paraId="201DA79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针对农民合作社、农民用水协会、农资经销商、农业职业经理人等开展培训</w:t>
            </w:r>
          </w:p>
        </w:tc>
        <w:tc>
          <w:tcPr>
            <w:tcW w:w="810" w:type="pct"/>
            <w:shd w:val="clear" w:color="auto" w:fill="auto"/>
            <w:noWrap/>
            <w:vAlign w:val="center"/>
          </w:tcPr>
          <w:p w14:paraId="2CB3AA9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农业种植户、养殖户、合作社成员、用水协会成员、农资经销商、农业职业经理人</w:t>
            </w:r>
          </w:p>
        </w:tc>
        <w:tc>
          <w:tcPr>
            <w:tcW w:w="1251" w:type="pct"/>
            <w:shd w:val="clear" w:color="auto" w:fill="auto"/>
            <w:noWrap/>
            <w:vAlign w:val="center"/>
          </w:tcPr>
          <w:p w14:paraId="03A549E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服务供应商</w:t>
            </w:r>
          </w:p>
          <w:p w14:paraId="771159A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关注贫困和妇女发展的单位</w:t>
            </w:r>
          </w:p>
          <w:p w14:paraId="6FA9CFC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tc>
        <w:tc>
          <w:tcPr>
            <w:tcW w:w="1101" w:type="pct"/>
            <w:shd w:val="clear" w:color="auto" w:fill="auto"/>
            <w:noWrap/>
            <w:vAlign w:val="center"/>
          </w:tcPr>
          <w:p w14:paraId="609523C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w:t>
            </w:r>
          </w:p>
          <w:p w14:paraId="5489F6A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4BC79C4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43C38AE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2BEC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7AAFBD26">
            <w:pPr>
              <w:adjustRightInd w:val="0"/>
              <w:snapToGrid w:val="0"/>
              <w:rPr>
                <w:rFonts w:ascii="Arial" w:hAnsi="Arial" w:cs="Arial"/>
                <w:color w:val="000000" w:themeColor="text1"/>
                <w:sz w:val="22"/>
                <w14:textFill>
                  <w14:solidFill>
                    <w14:schemeClr w14:val="tx1"/>
                  </w14:solidFill>
                </w14:textFill>
              </w:rPr>
            </w:pPr>
          </w:p>
        </w:tc>
        <w:tc>
          <w:tcPr>
            <w:tcW w:w="1104" w:type="pct"/>
            <w:shd w:val="clear" w:color="auto" w:fill="auto"/>
            <w:vAlign w:val="center"/>
          </w:tcPr>
          <w:p w14:paraId="42F842F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农业领域实施温室气体减排监测、报告和核验机制</w:t>
            </w:r>
          </w:p>
        </w:tc>
        <w:tc>
          <w:tcPr>
            <w:tcW w:w="810" w:type="pct"/>
            <w:shd w:val="clear" w:color="auto" w:fill="auto"/>
            <w:noWrap/>
            <w:vAlign w:val="center"/>
          </w:tcPr>
          <w:p w14:paraId="492D7710">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无</w:t>
            </w:r>
          </w:p>
        </w:tc>
        <w:tc>
          <w:tcPr>
            <w:tcW w:w="1251" w:type="pct"/>
            <w:shd w:val="clear" w:color="auto" w:fill="auto"/>
            <w:noWrap/>
            <w:vAlign w:val="center"/>
          </w:tcPr>
          <w:p w14:paraId="703D744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tc>
        <w:tc>
          <w:tcPr>
            <w:tcW w:w="1101" w:type="pct"/>
            <w:shd w:val="clear" w:color="auto" w:fill="auto"/>
            <w:noWrap/>
            <w:vAlign w:val="center"/>
          </w:tcPr>
          <w:p w14:paraId="00A2D55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w:t>
            </w:r>
          </w:p>
          <w:p w14:paraId="01DEFC5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6284577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0A1D9511">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505A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restart"/>
            <w:shd w:val="clear" w:color="auto" w:fill="auto"/>
            <w:vAlign w:val="center"/>
          </w:tcPr>
          <w:p w14:paraId="26C332A7">
            <w:pPr>
              <w:adjustRightInd w:val="0"/>
              <w:snapToGrid w:val="0"/>
              <w:rPr>
                <w:rFonts w:ascii="Arial" w:hAnsi="Arial" w:cs="Arial"/>
                <w:b/>
                <w:bCs/>
                <w:color w:val="000000"/>
                <w:sz w:val="20"/>
                <w:szCs w:val="20"/>
              </w:rPr>
            </w:pPr>
            <w:r>
              <w:rPr>
                <w:rFonts w:ascii="Arial" w:hAnsi="Arial" w:cs="Arial"/>
                <w:b/>
                <w:bCs/>
                <w:color w:val="000000" w:themeColor="text1"/>
                <w:sz w:val="20"/>
                <w:szCs w:val="20"/>
                <w14:textFill>
                  <w14:solidFill>
                    <w14:schemeClr w14:val="tx1"/>
                  </w14:solidFill>
                </w14:textFill>
              </w:rPr>
              <w:t xml:space="preserve">RA3 </w:t>
            </w:r>
            <w:r>
              <w:rPr>
                <w:rFonts w:hint="eastAsia" w:ascii="Arial" w:hAnsi="Arial" w:cs="Arial"/>
                <w:b/>
                <w:bCs/>
                <w:color w:val="000000" w:themeColor="text1"/>
                <w:sz w:val="20"/>
                <w:szCs w:val="20"/>
                <w:lang w:eastAsia="zh-CN"/>
                <w14:textFill>
                  <w14:solidFill>
                    <w14:schemeClr w14:val="tx1"/>
                  </w14:solidFill>
                </w14:textFill>
              </w:rPr>
              <w:t>—</w:t>
            </w:r>
            <w:r>
              <w:rPr>
                <w:rFonts w:ascii="Arial" w:hAnsi="Arial" w:cs="Arial"/>
                <w:b/>
                <w:bCs/>
                <w:color w:val="000000" w:themeColor="text1"/>
                <w:sz w:val="20"/>
                <w:szCs w:val="20"/>
                <w14:textFill>
                  <w14:solidFill>
                    <w14:schemeClr w14:val="tx1"/>
                  </w14:solidFill>
                </w14:textFill>
              </w:rPr>
              <w:t xml:space="preserve"> 改善农村生活垃圾和生活污水服务</w:t>
            </w:r>
          </w:p>
        </w:tc>
        <w:tc>
          <w:tcPr>
            <w:tcW w:w="1104" w:type="pct"/>
            <w:shd w:val="clear" w:color="auto" w:fill="auto"/>
            <w:vAlign w:val="center"/>
          </w:tcPr>
          <w:p w14:paraId="297AEE30">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制定多规合一村庄规划</w:t>
            </w:r>
          </w:p>
        </w:tc>
        <w:tc>
          <w:tcPr>
            <w:tcW w:w="810" w:type="pct"/>
            <w:shd w:val="clear" w:color="auto" w:fill="auto"/>
            <w:noWrap/>
            <w:vAlign w:val="center"/>
          </w:tcPr>
          <w:p w14:paraId="6C105FC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农业种植户、养殖户、其他农村居民</w:t>
            </w:r>
          </w:p>
        </w:tc>
        <w:tc>
          <w:tcPr>
            <w:tcW w:w="1251" w:type="pct"/>
            <w:shd w:val="clear" w:color="auto" w:fill="auto"/>
            <w:vAlign w:val="center"/>
          </w:tcPr>
          <w:p w14:paraId="4B376C4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2841939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服务供应商</w:t>
            </w:r>
          </w:p>
          <w:p w14:paraId="76C70F3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关注贫困和妇女发展的单位</w:t>
            </w:r>
          </w:p>
        </w:tc>
        <w:tc>
          <w:tcPr>
            <w:tcW w:w="1101" w:type="pct"/>
            <w:shd w:val="clear" w:color="auto" w:fill="auto"/>
            <w:vAlign w:val="center"/>
          </w:tcPr>
          <w:p w14:paraId="4D9FC69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省级政府部门，</w:t>
            </w:r>
            <w:r>
              <w:rPr>
                <w:rFonts w:hint="eastAsia" w:ascii="Arial" w:hAnsi="Arial" w:cs="Arial"/>
                <w:color w:val="000000"/>
                <w:sz w:val="20"/>
                <w:szCs w:val="20"/>
              </w:rPr>
              <w:t>如</w:t>
            </w:r>
            <w:r>
              <w:rPr>
                <w:rFonts w:ascii="Arial" w:hAnsi="Arial" w:cs="Arial"/>
                <w:color w:val="000000"/>
                <w:sz w:val="20"/>
                <w:szCs w:val="20"/>
              </w:rPr>
              <w:t>农业农村部门、生态环境部门、自然资源</w:t>
            </w:r>
            <w:r>
              <w:rPr>
                <w:rFonts w:hint="eastAsia" w:ascii="Arial" w:hAnsi="Arial" w:cs="Arial"/>
                <w:color w:val="000000"/>
                <w:sz w:val="20"/>
                <w:szCs w:val="20"/>
                <w:lang w:eastAsia="zh-CN"/>
              </w:rPr>
              <w:t>和</w:t>
            </w:r>
            <w:r>
              <w:rPr>
                <w:rFonts w:ascii="Arial" w:hAnsi="Arial" w:cs="Arial"/>
                <w:color w:val="000000"/>
                <w:sz w:val="20"/>
                <w:szCs w:val="20"/>
              </w:rPr>
              <w:t>规划部门等</w:t>
            </w:r>
          </w:p>
          <w:p w14:paraId="059344D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当地县政府</w:t>
            </w:r>
          </w:p>
          <w:p w14:paraId="7DC48A60">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乡镇政府</w:t>
            </w:r>
          </w:p>
          <w:p w14:paraId="77FD6D6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1A50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4625F813">
            <w:pPr>
              <w:adjustRightInd w:val="0"/>
              <w:snapToGrid w:val="0"/>
              <w:rPr>
                <w:rFonts w:ascii="Arial" w:hAnsi="Arial" w:cs="Arial"/>
                <w:color w:val="000000"/>
                <w:sz w:val="20"/>
                <w:szCs w:val="20"/>
              </w:rPr>
            </w:pPr>
          </w:p>
        </w:tc>
        <w:tc>
          <w:tcPr>
            <w:tcW w:w="1104" w:type="pct"/>
            <w:shd w:val="clear" w:color="auto" w:fill="auto"/>
            <w:vAlign w:val="center"/>
          </w:tcPr>
          <w:p w14:paraId="39AABEA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建设农村生活污水管理系统（包括农村分散式处理设施、乡镇污水处理系统）</w:t>
            </w:r>
          </w:p>
        </w:tc>
        <w:tc>
          <w:tcPr>
            <w:tcW w:w="810" w:type="pct"/>
            <w:shd w:val="clear" w:color="auto" w:fill="auto"/>
            <w:noWrap/>
            <w:vAlign w:val="center"/>
          </w:tcPr>
          <w:p w14:paraId="6661E184">
            <w:pPr>
              <w:pStyle w:val="48"/>
              <w:numPr>
                <w:ilvl w:val="0"/>
                <w:numId w:val="40"/>
              </w:numPr>
              <w:tabs>
                <w:tab w:val="left" w:pos="325"/>
              </w:tabs>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受征地/占地影响的农户和居民</w:t>
            </w:r>
          </w:p>
          <w:p w14:paraId="541569A8">
            <w:pPr>
              <w:pStyle w:val="48"/>
              <w:numPr>
                <w:ilvl w:val="0"/>
                <w:numId w:val="40"/>
              </w:numPr>
              <w:tabs>
                <w:tab w:val="left" w:pos="325"/>
              </w:tabs>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需为污水收集处理付费的居民</w:t>
            </w:r>
          </w:p>
        </w:tc>
        <w:tc>
          <w:tcPr>
            <w:tcW w:w="1251" w:type="pct"/>
            <w:shd w:val="clear" w:color="auto" w:fill="auto"/>
            <w:vAlign w:val="center"/>
          </w:tcPr>
          <w:p w14:paraId="548330A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污水设施运营商</w:t>
            </w:r>
          </w:p>
          <w:p w14:paraId="47EED36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服务和设备供应商</w:t>
            </w:r>
          </w:p>
          <w:p w14:paraId="30311AF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关注环境质量的人和组织</w:t>
            </w:r>
          </w:p>
          <w:p w14:paraId="66E45BE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关注贫困和妇女发展的单位</w:t>
            </w:r>
          </w:p>
        </w:tc>
        <w:tc>
          <w:tcPr>
            <w:tcW w:w="1101" w:type="pct"/>
            <w:shd w:val="clear" w:color="auto" w:fill="auto"/>
            <w:vAlign w:val="center"/>
          </w:tcPr>
          <w:p w14:paraId="61A7B05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主管部门，如省级和县级农业农村部门、生态环境部门或住建部门</w:t>
            </w:r>
          </w:p>
          <w:p w14:paraId="7926107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当地县政府</w:t>
            </w:r>
          </w:p>
          <w:p w14:paraId="44528AE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乡镇政府</w:t>
            </w:r>
          </w:p>
          <w:p w14:paraId="2DA7D2D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受征地拆迁影响的村委会</w:t>
            </w:r>
          </w:p>
        </w:tc>
      </w:tr>
      <w:tr w14:paraId="5878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2A45B0E2">
            <w:pPr>
              <w:adjustRightInd w:val="0"/>
              <w:snapToGrid w:val="0"/>
              <w:rPr>
                <w:rFonts w:ascii="Arial" w:hAnsi="Arial" w:cs="Arial"/>
                <w:b/>
                <w:bCs/>
                <w:color w:val="000000"/>
                <w:sz w:val="20"/>
                <w:szCs w:val="20"/>
              </w:rPr>
            </w:pPr>
          </w:p>
        </w:tc>
        <w:tc>
          <w:tcPr>
            <w:tcW w:w="1104" w:type="pct"/>
            <w:shd w:val="clear" w:color="auto" w:fill="auto"/>
            <w:vAlign w:val="center"/>
          </w:tcPr>
          <w:p w14:paraId="4E9F86E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建设农村生活垃圾管理系统（包括分类、收集、回收利用等）</w:t>
            </w:r>
          </w:p>
        </w:tc>
        <w:tc>
          <w:tcPr>
            <w:tcW w:w="810" w:type="pct"/>
            <w:shd w:val="clear" w:color="auto" w:fill="auto"/>
            <w:noWrap/>
            <w:vAlign w:val="center"/>
          </w:tcPr>
          <w:p w14:paraId="5906F341">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受征地/占地影响的农户和居民</w:t>
            </w:r>
          </w:p>
          <w:p w14:paraId="7AAEEC50">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需为垃圾收集处理付费的居民</w:t>
            </w:r>
          </w:p>
        </w:tc>
        <w:tc>
          <w:tcPr>
            <w:tcW w:w="1251" w:type="pct"/>
            <w:shd w:val="clear" w:color="auto" w:fill="auto"/>
            <w:vAlign w:val="center"/>
          </w:tcPr>
          <w:p w14:paraId="23ACA1E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垃圾收集转运设施运营商</w:t>
            </w:r>
          </w:p>
          <w:p w14:paraId="30CB5FC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服务和设备供应商</w:t>
            </w:r>
          </w:p>
          <w:p w14:paraId="05270941">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关注环境质量的人和组织</w:t>
            </w:r>
          </w:p>
          <w:p w14:paraId="459AA48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关注贫困和妇女发展的单位</w:t>
            </w:r>
          </w:p>
        </w:tc>
        <w:tc>
          <w:tcPr>
            <w:tcW w:w="1101" w:type="pct"/>
            <w:shd w:val="clear" w:color="auto" w:fill="auto"/>
            <w:vAlign w:val="center"/>
          </w:tcPr>
          <w:p w14:paraId="58A7C04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主管部门，如省级和县级农业农村部门或住建部门</w:t>
            </w:r>
          </w:p>
          <w:p w14:paraId="3688B585">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当地县政府</w:t>
            </w:r>
          </w:p>
          <w:p w14:paraId="35A8729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乡镇政府</w:t>
            </w:r>
          </w:p>
          <w:p w14:paraId="1A415C2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受征地拆迁/占地影响的村委会</w:t>
            </w:r>
          </w:p>
        </w:tc>
      </w:tr>
      <w:tr w14:paraId="03F6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18DCDC5A">
            <w:pPr>
              <w:adjustRightInd w:val="0"/>
              <w:snapToGrid w:val="0"/>
              <w:rPr>
                <w:rFonts w:ascii="Arial" w:hAnsi="Arial" w:cs="Arial"/>
                <w:b/>
                <w:bCs/>
                <w:color w:val="000000"/>
                <w:sz w:val="20"/>
                <w:szCs w:val="20"/>
              </w:rPr>
            </w:pPr>
          </w:p>
        </w:tc>
        <w:tc>
          <w:tcPr>
            <w:tcW w:w="1104" w:type="pct"/>
            <w:shd w:val="clear" w:color="auto" w:fill="auto"/>
            <w:vAlign w:val="center"/>
          </w:tcPr>
          <w:p w14:paraId="6BFE264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开展生活污水与生活垃圾管理系统运行维护培训</w:t>
            </w:r>
          </w:p>
        </w:tc>
        <w:tc>
          <w:tcPr>
            <w:tcW w:w="810" w:type="pct"/>
            <w:shd w:val="clear" w:color="auto" w:fill="auto"/>
            <w:noWrap/>
            <w:vAlign w:val="center"/>
          </w:tcPr>
          <w:p w14:paraId="100FA43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需为污水和生活垃圾收集处理付费的居民</w:t>
            </w:r>
          </w:p>
        </w:tc>
        <w:tc>
          <w:tcPr>
            <w:tcW w:w="1251" w:type="pct"/>
            <w:shd w:val="clear" w:color="auto" w:fill="auto"/>
            <w:vAlign w:val="center"/>
          </w:tcPr>
          <w:p w14:paraId="431AFEBC">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生活污水和生活垃圾管理系统运营维护单位</w:t>
            </w:r>
          </w:p>
          <w:p w14:paraId="7DAB53B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运维服务和设备供应商</w:t>
            </w:r>
          </w:p>
          <w:p w14:paraId="30B6FF5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关注环境质量的个人和组织</w:t>
            </w:r>
          </w:p>
        </w:tc>
        <w:tc>
          <w:tcPr>
            <w:tcW w:w="1101" w:type="pct"/>
            <w:shd w:val="clear" w:color="auto" w:fill="auto"/>
            <w:vAlign w:val="center"/>
          </w:tcPr>
          <w:p w14:paraId="776DF26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主管部门，如省级和县级农业农村部门、生态环境部门或住建部门</w:t>
            </w:r>
          </w:p>
          <w:p w14:paraId="4FF894A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当地县政府</w:t>
            </w:r>
          </w:p>
          <w:p w14:paraId="0E6AEE9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乡镇政府</w:t>
            </w:r>
          </w:p>
          <w:p w14:paraId="374F9AE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受征地拆迁影响的村委会</w:t>
            </w:r>
          </w:p>
        </w:tc>
      </w:tr>
      <w:tr w14:paraId="387C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restart"/>
            <w:shd w:val="clear" w:color="auto" w:fill="auto"/>
            <w:vAlign w:val="center"/>
          </w:tcPr>
          <w:p w14:paraId="1E2A55D3">
            <w:pPr>
              <w:adjustRightInd w:val="0"/>
              <w:snapToGrid w:val="0"/>
              <w:rPr>
                <w:rFonts w:ascii="Arial" w:hAnsi="Arial" w:cs="Arial"/>
                <w:b/>
                <w:bCs/>
                <w:color w:val="000000"/>
                <w:sz w:val="20"/>
                <w:szCs w:val="20"/>
              </w:rPr>
            </w:pPr>
            <w:r>
              <w:rPr>
                <w:rFonts w:ascii="Arial" w:hAnsi="Arial" w:cs="Arial"/>
                <w:b/>
                <w:bCs/>
                <w:color w:val="000000"/>
                <w:sz w:val="20"/>
                <w:szCs w:val="20"/>
              </w:rPr>
              <w:t>4.恢复和保护农业生态系统</w:t>
            </w:r>
          </w:p>
        </w:tc>
        <w:tc>
          <w:tcPr>
            <w:tcW w:w="1104" w:type="pct"/>
            <w:shd w:val="clear" w:color="auto" w:fill="auto"/>
            <w:vAlign w:val="center"/>
          </w:tcPr>
          <w:p w14:paraId="592B46E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编制农业生态系统可持续管理计划；</w:t>
            </w:r>
          </w:p>
        </w:tc>
        <w:tc>
          <w:tcPr>
            <w:tcW w:w="810" w:type="pct"/>
            <w:shd w:val="clear" w:color="auto" w:fill="auto"/>
            <w:noWrap/>
            <w:vAlign w:val="center"/>
          </w:tcPr>
          <w:p w14:paraId="6C4C288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农业种植户、养殖户</w:t>
            </w:r>
          </w:p>
        </w:tc>
        <w:tc>
          <w:tcPr>
            <w:tcW w:w="1251" w:type="pct"/>
            <w:shd w:val="clear" w:color="auto" w:fill="auto"/>
            <w:vAlign w:val="center"/>
          </w:tcPr>
          <w:p w14:paraId="40BB41E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6ADCB8D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服务供应商</w:t>
            </w:r>
          </w:p>
          <w:p w14:paraId="30AC4CE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关注贫困和发展的单位</w:t>
            </w:r>
          </w:p>
        </w:tc>
        <w:tc>
          <w:tcPr>
            <w:tcW w:w="1101" w:type="pct"/>
            <w:shd w:val="clear" w:color="auto" w:fill="auto"/>
            <w:vAlign w:val="center"/>
          </w:tcPr>
          <w:p w14:paraId="5D0FEFB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主管部门，如省级和县级农业农村部门、生态环境部门等</w:t>
            </w:r>
          </w:p>
          <w:p w14:paraId="476D4F7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478DB92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230601B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26B2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1B7F0CEB">
            <w:pPr>
              <w:adjustRightInd w:val="0"/>
              <w:snapToGrid w:val="0"/>
              <w:jc w:val="both"/>
              <w:rPr>
                <w:rFonts w:ascii="Arial" w:hAnsi="Arial" w:cs="Arial"/>
                <w:b/>
                <w:bCs/>
                <w:color w:val="000000"/>
                <w:sz w:val="20"/>
                <w:szCs w:val="20"/>
              </w:rPr>
            </w:pPr>
          </w:p>
        </w:tc>
        <w:tc>
          <w:tcPr>
            <w:tcW w:w="1104" w:type="pct"/>
            <w:shd w:val="clear" w:color="auto" w:fill="auto"/>
            <w:vAlign w:val="center"/>
          </w:tcPr>
          <w:p w14:paraId="741F5BA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秸秆还田以增加土壤有机质；</w:t>
            </w:r>
          </w:p>
        </w:tc>
        <w:tc>
          <w:tcPr>
            <w:tcW w:w="810" w:type="pct"/>
            <w:shd w:val="clear" w:color="auto" w:fill="auto"/>
            <w:noWrap/>
            <w:vAlign w:val="center"/>
          </w:tcPr>
          <w:p w14:paraId="720CE08C">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w:t>
            </w:r>
          </w:p>
        </w:tc>
        <w:tc>
          <w:tcPr>
            <w:tcW w:w="1251" w:type="pct"/>
            <w:shd w:val="clear" w:color="auto" w:fill="auto"/>
            <w:vAlign w:val="center"/>
          </w:tcPr>
          <w:p w14:paraId="730F5FD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秸秆回收利用/处理服务供应商</w:t>
            </w:r>
          </w:p>
          <w:p w14:paraId="2FDD3E4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55AB356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关注贫困的组织</w:t>
            </w:r>
          </w:p>
        </w:tc>
        <w:tc>
          <w:tcPr>
            <w:tcW w:w="1101" w:type="pct"/>
            <w:shd w:val="clear" w:color="auto" w:fill="auto"/>
            <w:vAlign w:val="center"/>
          </w:tcPr>
          <w:p w14:paraId="242BD9A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w:t>
            </w:r>
          </w:p>
          <w:p w14:paraId="4149A878">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41D0E46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05D710F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62A2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357669A0">
            <w:pPr>
              <w:adjustRightInd w:val="0"/>
              <w:snapToGrid w:val="0"/>
              <w:jc w:val="both"/>
              <w:rPr>
                <w:rFonts w:ascii="Arial" w:hAnsi="Arial" w:cs="Arial"/>
                <w:b/>
                <w:bCs/>
                <w:color w:val="000000"/>
                <w:sz w:val="20"/>
                <w:szCs w:val="20"/>
              </w:rPr>
            </w:pPr>
          </w:p>
        </w:tc>
        <w:tc>
          <w:tcPr>
            <w:tcW w:w="1104" w:type="pct"/>
            <w:shd w:val="clear" w:color="auto" w:fill="auto"/>
            <w:vAlign w:val="center"/>
          </w:tcPr>
          <w:p w14:paraId="1ABEFCA3">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酸化和重金属污染土地管理，提高土壤健康水平和食品安全水平；</w:t>
            </w:r>
          </w:p>
        </w:tc>
        <w:tc>
          <w:tcPr>
            <w:tcW w:w="810" w:type="pct"/>
            <w:shd w:val="clear" w:color="auto" w:fill="auto"/>
            <w:noWrap/>
            <w:vAlign w:val="center"/>
          </w:tcPr>
          <w:p w14:paraId="2BEEC711">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农业种植户</w:t>
            </w:r>
          </w:p>
        </w:tc>
        <w:tc>
          <w:tcPr>
            <w:tcW w:w="1251" w:type="pct"/>
            <w:shd w:val="clear" w:color="auto" w:fill="auto"/>
            <w:vAlign w:val="center"/>
          </w:tcPr>
          <w:p w14:paraId="0257A67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77996A5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服务供应商</w:t>
            </w:r>
          </w:p>
          <w:p w14:paraId="53922A6F">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关注贫困的组织</w:t>
            </w:r>
          </w:p>
        </w:tc>
        <w:tc>
          <w:tcPr>
            <w:tcW w:w="1101" w:type="pct"/>
            <w:shd w:val="clear" w:color="auto" w:fill="auto"/>
            <w:vAlign w:val="center"/>
          </w:tcPr>
          <w:p w14:paraId="2972BB2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w:t>
            </w:r>
          </w:p>
          <w:p w14:paraId="3183281B">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0FA6523A">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7AAD3A4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r w14:paraId="7284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4" w:type="pct"/>
            <w:vMerge w:val="continue"/>
            <w:shd w:val="clear" w:color="auto" w:fill="auto"/>
            <w:vAlign w:val="center"/>
          </w:tcPr>
          <w:p w14:paraId="1ACE65B5">
            <w:pPr>
              <w:adjustRightInd w:val="0"/>
              <w:snapToGrid w:val="0"/>
              <w:jc w:val="both"/>
              <w:rPr>
                <w:rFonts w:ascii="Arial" w:hAnsi="Arial" w:cs="Arial"/>
                <w:b/>
                <w:bCs/>
                <w:color w:val="000000"/>
                <w:sz w:val="20"/>
                <w:szCs w:val="20"/>
              </w:rPr>
            </w:pPr>
          </w:p>
        </w:tc>
        <w:tc>
          <w:tcPr>
            <w:tcW w:w="1104" w:type="pct"/>
            <w:shd w:val="clear" w:color="auto" w:fill="auto"/>
            <w:vAlign w:val="center"/>
          </w:tcPr>
          <w:p w14:paraId="7B20940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水产养殖尾水治理以减少温室气体排放量和入河污染物排放量</w:t>
            </w:r>
          </w:p>
        </w:tc>
        <w:tc>
          <w:tcPr>
            <w:tcW w:w="810" w:type="pct"/>
            <w:shd w:val="clear" w:color="auto" w:fill="auto"/>
            <w:noWrap/>
            <w:vAlign w:val="center"/>
          </w:tcPr>
          <w:p w14:paraId="2BDC21D2">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水产养殖户</w:t>
            </w:r>
          </w:p>
        </w:tc>
        <w:tc>
          <w:tcPr>
            <w:tcW w:w="1251" w:type="pct"/>
            <w:shd w:val="clear" w:color="auto" w:fill="auto"/>
            <w:vAlign w:val="center"/>
          </w:tcPr>
          <w:p w14:paraId="370A3534">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关注环境质量的个人或组织</w:t>
            </w:r>
          </w:p>
          <w:p w14:paraId="1DA7E369">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服务和设备供应商</w:t>
            </w:r>
          </w:p>
          <w:p w14:paraId="4CCBEC9D">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关注贫困的组织</w:t>
            </w:r>
          </w:p>
        </w:tc>
        <w:tc>
          <w:tcPr>
            <w:tcW w:w="1101" w:type="pct"/>
            <w:shd w:val="clear" w:color="auto" w:fill="auto"/>
            <w:vAlign w:val="center"/>
          </w:tcPr>
          <w:p w14:paraId="4641291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主管部门，如省级和县级农业农村部门</w:t>
            </w:r>
          </w:p>
          <w:p w14:paraId="4CD219F7">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县级人民政府</w:t>
            </w:r>
          </w:p>
          <w:p w14:paraId="333B04EE">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乡镇人民政府</w:t>
            </w:r>
          </w:p>
          <w:p w14:paraId="7A38DD06">
            <w:pPr>
              <w:pStyle w:val="48"/>
              <w:numPr>
                <w:ilvl w:val="0"/>
                <w:numId w:val="40"/>
              </w:numPr>
              <w:adjustRightInd w:val="0"/>
              <w:snapToGrid w:val="0"/>
              <w:ind w:left="170" w:hanging="170" w:firstLineChars="0"/>
              <w:rPr>
                <w:rFonts w:ascii="Arial" w:hAnsi="Arial" w:cs="Arial"/>
                <w:color w:val="000000"/>
                <w:sz w:val="20"/>
                <w:szCs w:val="20"/>
              </w:rPr>
            </w:pPr>
            <w:r>
              <w:rPr>
                <w:rFonts w:ascii="Arial" w:hAnsi="Arial" w:cs="Arial"/>
                <w:color w:val="000000"/>
                <w:sz w:val="20"/>
                <w:szCs w:val="20"/>
              </w:rPr>
              <w:t>村委会</w:t>
            </w:r>
          </w:p>
        </w:tc>
      </w:tr>
    </w:tbl>
    <w:p w14:paraId="5234CA47">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sectPr>
          <w:type w:val="continuous"/>
          <w:pgSz w:w="11906" w:h="16838"/>
          <w:pgMar w:top="1134" w:right="1134" w:bottom="1134" w:left="1134" w:header="851" w:footer="760" w:gutter="0"/>
          <w:cols w:space="425" w:num="1"/>
          <w:docGrid w:type="lines" w:linePitch="312" w:charSpace="0"/>
        </w:sectPr>
      </w:pPr>
    </w:p>
    <w:p w14:paraId="4E40F31D">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62" w:name="_Toc119937335"/>
      <w:r>
        <w:rPr>
          <w:rFonts w:ascii="Arial" w:hAnsi="Arial" w:cs="Arial"/>
          <w:color w:val="000000" w:themeColor="text1"/>
          <w:sz w:val="28"/>
          <w:szCs w:val="28"/>
          <w14:textFill>
            <w14:solidFill>
              <w14:schemeClr w14:val="tx1"/>
            </w14:solidFill>
          </w14:textFill>
        </w:rPr>
        <w:t>附件5：利益相关方参与情况</w:t>
      </w:r>
      <w:bookmarkEnd w:id="762"/>
    </w:p>
    <w:tbl>
      <w:tblPr>
        <w:tblStyle w:val="4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5"/>
        <w:gridCol w:w="1286"/>
        <w:gridCol w:w="1286"/>
        <w:gridCol w:w="2282"/>
        <w:gridCol w:w="4262"/>
      </w:tblGrid>
      <w:tr w14:paraId="4E19A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trPr>
        <w:tc>
          <w:tcPr>
            <w:tcW w:w="292" w:type="pct"/>
            <w:shd w:val="clear" w:color="auto" w:fill="auto"/>
            <w:vAlign w:val="center"/>
          </w:tcPr>
          <w:p w14:paraId="2CBB79E6">
            <w:pPr>
              <w:adjustRightInd w:val="0"/>
              <w:snapToGrid w:val="0"/>
              <w:rPr>
                <w:rFonts w:ascii="Arial" w:hAnsi="Arial" w:cs="Arial"/>
                <w:b/>
                <w:bCs/>
                <w:sz w:val="20"/>
                <w:szCs w:val="20"/>
              </w:rPr>
            </w:pPr>
            <w:r>
              <w:rPr>
                <w:rFonts w:ascii="Arial" w:hAnsi="Arial" w:cs="Arial"/>
                <w:b/>
                <w:bCs/>
                <w:sz w:val="20"/>
                <w:szCs w:val="20"/>
              </w:rPr>
              <w:t>序号</w:t>
            </w:r>
          </w:p>
        </w:tc>
        <w:tc>
          <w:tcPr>
            <w:tcW w:w="664" w:type="pct"/>
            <w:shd w:val="clear" w:color="auto" w:fill="auto"/>
            <w:vAlign w:val="center"/>
          </w:tcPr>
          <w:p w14:paraId="2F4048A5">
            <w:pPr>
              <w:adjustRightInd w:val="0"/>
              <w:snapToGrid w:val="0"/>
              <w:rPr>
                <w:rFonts w:ascii="Arial" w:hAnsi="Arial" w:cs="Arial"/>
                <w:b/>
                <w:bCs/>
                <w:sz w:val="20"/>
                <w:szCs w:val="20"/>
              </w:rPr>
            </w:pPr>
            <w:r>
              <w:rPr>
                <w:rFonts w:ascii="Arial" w:hAnsi="Arial" w:cs="Arial"/>
                <w:b/>
                <w:bCs/>
                <w:sz w:val="20"/>
                <w:szCs w:val="20"/>
              </w:rPr>
              <w:t>时间</w:t>
            </w:r>
          </w:p>
        </w:tc>
        <w:tc>
          <w:tcPr>
            <w:tcW w:w="664" w:type="pct"/>
            <w:shd w:val="clear" w:color="auto" w:fill="auto"/>
            <w:vAlign w:val="center"/>
          </w:tcPr>
          <w:p w14:paraId="502F9E7C">
            <w:pPr>
              <w:adjustRightInd w:val="0"/>
              <w:snapToGrid w:val="0"/>
              <w:rPr>
                <w:rFonts w:ascii="Arial" w:hAnsi="Arial" w:cs="Arial"/>
                <w:b/>
                <w:bCs/>
                <w:sz w:val="20"/>
                <w:szCs w:val="20"/>
              </w:rPr>
            </w:pPr>
            <w:r>
              <w:rPr>
                <w:rFonts w:ascii="Arial" w:hAnsi="Arial" w:cs="Arial"/>
                <w:b/>
                <w:bCs/>
                <w:sz w:val="20"/>
                <w:szCs w:val="20"/>
              </w:rPr>
              <w:t>会议地点</w:t>
            </w:r>
          </w:p>
        </w:tc>
        <w:tc>
          <w:tcPr>
            <w:tcW w:w="1179" w:type="pct"/>
            <w:shd w:val="clear" w:color="auto" w:fill="auto"/>
            <w:vAlign w:val="center"/>
          </w:tcPr>
          <w:p w14:paraId="4DDFCBE5">
            <w:pPr>
              <w:adjustRightInd w:val="0"/>
              <w:snapToGrid w:val="0"/>
              <w:rPr>
                <w:rFonts w:ascii="Arial" w:hAnsi="Arial" w:cs="Arial"/>
                <w:b/>
                <w:bCs/>
                <w:sz w:val="20"/>
                <w:szCs w:val="20"/>
              </w:rPr>
            </w:pPr>
            <w:r>
              <w:rPr>
                <w:rFonts w:ascii="Arial" w:hAnsi="Arial" w:cs="Arial"/>
                <w:b/>
                <w:bCs/>
                <w:sz w:val="20"/>
                <w:szCs w:val="20"/>
              </w:rPr>
              <w:t>参与讨论的政府部门</w:t>
            </w:r>
          </w:p>
        </w:tc>
        <w:tc>
          <w:tcPr>
            <w:tcW w:w="2201" w:type="pct"/>
            <w:shd w:val="clear" w:color="auto" w:fill="auto"/>
            <w:vAlign w:val="center"/>
          </w:tcPr>
          <w:p w14:paraId="1D9DE9A9">
            <w:pPr>
              <w:adjustRightInd w:val="0"/>
              <w:snapToGrid w:val="0"/>
              <w:rPr>
                <w:rFonts w:ascii="Arial" w:hAnsi="Arial" w:cs="Arial"/>
                <w:b/>
                <w:bCs/>
                <w:sz w:val="20"/>
                <w:szCs w:val="20"/>
              </w:rPr>
            </w:pPr>
            <w:r>
              <w:rPr>
                <w:rFonts w:ascii="Arial" w:hAnsi="Arial" w:cs="Arial"/>
                <w:b/>
                <w:bCs/>
                <w:sz w:val="20"/>
                <w:szCs w:val="20"/>
              </w:rPr>
              <w:t>讨论的环境与社会相关问题</w:t>
            </w:r>
          </w:p>
        </w:tc>
      </w:tr>
      <w:tr w14:paraId="7A0C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493123B4">
            <w:pPr>
              <w:adjustRightInd w:val="0"/>
              <w:snapToGrid w:val="0"/>
              <w:jc w:val="center"/>
              <w:rPr>
                <w:rFonts w:ascii="Arial" w:hAnsi="Arial" w:cs="Arial"/>
                <w:sz w:val="20"/>
                <w:szCs w:val="20"/>
              </w:rPr>
            </w:pPr>
            <w:r>
              <w:rPr>
                <w:rFonts w:ascii="Arial" w:hAnsi="Arial" w:cs="Arial"/>
                <w:sz w:val="20"/>
                <w:szCs w:val="20"/>
              </w:rPr>
              <w:t>1</w:t>
            </w:r>
          </w:p>
        </w:tc>
        <w:tc>
          <w:tcPr>
            <w:tcW w:w="664" w:type="pct"/>
            <w:shd w:val="clear" w:color="auto" w:fill="auto"/>
            <w:vAlign w:val="center"/>
          </w:tcPr>
          <w:p w14:paraId="7D337CBD">
            <w:pPr>
              <w:adjustRightInd w:val="0"/>
              <w:snapToGrid w:val="0"/>
              <w:rPr>
                <w:rFonts w:ascii="Arial" w:hAnsi="Arial" w:cs="Arial"/>
                <w:sz w:val="20"/>
                <w:szCs w:val="20"/>
              </w:rPr>
            </w:pPr>
            <w:r>
              <w:rPr>
                <w:rFonts w:ascii="Arial" w:hAnsi="Arial" w:cs="Arial"/>
                <w:sz w:val="20"/>
                <w:szCs w:val="20"/>
              </w:rPr>
              <w:t>2022.8.3</w:t>
            </w:r>
          </w:p>
        </w:tc>
        <w:tc>
          <w:tcPr>
            <w:tcW w:w="664" w:type="pct"/>
            <w:shd w:val="clear" w:color="auto" w:fill="auto"/>
            <w:vAlign w:val="center"/>
          </w:tcPr>
          <w:p w14:paraId="3B456262">
            <w:pPr>
              <w:adjustRightInd w:val="0"/>
              <w:snapToGrid w:val="0"/>
              <w:rPr>
                <w:rFonts w:ascii="Arial" w:hAnsi="Arial" w:cs="Arial"/>
                <w:sz w:val="20"/>
                <w:szCs w:val="20"/>
              </w:rPr>
            </w:pPr>
            <w:r>
              <w:rPr>
                <w:rFonts w:ascii="Arial" w:hAnsi="Arial" w:cs="Arial"/>
                <w:sz w:val="20"/>
                <w:szCs w:val="20"/>
              </w:rPr>
              <w:t>湖北省农业农村厅（线上）</w:t>
            </w:r>
          </w:p>
        </w:tc>
        <w:tc>
          <w:tcPr>
            <w:tcW w:w="1179" w:type="pct"/>
            <w:shd w:val="clear" w:color="auto" w:fill="auto"/>
            <w:vAlign w:val="center"/>
          </w:tcPr>
          <w:p w14:paraId="6FDC3007">
            <w:pPr>
              <w:adjustRightInd w:val="0"/>
              <w:snapToGrid w:val="0"/>
              <w:rPr>
                <w:rFonts w:ascii="Arial" w:hAnsi="Arial" w:cs="Arial"/>
                <w:sz w:val="20"/>
                <w:szCs w:val="20"/>
              </w:rPr>
            </w:pPr>
            <w:r>
              <w:rPr>
                <w:rFonts w:ascii="Arial" w:hAnsi="Arial" w:cs="Arial"/>
                <w:sz w:val="20"/>
                <w:szCs w:val="20"/>
              </w:rPr>
              <w:t>中国国际扶贫中心、湖北省项目办、湖南省项目办、乡村振兴局、农业农村厅、财政厅、各县级农业农村局、乡村振兴局等</w:t>
            </w:r>
          </w:p>
        </w:tc>
        <w:tc>
          <w:tcPr>
            <w:tcW w:w="2201" w:type="pct"/>
            <w:shd w:val="clear" w:color="auto" w:fill="auto"/>
            <w:vAlign w:val="center"/>
          </w:tcPr>
          <w:p w14:paraId="6D2B61FE">
            <w:pPr>
              <w:pStyle w:val="48"/>
              <w:adjustRightInd w:val="0"/>
              <w:snapToGrid w:val="0"/>
              <w:ind w:left="109" w:firstLine="0" w:firstLineChars="0"/>
              <w:rPr>
                <w:rFonts w:ascii="Arial" w:hAnsi="Arial" w:cs="Arial"/>
                <w:sz w:val="20"/>
                <w:szCs w:val="20"/>
              </w:rPr>
            </w:pPr>
            <w:r>
              <w:rPr>
                <w:rFonts w:ascii="Arial" w:hAnsi="Arial" w:cs="Arial"/>
                <w:sz w:val="20"/>
                <w:szCs w:val="20"/>
              </w:rPr>
              <w:t>启动会：</w:t>
            </w:r>
          </w:p>
          <w:p w14:paraId="345B4B61">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项目目标、范围、领域、支付指标等</w:t>
            </w:r>
          </w:p>
          <w:p w14:paraId="2D6796B1">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环境与社会系统评估工作安排</w:t>
            </w:r>
          </w:p>
        </w:tc>
      </w:tr>
      <w:tr w14:paraId="0C63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55F8B332">
            <w:pPr>
              <w:adjustRightInd w:val="0"/>
              <w:snapToGrid w:val="0"/>
              <w:jc w:val="center"/>
              <w:rPr>
                <w:rFonts w:ascii="Arial" w:hAnsi="Arial" w:cs="Arial"/>
                <w:sz w:val="20"/>
                <w:szCs w:val="20"/>
              </w:rPr>
            </w:pPr>
            <w:r>
              <w:rPr>
                <w:rFonts w:ascii="Arial" w:hAnsi="Arial" w:cs="Arial"/>
                <w:sz w:val="20"/>
                <w:szCs w:val="20"/>
              </w:rPr>
              <w:t>2</w:t>
            </w:r>
          </w:p>
        </w:tc>
        <w:tc>
          <w:tcPr>
            <w:tcW w:w="664" w:type="pct"/>
            <w:shd w:val="clear" w:color="auto" w:fill="auto"/>
            <w:vAlign w:val="center"/>
          </w:tcPr>
          <w:p w14:paraId="40FF673F">
            <w:pPr>
              <w:adjustRightInd w:val="0"/>
              <w:snapToGrid w:val="0"/>
              <w:rPr>
                <w:rFonts w:ascii="Arial" w:hAnsi="Arial" w:cs="Arial"/>
                <w:sz w:val="20"/>
                <w:szCs w:val="20"/>
              </w:rPr>
            </w:pPr>
            <w:r>
              <w:rPr>
                <w:rFonts w:ascii="Arial" w:hAnsi="Arial" w:cs="Arial"/>
                <w:sz w:val="20"/>
                <w:szCs w:val="20"/>
              </w:rPr>
              <w:t>2022.8.8</w:t>
            </w:r>
          </w:p>
        </w:tc>
        <w:tc>
          <w:tcPr>
            <w:tcW w:w="664" w:type="pct"/>
            <w:shd w:val="clear" w:color="auto" w:fill="auto"/>
            <w:vAlign w:val="center"/>
          </w:tcPr>
          <w:p w14:paraId="2128ACD0">
            <w:pPr>
              <w:adjustRightInd w:val="0"/>
              <w:snapToGrid w:val="0"/>
              <w:rPr>
                <w:rFonts w:ascii="Arial" w:hAnsi="Arial" w:cs="Arial"/>
                <w:sz w:val="20"/>
                <w:szCs w:val="20"/>
              </w:rPr>
            </w:pPr>
            <w:r>
              <w:rPr>
                <w:rFonts w:ascii="Arial" w:hAnsi="Arial" w:cs="Arial"/>
                <w:sz w:val="20"/>
                <w:szCs w:val="20"/>
              </w:rPr>
              <w:t>湖北省武汉市洪山礼堂</w:t>
            </w:r>
          </w:p>
        </w:tc>
        <w:tc>
          <w:tcPr>
            <w:tcW w:w="1179" w:type="pct"/>
            <w:shd w:val="clear" w:color="auto" w:fill="auto"/>
            <w:vAlign w:val="center"/>
          </w:tcPr>
          <w:p w14:paraId="307A61A2">
            <w:pPr>
              <w:adjustRightInd w:val="0"/>
              <w:snapToGrid w:val="0"/>
              <w:rPr>
                <w:rFonts w:ascii="Arial" w:hAnsi="Arial" w:cs="Arial"/>
                <w:sz w:val="20"/>
                <w:szCs w:val="20"/>
              </w:rPr>
            </w:pPr>
            <w:r>
              <w:rPr>
                <w:rFonts w:ascii="Arial" w:hAnsi="Arial" w:cs="Arial"/>
                <w:sz w:val="20"/>
                <w:szCs w:val="20"/>
              </w:rPr>
              <w:t>中国国际扶贫中心、湖北省项目办、省乡村振兴局、省发改委、省财政厅、省农业、农村厅、省生态环境厅、省住建厅、省自然资源厅、省公共资源采购中心等</w:t>
            </w:r>
          </w:p>
        </w:tc>
        <w:tc>
          <w:tcPr>
            <w:tcW w:w="2201" w:type="pct"/>
            <w:shd w:val="clear" w:color="auto" w:fill="auto"/>
            <w:vAlign w:val="center"/>
          </w:tcPr>
          <w:p w14:paraId="620054EC">
            <w:pPr>
              <w:pStyle w:val="48"/>
              <w:adjustRightInd w:val="0"/>
              <w:snapToGrid w:val="0"/>
              <w:ind w:left="109" w:firstLine="0" w:firstLineChars="0"/>
              <w:rPr>
                <w:rFonts w:ascii="Arial" w:hAnsi="Arial" w:cs="Arial"/>
                <w:sz w:val="20"/>
                <w:szCs w:val="20"/>
              </w:rPr>
            </w:pPr>
            <w:r>
              <w:rPr>
                <w:rFonts w:ascii="Arial" w:hAnsi="Arial" w:cs="Arial"/>
                <w:sz w:val="20"/>
                <w:szCs w:val="20"/>
              </w:rPr>
              <w:t>湖北省项目准备启动会：</w:t>
            </w:r>
          </w:p>
          <w:p w14:paraId="41C6D01B">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项目目标、范围、领域、支付指标等；</w:t>
            </w:r>
          </w:p>
          <w:p w14:paraId="032A64A5">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环境与社会系统评估工作安排；</w:t>
            </w:r>
          </w:p>
        </w:tc>
      </w:tr>
      <w:tr w14:paraId="7658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67709508">
            <w:pPr>
              <w:adjustRightInd w:val="0"/>
              <w:snapToGrid w:val="0"/>
              <w:jc w:val="center"/>
              <w:rPr>
                <w:rFonts w:ascii="Arial" w:hAnsi="Arial" w:cs="Arial"/>
                <w:sz w:val="20"/>
                <w:szCs w:val="20"/>
              </w:rPr>
            </w:pPr>
            <w:r>
              <w:rPr>
                <w:rFonts w:ascii="Arial" w:hAnsi="Arial" w:cs="Arial"/>
                <w:sz w:val="20"/>
                <w:szCs w:val="20"/>
              </w:rPr>
              <w:t>3</w:t>
            </w:r>
          </w:p>
        </w:tc>
        <w:tc>
          <w:tcPr>
            <w:tcW w:w="664" w:type="pct"/>
            <w:shd w:val="clear" w:color="auto" w:fill="auto"/>
            <w:vAlign w:val="center"/>
          </w:tcPr>
          <w:p w14:paraId="651230CE">
            <w:pPr>
              <w:adjustRightInd w:val="0"/>
              <w:snapToGrid w:val="0"/>
              <w:rPr>
                <w:rFonts w:ascii="Arial" w:hAnsi="Arial" w:cs="Arial"/>
                <w:sz w:val="20"/>
                <w:szCs w:val="20"/>
              </w:rPr>
            </w:pPr>
            <w:r>
              <w:rPr>
                <w:rFonts w:ascii="Arial" w:hAnsi="Arial" w:cs="Arial"/>
                <w:sz w:val="20"/>
                <w:szCs w:val="20"/>
              </w:rPr>
              <w:t>2022.8.9</w:t>
            </w:r>
          </w:p>
        </w:tc>
        <w:tc>
          <w:tcPr>
            <w:tcW w:w="664" w:type="pct"/>
            <w:shd w:val="clear" w:color="auto" w:fill="auto"/>
            <w:vAlign w:val="center"/>
          </w:tcPr>
          <w:p w14:paraId="05E748C0">
            <w:pPr>
              <w:adjustRightInd w:val="0"/>
              <w:snapToGrid w:val="0"/>
              <w:rPr>
                <w:rFonts w:ascii="Arial" w:hAnsi="Arial" w:cs="Arial"/>
                <w:sz w:val="20"/>
                <w:szCs w:val="20"/>
              </w:rPr>
            </w:pPr>
            <w:r>
              <w:rPr>
                <w:rFonts w:ascii="Arial" w:hAnsi="Arial" w:cs="Arial"/>
                <w:sz w:val="20"/>
                <w:szCs w:val="20"/>
              </w:rPr>
              <w:t>湖北省武汉市洪山礼堂</w:t>
            </w:r>
          </w:p>
        </w:tc>
        <w:tc>
          <w:tcPr>
            <w:tcW w:w="1179" w:type="pct"/>
            <w:shd w:val="clear" w:color="auto" w:fill="auto"/>
            <w:vAlign w:val="center"/>
          </w:tcPr>
          <w:p w14:paraId="14DE8F2C">
            <w:pPr>
              <w:adjustRightInd w:val="0"/>
              <w:snapToGrid w:val="0"/>
              <w:rPr>
                <w:rFonts w:ascii="Arial" w:hAnsi="Arial" w:cs="Arial"/>
                <w:sz w:val="20"/>
                <w:szCs w:val="20"/>
              </w:rPr>
            </w:pPr>
            <w:r>
              <w:rPr>
                <w:rFonts w:ascii="Arial" w:hAnsi="Arial" w:cs="Arial"/>
                <w:sz w:val="20"/>
                <w:szCs w:val="20"/>
              </w:rPr>
              <w:t>中国国际扶贫中心、湖北省项目办、省生态环境厅、省农业农村厅、省林业局、省水利厅、省住建厅、省自然资源厅、省卫健委、省人社厅、省妇联、省民政厅、省乡村振兴局、省民宗委、省文旅厅、省委政法委等</w:t>
            </w:r>
          </w:p>
        </w:tc>
        <w:tc>
          <w:tcPr>
            <w:tcW w:w="2201" w:type="pct"/>
            <w:shd w:val="clear" w:color="auto" w:fill="auto"/>
            <w:vAlign w:val="center"/>
          </w:tcPr>
          <w:p w14:paraId="39273EE9">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环境与社会省级主管部门座谈</w:t>
            </w:r>
          </w:p>
          <w:p w14:paraId="31A545C4">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化肥、农药减量</w:t>
            </w:r>
          </w:p>
          <w:p w14:paraId="2C7230DE">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养殖业粪污处理</w:t>
            </w:r>
          </w:p>
          <w:p w14:paraId="33C9851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农膜、包装废弃物污染防治</w:t>
            </w:r>
          </w:p>
          <w:p w14:paraId="5504D33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农产品加工</w:t>
            </w:r>
          </w:p>
          <w:p w14:paraId="352901B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农村垃圾管理</w:t>
            </w:r>
          </w:p>
          <w:p w14:paraId="013282B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农村污水管理</w:t>
            </w:r>
          </w:p>
          <w:p w14:paraId="09CCC4A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农村供水管理</w:t>
            </w:r>
          </w:p>
          <w:p w14:paraId="0F9FFF6D">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村庄规划环评要求</w:t>
            </w:r>
          </w:p>
          <w:p w14:paraId="0816BAA7">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农村环保</w:t>
            </w:r>
            <w:r>
              <w:rPr>
                <w:rFonts w:hint="eastAsia" w:ascii="Arial" w:hAnsi="Arial" w:cs="Arial"/>
                <w:sz w:val="20"/>
                <w:szCs w:val="20"/>
                <w:lang w:eastAsia="zh-CN"/>
              </w:rPr>
              <w:t>“十四五”</w:t>
            </w:r>
            <w:r>
              <w:rPr>
                <w:rFonts w:ascii="Arial" w:hAnsi="Arial" w:cs="Arial"/>
                <w:sz w:val="20"/>
                <w:szCs w:val="20"/>
              </w:rPr>
              <w:t>规划</w:t>
            </w:r>
          </w:p>
          <w:p w14:paraId="6B033D6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乡村振兴</w:t>
            </w:r>
            <w:r>
              <w:rPr>
                <w:rFonts w:hint="eastAsia" w:ascii="Arial" w:hAnsi="Arial" w:cs="Arial"/>
                <w:sz w:val="20"/>
                <w:szCs w:val="20"/>
                <w:lang w:eastAsia="zh-CN"/>
              </w:rPr>
              <w:t>“十四五”</w:t>
            </w:r>
            <w:r>
              <w:rPr>
                <w:rFonts w:ascii="Arial" w:hAnsi="Arial" w:cs="Arial"/>
                <w:sz w:val="20"/>
                <w:szCs w:val="20"/>
              </w:rPr>
              <w:t>规划</w:t>
            </w:r>
          </w:p>
        </w:tc>
      </w:tr>
      <w:tr w14:paraId="2DB4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2E315F73">
            <w:pPr>
              <w:adjustRightInd w:val="0"/>
              <w:snapToGrid w:val="0"/>
              <w:jc w:val="center"/>
              <w:rPr>
                <w:rFonts w:ascii="Arial" w:hAnsi="Arial" w:cs="Arial"/>
                <w:sz w:val="20"/>
                <w:szCs w:val="20"/>
              </w:rPr>
            </w:pPr>
            <w:r>
              <w:rPr>
                <w:rFonts w:ascii="Arial" w:hAnsi="Arial" w:cs="Arial"/>
                <w:sz w:val="20"/>
                <w:szCs w:val="20"/>
              </w:rPr>
              <w:t>4</w:t>
            </w:r>
          </w:p>
        </w:tc>
        <w:tc>
          <w:tcPr>
            <w:tcW w:w="664" w:type="pct"/>
            <w:shd w:val="clear" w:color="auto" w:fill="auto"/>
            <w:vAlign w:val="center"/>
          </w:tcPr>
          <w:p w14:paraId="3727807E">
            <w:pPr>
              <w:adjustRightInd w:val="0"/>
              <w:snapToGrid w:val="0"/>
              <w:rPr>
                <w:rFonts w:ascii="Arial" w:hAnsi="Arial" w:cs="Arial"/>
                <w:sz w:val="20"/>
                <w:szCs w:val="20"/>
              </w:rPr>
            </w:pPr>
            <w:r>
              <w:rPr>
                <w:rFonts w:ascii="Arial" w:hAnsi="Arial" w:cs="Arial"/>
                <w:sz w:val="20"/>
                <w:szCs w:val="20"/>
              </w:rPr>
              <w:t>2022.8.10</w:t>
            </w:r>
            <w:r>
              <w:rPr>
                <w:rFonts w:hint="eastAsia" w:ascii="Arial" w:hAnsi="Arial" w:cs="Arial"/>
                <w:sz w:val="20"/>
                <w:szCs w:val="20"/>
                <w:lang w:eastAsia="zh-CN"/>
              </w:rPr>
              <w:t>—</w:t>
            </w:r>
            <w:r>
              <w:rPr>
                <w:rFonts w:ascii="Arial" w:hAnsi="Arial" w:cs="Arial"/>
                <w:sz w:val="20"/>
                <w:szCs w:val="20"/>
              </w:rPr>
              <w:t>11</w:t>
            </w:r>
          </w:p>
        </w:tc>
        <w:tc>
          <w:tcPr>
            <w:tcW w:w="664" w:type="pct"/>
            <w:shd w:val="clear" w:color="auto" w:fill="auto"/>
            <w:vAlign w:val="center"/>
          </w:tcPr>
          <w:p w14:paraId="017920B8">
            <w:pPr>
              <w:adjustRightInd w:val="0"/>
              <w:snapToGrid w:val="0"/>
              <w:rPr>
                <w:rFonts w:ascii="Arial" w:hAnsi="Arial" w:cs="Arial"/>
                <w:sz w:val="20"/>
                <w:szCs w:val="20"/>
                <w:lang w:val="en-GB"/>
              </w:rPr>
            </w:pPr>
            <w:r>
              <w:rPr>
                <w:rFonts w:ascii="Arial" w:hAnsi="Arial" w:cs="Arial"/>
                <w:sz w:val="20"/>
                <w:szCs w:val="20"/>
              </w:rPr>
              <w:t>湖北省仙桃市</w:t>
            </w:r>
          </w:p>
        </w:tc>
        <w:tc>
          <w:tcPr>
            <w:tcW w:w="1179" w:type="pct"/>
            <w:vMerge w:val="restart"/>
            <w:shd w:val="clear" w:color="auto" w:fill="auto"/>
            <w:vAlign w:val="center"/>
          </w:tcPr>
          <w:p w14:paraId="1EE8D623">
            <w:pPr>
              <w:adjustRightInd w:val="0"/>
              <w:snapToGrid w:val="0"/>
              <w:rPr>
                <w:rFonts w:ascii="Arial" w:hAnsi="Arial" w:cs="Arial"/>
                <w:sz w:val="20"/>
                <w:szCs w:val="20"/>
              </w:rPr>
            </w:pPr>
            <w:r>
              <w:rPr>
                <w:rFonts w:ascii="Arial" w:hAnsi="Arial" w:cs="Arial"/>
                <w:sz w:val="20"/>
                <w:szCs w:val="20"/>
              </w:rPr>
              <w:t>中国国际扶贫中心、湖北省项目办、县农业农村局、县住建局、县城管局、县水利局、县自然资源局、县生态环境局、县妇联、县卫健委、县民政局、县民宗委、县文旅局、县人社局、县乡村振兴局、县信访局、</w:t>
            </w:r>
            <w:r>
              <w:rPr>
                <w:rFonts w:hint="eastAsia" w:ascii="Arial" w:hAnsi="Arial" w:cs="Arial"/>
                <w:sz w:val="20"/>
                <w:szCs w:val="20"/>
                <w:lang w:eastAsia="zh-CN"/>
              </w:rPr>
              <w:t>县委政法委</w:t>
            </w:r>
          </w:p>
        </w:tc>
        <w:tc>
          <w:tcPr>
            <w:tcW w:w="2201" w:type="pct"/>
            <w:vMerge w:val="restart"/>
            <w:shd w:val="clear" w:color="auto" w:fill="auto"/>
            <w:vAlign w:val="center"/>
          </w:tcPr>
          <w:p w14:paraId="656BC565">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环境与社会县/市级主管部门座谈及现场调研</w:t>
            </w:r>
          </w:p>
          <w:p w14:paraId="7280A05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县/市废弃农用塑料、秸秆收集与利用情况</w:t>
            </w:r>
          </w:p>
          <w:p w14:paraId="4B955B97">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县/市农药化肥减量情况</w:t>
            </w:r>
          </w:p>
          <w:p w14:paraId="3BE78C18">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县/市畜禽粪污管理</w:t>
            </w:r>
          </w:p>
          <w:p w14:paraId="3CF63F3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县/市农村生活垃圾收集与处理</w:t>
            </w:r>
          </w:p>
          <w:p w14:paraId="4DE35022">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县/市户厕改造问题</w:t>
            </w:r>
          </w:p>
          <w:p w14:paraId="2486029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县/市农村生活污水收集与处理</w:t>
            </w:r>
          </w:p>
          <w:p w14:paraId="441D42D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县/市高素质农民培育工作开展情况</w:t>
            </w:r>
          </w:p>
          <w:p w14:paraId="319983CD">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县/市征地拆迁、土地流转、设施农业用地管理及实施情况</w:t>
            </w:r>
          </w:p>
          <w:p w14:paraId="69621F92">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社会稳定风险评估及实施情况</w:t>
            </w:r>
          </w:p>
          <w:p w14:paraId="7462048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职业健康卫生监督管理情况</w:t>
            </w:r>
          </w:p>
          <w:p w14:paraId="6F5546E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申诉机制运行情况，如信访、劳动仲裁等</w:t>
            </w:r>
          </w:p>
          <w:p w14:paraId="358DCFE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少数民族发展情况</w:t>
            </w:r>
          </w:p>
          <w:p w14:paraId="1C6CBAFD">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弱势群体扶持情况、脱贫人口管理与监测情况</w:t>
            </w:r>
          </w:p>
          <w:p w14:paraId="124E43F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妇女权益保护情况</w:t>
            </w:r>
          </w:p>
          <w:p w14:paraId="5F933712">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文物保护</w:t>
            </w:r>
          </w:p>
        </w:tc>
      </w:tr>
      <w:tr w14:paraId="0B67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044CA84C">
            <w:pPr>
              <w:adjustRightInd w:val="0"/>
              <w:snapToGrid w:val="0"/>
              <w:jc w:val="center"/>
              <w:rPr>
                <w:rFonts w:ascii="Arial" w:hAnsi="Arial" w:cs="Arial"/>
                <w:sz w:val="20"/>
                <w:szCs w:val="20"/>
              </w:rPr>
            </w:pPr>
            <w:r>
              <w:rPr>
                <w:rFonts w:ascii="Arial" w:hAnsi="Arial" w:cs="Arial"/>
                <w:sz w:val="20"/>
                <w:szCs w:val="20"/>
              </w:rPr>
              <w:t>5</w:t>
            </w:r>
          </w:p>
        </w:tc>
        <w:tc>
          <w:tcPr>
            <w:tcW w:w="664" w:type="pct"/>
            <w:shd w:val="clear" w:color="auto" w:fill="auto"/>
            <w:vAlign w:val="center"/>
          </w:tcPr>
          <w:p w14:paraId="0BE12E00">
            <w:pPr>
              <w:adjustRightInd w:val="0"/>
              <w:snapToGrid w:val="0"/>
              <w:rPr>
                <w:rFonts w:ascii="Arial" w:hAnsi="Arial" w:cs="Arial"/>
                <w:sz w:val="20"/>
                <w:szCs w:val="20"/>
              </w:rPr>
            </w:pPr>
            <w:r>
              <w:rPr>
                <w:rFonts w:ascii="Arial" w:hAnsi="Arial" w:cs="Arial"/>
                <w:sz w:val="20"/>
                <w:szCs w:val="20"/>
              </w:rPr>
              <w:t>2022.8.11</w:t>
            </w:r>
            <w:r>
              <w:rPr>
                <w:rFonts w:hint="eastAsia" w:ascii="Arial" w:hAnsi="Arial" w:cs="Arial"/>
                <w:sz w:val="20"/>
                <w:szCs w:val="20"/>
                <w:lang w:eastAsia="zh-CN"/>
              </w:rPr>
              <w:t>—</w:t>
            </w:r>
            <w:r>
              <w:rPr>
                <w:rFonts w:ascii="Arial" w:hAnsi="Arial" w:cs="Arial"/>
                <w:sz w:val="20"/>
                <w:szCs w:val="20"/>
              </w:rPr>
              <w:t>12</w:t>
            </w:r>
          </w:p>
        </w:tc>
        <w:tc>
          <w:tcPr>
            <w:tcW w:w="664" w:type="pct"/>
            <w:shd w:val="clear" w:color="auto" w:fill="auto"/>
            <w:vAlign w:val="center"/>
          </w:tcPr>
          <w:p w14:paraId="58AE66ED">
            <w:pPr>
              <w:adjustRightInd w:val="0"/>
              <w:snapToGrid w:val="0"/>
              <w:rPr>
                <w:rFonts w:ascii="Arial" w:hAnsi="Arial" w:cs="Arial"/>
                <w:sz w:val="20"/>
                <w:szCs w:val="20"/>
              </w:rPr>
            </w:pPr>
            <w:r>
              <w:rPr>
                <w:rFonts w:ascii="Arial" w:hAnsi="Arial" w:cs="Arial"/>
                <w:sz w:val="20"/>
                <w:szCs w:val="20"/>
              </w:rPr>
              <w:t>湖北省随县</w:t>
            </w:r>
          </w:p>
        </w:tc>
        <w:tc>
          <w:tcPr>
            <w:tcW w:w="1179" w:type="pct"/>
            <w:vMerge w:val="continue"/>
            <w:shd w:val="clear" w:color="auto" w:fill="auto"/>
            <w:vAlign w:val="center"/>
          </w:tcPr>
          <w:p w14:paraId="35AF8364">
            <w:pPr>
              <w:adjustRightInd w:val="0"/>
              <w:snapToGrid w:val="0"/>
              <w:rPr>
                <w:rFonts w:ascii="Arial" w:hAnsi="Arial" w:cs="Arial"/>
                <w:sz w:val="20"/>
                <w:szCs w:val="20"/>
              </w:rPr>
            </w:pPr>
          </w:p>
        </w:tc>
        <w:tc>
          <w:tcPr>
            <w:tcW w:w="2201" w:type="pct"/>
            <w:vMerge w:val="continue"/>
            <w:shd w:val="clear" w:color="auto" w:fill="auto"/>
            <w:vAlign w:val="center"/>
          </w:tcPr>
          <w:p w14:paraId="29505F62">
            <w:pPr>
              <w:pStyle w:val="48"/>
              <w:widowControl w:val="0"/>
              <w:numPr>
                <w:ilvl w:val="0"/>
                <w:numId w:val="41"/>
              </w:numPr>
              <w:adjustRightInd w:val="0"/>
              <w:snapToGrid w:val="0"/>
              <w:ind w:left="109" w:hanging="109" w:firstLineChars="0"/>
              <w:jc w:val="both"/>
              <w:rPr>
                <w:rFonts w:ascii="Arial" w:hAnsi="Arial" w:cs="Arial"/>
                <w:sz w:val="20"/>
                <w:szCs w:val="20"/>
              </w:rPr>
            </w:pPr>
          </w:p>
        </w:tc>
      </w:tr>
      <w:tr w14:paraId="1475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2E0BE6C1">
            <w:pPr>
              <w:adjustRightInd w:val="0"/>
              <w:snapToGrid w:val="0"/>
              <w:jc w:val="center"/>
              <w:rPr>
                <w:rFonts w:ascii="Arial" w:hAnsi="Arial" w:cs="Arial"/>
                <w:sz w:val="20"/>
                <w:szCs w:val="20"/>
              </w:rPr>
            </w:pPr>
            <w:r>
              <w:rPr>
                <w:rFonts w:ascii="Arial" w:hAnsi="Arial" w:cs="Arial"/>
                <w:sz w:val="20"/>
                <w:szCs w:val="20"/>
              </w:rPr>
              <w:t>6</w:t>
            </w:r>
          </w:p>
        </w:tc>
        <w:tc>
          <w:tcPr>
            <w:tcW w:w="664" w:type="pct"/>
            <w:shd w:val="clear" w:color="auto" w:fill="auto"/>
            <w:vAlign w:val="center"/>
          </w:tcPr>
          <w:p w14:paraId="19A05022">
            <w:pPr>
              <w:adjustRightInd w:val="0"/>
              <w:snapToGrid w:val="0"/>
              <w:rPr>
                <w:rFonts w:ascii="Arial" w:hAnsi="Arial" w:cs="Arial"/>
                <w:sz w:val="20"/>
                <w:szCs w:val="20"/>
              </w:rPr>
            </w:pPr>
            <w:r>
              <w:rPr>
                <w:rFonts w:ascii="Arial" w:hAnsi="Arial" w:cs="Arial"/>
                <w:sz w:val="20"/>
                <w:szCs w:val="20"/>
              </w:rPr>
              <w:t>2022.8.13</w:t>
            </w:r>
            <w:r>
              <w:rPr>
                <w:rFonts w:hint="eastAsia" w:ascii="Arial" w:hAnsi="Arial" w:cs="Arial"/>
                <w:sz w:val="20"/>
                <w:szCs w:val="20"/>
                <w:lang w:eastAsia="zh-CN"/>
              </w:rPr>
              <w:t>—</w:t>
            </w:r>
            <w:r>
              <w:rPr>
                <w:rFonts w:ascii="Arial" w:hAnsi="Arial" w:cs="Arial"/>
                <w:sz w:val="20"/>
                <w:szCs w:val="20"/>
              </w:rPr>
              <w:t>14</w:t>
            </w:r>
          </w:p>
        </w:tc>
        <w:tc>
          <w:tcPr>
            <w:tcW w:w="664" w:type="pct"/>
            <w:shd w:val="clear" w:color="auto" w:fill="auto"/>
            <w:vAlign w:val="center"/>
          </w:tcPr>
          <w:p w14:paraId="362EEFE9">
            <w:pPr>
              <w:adjustRightInd w:val="0"/>
              <w:snapToGrid w:val="0"/>
              <w:rPr>
                <w:rFonts w:ascii="Arial" w:hAnsi="Arial" w:cs="Arial"/>
                <w:sz w:val="20"/>
                <w:szCs w:val="20"/>
              </w:rPr>
            </w:pPr>
            <w:r>
              <w:rPr>
                <w:rFonts w:ascii="Arial" w:hAnsi="Arial" w:cs="Arial"/>
                <w:sz w:val="20"/>
                <w:szCs w:val="20"/>
              </w:rPr>
              <w:t>湖北省洪湖市</w:t>
            </w:r>
          </w:p>
        </w:tc>
        <w:tc>
          <w:tcPr>
            <w:tcW w:w="1179" w:type="pct"/>
            <w:vMerge w:val="continue"/>
            <w:shd w:val="clear" w:color="auto" w:fill="auto"/>
            <w:vAlign w:val="center"/>
          </w:tcPr>
          <w:p w14:paraId="41B68307">
            <w:pPr>
              <w:adjustRightInd w:val="0"/>
              <w:snapToGrid w:val="0"/>
              <w:rPr>
                <w:rFonts w:ascii="Arial" w:hAnsi="Arial" w:cs="Arial"/>
                <w:sz w:val="20"/>
                <w:szCs w:val="20"/>
              </w:rPr>
            </w:pPr>
          </w:p>
        </w:tc>
        <w:tc>
          <w:tcPr>
            <w:tcW w:w="2201" w:type="pct"/>
            <w:vMerge w:val="continue"/>
            <w:shd w:val="clear" w:color="auto" w:fill="auto"/>
            <w:vAlign w:val="center"/>
          </w:tcPr>
          <w:p w14:paraId="11CD8507">
            <w:pPr>
              <w:pStyle w:val="48"/>
              <w:widowControl w:val="0"/>
              <w:numPr>
                <w:ilvl w:val="0"/>
                <w:numId w:val="41"/>
              </w:numPr>
              <w:adjustRightInd w:val="0"/>
              <w:snapToGrid w:val="0"/>
              <w:ind w:left="109" w:hanging="109" w:firstLineChars="0"/>
              <w:jc w:val="both"/>
              <w:rPr>
                <w:rFonts w:ascii="Arial" w:hAnsi="Arial" w:cs="Arial"/>
                <w:sz w:val="20"/>
                <w:szCs w:val="20"/>
              </w:rPr>
            </w:pPr>
          </w:p>
        </w:tc>
      </w:tr>
      <w:tr w14:paraId="019D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6BE989AA">
            <w:pPr>
              <w:adjustRightInd w:val="0"/>
              <w:snapToGrid w:val="0"/>
              <w:jc w:val="center"/>
              <w:rPr>
                <w:rFonts w:ascii="Arial" w:hAnsi="Arial" w:cs="Arial"/>
                <w:sz w:val="20"/>
                <w:szCs w:val="20"/>
              </w:rPr>
            </w:pPr>
            <w:r>
              <w:rPr>
                <w:rFonts w:ascii="Arial" w:hAnsi="Arial" w:cs="Arial"/>
                <w:sz w:val="20"/>
                <w:szCs w:val="20"/>
              </w:rPr>
              <w:t>7</w:t>
            </w:r>
          </w:p>
        </w:tc>
        <w:tc>
          <w:tcPr>
            <w:tcW w:w="664" w:type="pct"/>
            <w:shd w:val="clear" w:color="auto" w:fill="auto"/>
            <w:vAlign w:val="center"/>
          </w:tcPr>
          <w:p w14:paraId="79533331">
            <w:pPr>
              <w:adjustRightInd w:val="0"/>
              <w:snapToGrid w:val="0"/>
              <w:rPr>
                <w:rFonts w:ascii="Arial" w:hAnsi="Arial" w:cs="Arial"/>
                <w:sz w:val="20"/>
                <w:szCs w:val="20"/>
              </w:rPr>
            </w:pPr>
            <w:r>
              <w:rPr>
                <w:rFonts w:ascii="Arial" w:hAnsi="Arial" w:cs="Arial"/>
                <w:sz w:val="20"/>
                <w:szCs w:val="20"/>
              </w:rPr>
              <w:t>2022.8.15</w:t>
            </w:r>
          </w:p>
        </w:tc>
        <w:tc>
          <w:tcPr>
            <w:tcW w:w="664" w:type="pct"/>
            <w:shd w:val="clear" w:color="auto" w:fill="auto"/>
            <w:vAlign w:val="center"/>
          </w:tcPr>
          <w:p w14:paraId="07DFE97F">
            <w:pPr>
              <w:adjustRightInd w:val="0"/>
              <w:snapToGrid w:val="0"/>
              <w:rPr>
                <w:rFonts w:ascii="Arial" w:hAnsi="Arial" w:cs="Arial"/>
                <w:sz w:val="20"/>
                <w:szCs w:val="20"/>
              </w:rPr>
            </w:pPr>
            <w:r>
              <w:rPr>
                <w:rFonts w:ascii="Arial" w:hAnsi="Arial" w:cs="Arial"/>
                <w:sz w:val="20"/>
                <w:szCs w:val="20"/>
              </w:rPr>
              <w:t>湖北省武汉市洪山大礼堂</w:t>
            </w:r>
          </w:p>
        </w:tc>
        <w:tc>
          <w:tcPr>
            <w:tcW w:w="1179" w:type="pct"/>
            <w:shd w:val="clear" w:color="auto" w:fill="auto"/>
            <w:vAlign w:val="center"/>
          </w:tcPr>
          <w:p w14:paraId="340D6901">
            <w:pPr>
              <w:adjustRightInd w:val="0"/>
              <w:snapToGrid w:val="0"/>
              <w:rPr>
                <w:rFonts w:ascii="Arial" w:hAnsi="Arial" w:cs="Arial"/>
                <w:sz w:val="20"/>
                <w:szCs w:val="20"/>
              </w:rPr>
            </w:pPr>
            <w:r>
              <w:rPr>
                <w:rFonts w:ascii="Arial" w:hAnsi="Arial" w:cs="Arial"/>
                <w:sz w:val="20"/>
                <w:szCs w:val="20"/>
              </w:rPr>
              <w:t>中国国际扶贫中心、湖北省项目办、省乡村振兴局、省财政厅、省生态环境厅、住建厅、省应急厅、省卫健委等</w:t>
            </w:r>
          </w:p>
        </w:tc>
        <w:tc>
          <w:tcPr>
            <w:tcW w:w="2201" w:type="pct"/>
            <w:shd w:val="clear" w:color="auto" w:fill="auto"/>
            <w:vAlign w:val="center"/>
          </w:tcPr>
          <w:p w14:paraId="01822A3A">
            <w:pPr>
              <w:pStyle w:val="48"/>
              <w:adjustRightInd w:val="0"/>
              <w:snapToGrid w:val="0"/>
              <w:ind w:left="109" w:firstLine="0" w:firstLineChars="0"/>
              <w:rPr>
                <w:rFonts w:ascii="Arial" w:hAnsi="Arial" w:cs="Arial"/>
                <w:sz w:val="20"/>
                <w:szCs w:val="20"/>
              </w:rPr>
            </w:pPr>
            <w:r>
              <w:rPr>
                <w:rFonts w:ascii="Arial" w:hAnsi="Arial" w:cs="Arial"/>
                <w:sz w:val="20"/>
                <w:szCs w:val="20"/>
              </w:rPr>
              <w:t>湖北省总结会：</w:t>
            </w:r>
          </w:p>
          <w:p w14:paraId="799AA4E5">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子项目县/市现场调研环境与社会方面有关发现</w:t>
            </w:r>
          </w:p>
          <w:p w14:paraId="3CB4DD61">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环境与社会系统评估下一步工作安排</w:t>
            </w:r>
          </w:p>
        </w:tc>
      </w:tr>
      <w:tr w14:paraId="3F54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16DFA3F6">
            <w:pPr>
              <w:adjustRightInd w:val="0"/>
              <w:snapToGrid w:val="0"/>
              <w:jc w:val="center"/>
              <w:rPr>
                <w:rFonts w:ascii="Arial" w:hAnsi="Arial" w:cs="Arial"/>
                <w:sz w:val="20"/>
                <w:szCs w:val="20"/>
              </w:rPr>
            </w:pPr>
            <w:r>
              <w:rPr>
                <w:rFonts w:ascii="Arial" w:hAnsi="Arial" w:cs="Arial"/>
                <w:sz w:val="20"/>
                <w:szCs w:val="20"/>
              </w:rPr>
              <w:t>8</w:t>
            </w:r>
          </w:p>
        </w:tc>
        <w:tc>
          <w:tcPr>
            <w:tcW w:w="664" w:type="pct"/>
            <w:shd w:val="clear" w:color="auto" w:fill="auto"/>
            <w:vAlign w:val="center"/>
          </w:tcPr>
          <w:p w14:paraId="1CA1CC0B">
            <w:pPr>
              <w:adjustRightInd w:val="0"/>
              <w:snapToGrid w:val="0"/>
              <w:rPr>
                <w:rFonts w:ascii="Arial" w:hAnsi="Arial" w:cs="Arial"/>
                <w:sz w:val="20"/>
                <w:szCs w:val="20"/>
              </w:rPr>
            </w:pPr>
            <w:r>
              <w:rPr>
                <w:rFonts w:ascii="Arial" w:hAnsi="Arial" w:cs="Arial"/>
                <w:sz w:val="20"/>
                <w:szCs w:val="20"/>
              </w:rPr>
              <w:t>2022.8.16</w:t>
            </w:r>
          </w:p>
        </w:tc>
        <w:tc>
          <w:tcPr>
            <w:tcW w:w="664" w:type="pct"/>
            <w:shd w:val="clear" w:color="auto" w:fill="auto"/>
            <w:vAlign w:val="center"/>
          </w:tcPr>
          <w:p w14:paraId="061D7F67">
            <w:pPr>
              <w:adjustRightInd w:val="0"/>
              <w:snapToGrid w:val="0"/>
              <w:rPr>
                <w:rFonts w:ascii="Arial" w:hAnsi="Arial" w:cs="Arial"/>
                <w:sz w:val="20"/>
                <w:szCs w:val="20"/>
              </w:rPr>
            </w:pPr>
            <w:r>
              <w:rPr>
                <w:rFonts w:ascii="Arial" w:hAnsi="Arial" w:cs="Arial"/>
                <w:sz w:val="20"/>
                <w:szCs w:val="20"/>
              </w:rPr>
              <w:t>湖南省农业农村厅</w:t>
            </w:r>
          </w:p>
        </w:tc>
        <w:tc>
          <w:tcPr>
            <w:tcW w:w="1179" w:type="pct"/>
            <w:shd w:val="clear" w:color="auto" w:fill="auto"/>
            <w:vAlign w:val="center"/>
          </w:tcPr>
          <w:p w14:paraId="34AD537F">
            <w:pPr>
              <w:adjustRightInd w:val="0"/>
              <w:snapToGrid w:val="0"/>
              <w:rPr>
                <w:rFonts w:ascii="Arial" w:hAnsi="Arial" w:cs="Arial"/>
                <w:sz w:val="20"/>
                <w:szCs w:val="20"/>
              </w:rPr>
            </w:pPr>
            <w:r>
              <w:rPr>
                <w:rFonts w:ascii="Arial" w:hAnsi="Arial" w:cs="Arial"/>
                <w:sz w:val="20"/>
                <w:szCs w:val="20"/>
              </w:rPr>
              <w:t>中国国际扶贫中心、湖南省项目办、省农业农村厅、省乡村振兴局、省财政厅、省自然资源厅、省住建厅、省卫健委等</w:t>
            </w:r>
          </w:p>
        </w:tc>
        <w:tc>
          <w:tcPr>
            <w:tcW w:w="2201" w:type="pct"/>
            <w:shd w:val="clear" w:color="auto" w:fill="auto"/>
            <w:vAlign w:val="center"/>
          </w:tcPr>
          <w:p w14:paraId="7868EC63">
            <w:pPr>
              <w:pStyle w:val="48"/>
              <w:adjustRightInd w:val="0"/>
              <w:snapToGrid w:val="0"/>
              <w:ind w:left="109" w:firstLine="0" w:firstLineChars="0"/>
              <w:rPr>
                <w:rFonts w:ascii="Arial" w:hAnsi="Arial" w:cs="Arial"/>
                <w:sz w:val="20"/>
                <w:szCs w:val="20"/>
              </w:rPr>
            </w:pPr>
            <w:r>
              <w:rPr>
                <w:rFonts w:ascii="Arial" w:hAnsi="Arial" w:cs="Arial"/>
                <w:sz w:val="20"/>
                <w:szCs w:val="20"/>
              </w:rPr>
              <w:t>湖南省项目准备启动会：</w:t>
            </w:r>
          </w:p>
          <w:p w14:paraId="6C4191D4">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项目目标、范围、领域、支付指标等；</w:t>
            </w:r>
          </w:p>
          <w:p w14:paraId="2A845DFD">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环境与社会系统评估工作安排；</w:t>
            </w:r>
          </w:p>
          <w:p w14:paraId="33168302">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环境与社会省级主管部门座谈</w:t>
            </w:r>
          </w:p>
          <w:p w14:paraId="01ACC43D">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化肥、农药减量</w:t>
            </w:r>
          </w:p>
          <w:p w14:paraId="5BF109D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养殖业粪污处理</w:t>
            </w:r>
          </w:p>
          <w:p w14:paraId="491340FE">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农膜、包装废弃物污染防治</w:t>
            </w:r>
          </w:p>
          <w:p w14:paraId="02B1307C">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农产品加工</w:t>
            </w:r>
          </w:p>
          <w:p w14:paraId="629DC13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农村垃圾管理</w:t>
            </w:r>
          </w:p>
          <w:p w14:paraId="590A2F5A">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农村污水管理</w:t>
            </w:r>
          </w:p>
          <w:p w14:paraId="76C76E67">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农村供水管理</w:t>
            </w:r>
          </w:p>
          <w:p w14:paraId="5BE35609">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村庄规划环评要求</w:t>
            </w:r>
          </w:p>
          <w:p w14:paraId="3B687169">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农村环保</w:t>
            </w:r>
            <w:r>
              <w:rPr>
                <w:rFonts w:hint="eastAsia" w:ascii="Arial" w:hAnsi="Arial" w:cs="Arial"/>
                <w:sz w:val="20"/>
                <w:szCs w:val="20"/>
                <w:lang w:eastAsia="zh-CN"/>
              </w:rPr>
              <w:t>“十四五”</w:t>
            </w:r>
            <w:r>
              <w:rPr>
                <w:rFonts w:ascii="Arial" w:hAnsi="Arial" w:cs="Arial"/>
                <w:sz w:val="20"/>
                <w:szCs w:val="20"/>
              </w:rPr>
              <w:t>规划</w:t>
            </w:r>
          </w:p>
          <w:p w14:paraId="30D39054">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乡村振兴</w:t>
            </w:r>
            <w:r>
              <w:rPr>
                <w:rFonts w:hint="eastAsia" w:ascii="Arial" w:hAnsi="Arial" w:cs="Arial"/>
                <w:sz w:val="20"/>
                <w:szCs w:val="20"/>
                <w:lang w:eastAsia="zh-CN"/>
              </w:rPr>
              <w:t>“十四五”</w:t>
            </w:r>
            <w:r>
              <w:rPr>
                <w:rFonts w:ascii="Arial" w:hAnsi="Arial" w:cs="Arial"/>
                <w:sz w:val="20"/>
                <w:szCs w:val="20"/>
              </w:rPr>
              <w:t>规划</w:t>
            </w:r>
          </w:p>
        </w:tc>
      </w:tr>
      <w:tr w14:paraId="3AA2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2EDA91F6">
            <w:pPr>
              <w:adjustRightInd w:val="0"/>
              <w:snapToGrid w:val="0"/>
              <w:jc w:val="center"/>
              <w:rPr>
                <w:rFonts w:ascii="Arial" w:hAnsi="Arial" w:cs="Arial"/>
                <w:sz w:val="20"/>
                <w:szCs w:val="20"/>
              </w:rPr>
            </w:pPr>
            <w:r>
              <w:rPr>
                <w:rFonts w:ascii="Arial" w:hAnsi="Arial" w:cs="Arial"/>
                <w:sz w:val="20"/>
                <w:szCs w:val="20"/>
              </w:rPr>
              <w:t>9</w:t>
            </w:r>
          </w:p>
        </w:tc>
        <w:tc>
          <w:tcPr>
            <w:tcW w:w="664" w:type="pct"/>
            <w:shd w:val="clear" w:color="auto" w:fill="auto"/>
            <w:vAlign w:val="center"/>
          </w:tcPr>
          <w:p w14:paraId="121E4809">
            <w:pPr>
              <w:adjustRightInd w:val="0"/>
              <w:snapToGrid w:val="0"/>
              <w:rPr>
                <w:rFonts w:ascii="Arial" w:hAnsi="Arial" w:cs="Arial"/>
                <w:sz w:val="20"/>
                <w:szCs w:val="20"/>
              </w:rPr>
            </w:pPr>
            <w:r>
              <w:rPr>
                <w:rFonts w:ascii="Arial" w:hAnsi="Arial" w:cs="Arial"/>
                <w:sz w:val="20"/>
                <w:szCs w:val="20"/>
              </w:rPr>
              <w:t>2022.8.17</w:t>
            </w:r>
            <w:r>
              <w:rPr>
                <w:rFonts w:hint="eastAsia" w:ascii="Arial" w:hAnsi="Arial" w:cs="Arial"/>
                <w:sz w:val="20"/>
                <w:szCs w:val="20"/>
                <w:lang w:eastAsia="zh-CN"/>
              </w:rPr>
              <w:t>—</w:t>
            </w:r>
            <w:r>
              <w:rPr>
                <w:rFonts w:ascii="Arial" w:hAnsi="Arial" w:cs="Arial"/>
                <w:sz w:val="20"/>
                <w:szCs w:val="20"/>
              </w:rPr>
              <w:t>18</w:t>
            </w:r>
          </w:p>
        </w:tc>
        <w:tc>
          <w:tcPr>
            <w:tcW w:w="664" w:type="pct"/>
            <w:shd w:val="clear" w:color="auto" w:fill="auto"/>
            <w:vAlign w:val="center"/>
          </w:tcPr>
          <w:p w14:paraId="2EBE478E">
            <w:pPr>
              <w:adjustRightInd w:val="0"/>
              <w:snapToGrid w:val="0"/>
              <w:rPr>
                <w:rFonts w:ascii="Arial" w:hAnsi="Arial" w:cs="Arial"/>
                <w:sz w:val="20"/>
                <w:szCs w:val="20"/>
              </w:rPr>
            </w:pPr>
            <w:r>
              <w:rPr>
                <w:rFonts w:ascii="Arial" w:hAnsi="Arial" w:cs="Arial"/>
                <w:sz w:val="20"/>
                <w:szCs w:val="20"/>
              </w:rPr>
              <w:t>湖南省衡南县</w:t>
            </w:r>
          </w:p>
        </w:tc>
        <w:tc>
          <w:tcPr>
            <w:tcW w:w="1179" w:type="pct"/>
            <w:vMerge w:val="restart"/>
            <w:shd w:val="clear" w:color="auto" w:fill="auto"/>
            <w:vAlign w:val="center"/>
          </w:tcPr>
          <w:p w14:paraId="54CBD499">
            <w:pPr>
              <w:adjustRightInd w:val="0"/>
              <w:snapToGrid w:val="0"/>
              <w:rPr>
                <w:rFonts w:ascii="Arial" w:hAnsi="Arial" w:cs="Arial"/>
                <w:sz w:val="20"/>
                <w:szCs w:val="20"/>
              </w:rPr>
            </w:pPr>
            <w:r>
              <w:rPr>
                <w:rFonts w:ascii="Arial" w:hAnsi="Arial" w:cs="Arial"/>
                <w:sz w:val="20"/>
                <w:szCs w:val="20"/>
              </w:rPr>
              <w:t>中国国际扶贫中心、湖南省项目办、县农业农村局、县住建局、县水务局、县自然资源局、县生态环境局、县规委办、县妇联、县卫健委、县民政局、县民宗委、县文旅局、县人社局、县乡村振兴局、县信访局、</w:t>
            </w:r>
            <w:r>
              <w:rPr>
                <w:rFonts w:hint="eastAsia" w:ascii="Arial" w:hAnsi="Arial" w:cs="Arial"/>
                <w:sz w:val="20"/>
                <w:szCs w:val="20"/>
                <w:lang w:eastAsia="zh-CN"/>
              </w:rPr>
              <w:t>县委政法委</w:t>
            </w:r>
          </w:p>
        </w:tc>
        <w:tc>
          <w:tcPr>
            <w:tcW w:w="2201" w:type="pct"/>
            <w:vMerge w:val="restart"/>
            <w:shd w:val="clear" w:color="auto" w:fill="auto"/>
            <w:vAlign w:val="center"/>
          </w:tcPr>
          <w:p w14:paraId="2AA7CC66">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环境与社会县/市级主管部门座谈及现场调研</w:t>
            </w:r>
          </w:p>
          <w:p w14:paraId="02591E3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县/市废弃农用塑料、秸秆收集与利用情况</w:t>
            </w:r>
          </w:p>
          <w:p w14:paraId="2FE9614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县/市农药化肥减量情况</w:t>
            </w:r>
          </w:p>
          <w:p w14:paraId="2744A75A">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县/市畜禽粪污管理</w:t>
            </w:r>
          </w:p>
          <w:p w14:paraId="0FD4DCAC">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县/市农村生活垃圾收集与处理</w:t>
            </w:r>
          </w:p>
          <w:p w14:paraId="7422761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县/市户厕改造问题</w:t>
            </w:r>
          </w:p>
          <w:p w14:paraId="6918643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县/市农村生活污水收集与处理</w:t>
            </w:r>
          </w:p>
          <w:p w14:paraId="67CA279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县/市高素质农民培育工作开展情况</w:t>
            </w:r>
          </w:p>
          <w:p w14:paraId="515DA4D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县/市征地拆迁、土地流转、设施农业用地管理及实施情况</w:t>
            </w:r>
          </w:p>
          <w:p w14:paraId="108AD0C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社会稳定风险评估及实施情况</w:t>
            </w:r>
          </w:p>
          <w:p w14:paraId="387782D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职业健康卫生监督管理情况</w:t>
            </w:r>
          </w:p>
          <w:p w14:paraId="5BE315D8">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申诉机制运行情况，如信访、劳动仲裁</w:t>
            </w:r>
          </w:p>
          <w:p w14:paraId="31C9F1F6">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少数民族发展情况</w:t>
            </w:r>
          </w:p>
          <w:p w14:paraId="2B5432D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弱势群体扶持情况、脱贫人口管理与监测情况</w:t>
            </w:r>
          </w:p>
          <w:p w14:paraId="582E94EE">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妇女权益保护情况</w:t>
            </w:r>
          </w:p>
          <w:p w14:paraId="0E1444D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文物保护</w:t>
            </w:r>
          </w:p>
        </w:tc>
      </w:tr>
      <w:tr w14:paraId="4937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7EEE235B">
            <w:pPr>
              <w:adjustRightInd w:val="0"/>
              <w:snapToGrid w:val="0"/>
              <w:jc w:val="center"/>
              <w:rPr>
                <w:rFonts w:ascii="Arial" w:hAnsi="Arial" w:cs="Arial"/>
                <w:sz w:val="20"/>
                <w:szCs w:val="20"/>
              </w:rPr>
            </w:pPr>
            <w:r>
              <w:rPr>
                <w:rFonts w:ascii="Arial" w:hAnsi="Arial" w:cs="Arial"/>
                <w:sz w:val="20"/>
                <w:szCs w:val="20"/>
              </w:rPr>
              <w:t>10</w:t>
            </w:r>
          </w:p>
        </w:tc>
        <w:tc>
          <w:tcPr>
            <w:tcW w:w="664" w:type="pct"/>
            <w:shd w:val="clear" w:color="auto" w:fill="auto"/>
            <w:vAlign w:val="center"/>
          </w:tcPr>
          <w:p w14:paraId="10CF63C8">
            <w:pPr>
              <w:adjustRightInd w:val="0"/>
              <w:snapToGrid w:val="0"/>
              <w:rPr>
                <w:rFonts w:ascii="Arial" w:hAnsi="Arial" w:cs="Arial"/>
                <w:sz w:val="20"/>
                <w:szCs w:val="20"/>
              </w:rPr>
            </w:pPr>
            <w:r>
              <w:rPr>
                <w:rFonts w:ascii="Arial" w:hAnsi="Arial" w:cs="Arial"/>
                <w:sz w:val="20"/>
                <w:szCs w:val="20"/>
              </w:rPr>
              <w:t>2022.8.19</w:t>
            </w:r>
            <w:r>
              <w:rPr>
                <w:rFonts w:hint="eastAsia" w:ascii="Arial" w:hAnsi="Arial" w:cs="Arial"/>
                <w:sz w:val="20"/>
                <w:szCs w:val="20"/>
                <w:lang w:eastAsia="zh-CN"/>
              </w:rPr>
              <w:t>—</w:t>
            </w:r>
            <w:r>
              <w:rPr>
                <w:rFonts w:ascii="Arial" w:hAnsi="Arial" w:cs="Arial"/>
                <w:sz w:val="20"/>
                <w:szCs w:val="20"/>
              </w:rPr>
              <w:t>20</w:t>
            </w:r>
          </w:p>
        </w:tc>
        <w:tc>
          <w:tcPr>
            <w:tcW w:w="664" w:type="pct"/>
            <w:shd w:val="clear" w:color="auto" w:fill="auto"/>
            <w:vAlign w:val="center"/>
          </w:tcPr>
          <w:p w14:paraId="7F339DBC">
            <w:pPr>
              <w:adjustRightInd w:val="0"/>
              <w:snapToGrid w:val="0"/>
              <w:rPr>
                <w:rFonts w:ascii="Arial" w:hAnsi="Arial" w:cs="Arial"/>
                <w:sz w:val="20"/>
                <w:szCs w:val="20"/>
              </w:rPr>
            </w:pPr>
            <w:r>
              <w:rPr>
                <w:rFonts w:ascii="Arial" w:hAnsi="Arial" w:cs="Arial"/>
                <w:sz w:val="20"/>
                <w:szCs w:val="20"/>
              </w:rPr>
              <w:t>湖南省慈利县</w:t>
            </w:r>
          </w:p>
        </w:tc>
        <w:tc>
          <w:tcPr>
            <w:tcW w:w="1179" w:type="pct"/>
            <w:vMerge w:val="continue"/>
            <w:shd w:val="clear" w:color="auto" w:fill="auto"/>
            <w:vAlign w:val="center"/>
          </w:tcPr>
          <w:p w14:paraId="7A372A55">
            <w:pPr>
              <w:adjustRightInd w:val="0"/>
              <w:snapToGrid w:val="0"/>
              <w:rPr>
                <w:rFonts w:ascii="Arial" w:hAnsi="Arial" w:cs="Arial"/>
                <w:sz w:val="20"/>
                <w:szCs w:val="20"/>
              </w:rPr>
            </w:pPr>
          </w:p>
        </w:tc>
        <w:tc>
          <w:tcPr>
            <w:tcW w:w="2201" w:type="pct"/>
            <w:vMerge w:val="continue"/>
            <w:shd w:val="clear" w:color="auto" w:fill="auto"/>
            <w:vAlign w:val="center"/>
          </w:tcPr>
          <w:p w14:paraId="315FF498">
            <w:pPr>
              <w:pStyle w:val="48"/>
              <w:widowControl w:val="0"/>
              <w:numPr>
                <w:ilvl w:val="0"/>
                <w:numId w:val="41"/>
              </w:numPr>
              <w:adjustRightInd w:val="0"/>
              <w:snapToGrid w:val="0"/>
              <w:ind w:left="109" w:hanging="109" w:firstLineChars="0"/>
              <w:jc w:val="both"/>
              <w:rPr>
                <w:rFonts w:ascii="Arial" w:hAnsi="Arial" w:cs="Arial"/>
                <w:sz w:val="20"/>
                <w:szCs w:val="20"/>
              </w:rPr>
            </w:pPr>
          </w:p>
        </w:tc>
      </w:tr>
      <w:tr w14:paraId="5C89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64B24C8A">
            <w:pPr>
              <w:adjustRightInd w:val="0"/>
              <w:snapToGrid w:val="0"/>
              <w:jc w:val="center"/>
              <w:rPr>
                <w:rFonts w:ascii="Arial" w:hAnsi="Arial" w:cs="Arial"/>
                <w:sz w:val="20"/>
                <w:szCs w:val="20"/>
              </w:rPr>
            </w:pPr>
            <w:r>
              <w:rPr>
                <w:rFonts w:ascii="Arial" w:hAnsi="Arial" w:cs="Arial"/>
                <w:sz w:val="20"/>
                <w:szCs w:val="20"/>
              </w:rPr>
              <w:t>11</w:t>
            </w:r>
          </w:p>
        </w:tc>
        <w:tc>
          <w:tcPr>
            <w:tcW w:w="664" w:type="pct"/>
            <w:shd w:val="clear" w:color="auto" w:fill="auto"/>
            <w:vAlign w:val="center"/>
          </w:tcPr>
          <w:p w14:paraId="272F2C84">
            <w:pPr>
              <w:adjustRightInd w:val="0"/>
              <w:snapToGrid w:val="0"/>
              <w:rPr>
                <w:rFonts w:ascii="Arial" w:hAnsi="Arial" w:cs="Arial"/>
                <w:sz w:val="20"/>
                <w:szCs w:val="20"/>
              </w:rPr>
            </w:pPr>
            <w:r>
              <w:rPr>
                <w:rFonts w:ascii="Arial" w:hAnsi="Arial" w:cs="Arial"/>
                <w:sz w:val="20"/>
                <w:szCs w:val="20"/>
              </w:rPr>
              <w:t>2022.8.21</w:t>
            </w:r>
            <w:r>
              <w:rPr>
                <w:rFonts w:hint="eastAsia" w:ascii="Arial" w:hAnsi="Arial" w:cs="Arial"/>
                <w:sz w:val="20"/>
                <w:szCs w:val="20"/>
                <w:lang w:eastAsia="zh-CN"/>
              </w:rPr>
              <w:t>—</w:t>
            </w:r>
            <w:r>
              <w:rPr>
                <w:rFonts w:ascii="Arial" w:hAnsi="Arial" w:cs="Arial"/>
                <w:sz w:val="20"/>
                <w:szCs w:val="20"/>
              </w:rPr>
              <w:t>22</w:t>
            </w:r>
          </w:p>
        </w:tc>
        <w:tc>
          <w:tcPr>
            <w:tcW w:w="664" w:type="pct"/>
            <w:shd w:val="clear" w:color="auto" w:fill="auto"/>
            <w:vAlign w:val="center"/>
          </w:tcPr>
          <w:p w14:paraId="57CB8A62">
            <w:pPr>
              <w:adjustRightInd w:val="0"/>
              <w:snapToGrid w:val="0"/>
              <w:rPr>
                <w:rFonts w:ascii="Arial" w:hAnsi="Arial" w:cs="Arial"/>
                <w:sz w:val="20"/>
                <w:szCs w:val="20"/>
              </w:rPr>
            </w:pPr>
            <w:r>
              <w:rPr>
                <w:rFonts w:ascii="Arial" w:hAnsi="Arial" w:cs="Arial"/>
                <w:sz w:val="20"/>
                <w:szCs w:val="20"/>
              </w:rPr>
              <w:t>湖南省澧县</w:t>
            </w:r>
          </w:p>
        </w:tc>
        <w:tc>
          <w:tcPr>
            <w:tcW w:w="1179" w:type="pct"/>
            <w:vMerge w:val="continue"/>
            <w:shd w:val="clear" w:color="auto" w:fill="auto"/>
            <w:vAlign w:val="center"/>
          </w:tcPr>
          <w:p w14:paraId="3688C7EA">
            <w:pPr>
              <w:adjustRightInd w:val="0"/>
              <w:snapToGrid w:val="0"/>
              <w:rPr>
                <w:rFonts w:ascii="Arial" w:hAnsi="Arial" w:cs="Arial"/>
                <w:sz w:val="20"/>
                <w:szCs w:val="20"/>
              </w:rPr>
            </w:pPr>
          </w:p>
        </w:tc>
        <w:tc>
          <w:tcPr>
            <w:tcW w:w="2201" w:type="pct"/>
            <w:vMerge w:val="continue"/>
            <w:shd w:val="clear" w:color="auto" w:fill="auto"/>
            <w:vAlign w:val="center"/>
          </w:tcPr>
          <w:p w14:paraId="386A2E94">
            <w:pPr>
              <w:pStyle w:val="48"/>
              <w:widowControl w:val="0"/>
              <w:numPr>
                <w:ilvl w:val="0"/>
                <w:numId w:val="41"/>
              </w:numPr>
              <w:adjustRightInd w:val="0"/>
              <w:snapToGrid w:val="0"/>
              <w:ind w:left="109" w:hanging="109" w:firstLineChars="0"/>
              <w:jc w:val="both"/>
              <w:rPr>
                <w:rFonts w:ascii="Arial" w:hAnsi="Arial" w:cs="Arial"/>
                <w:sz w:val="20"/>
                <w:szCs w:val="20"/>
              </w:rPr>
            </w:pPr>
          </w:p>
        </w:tc>
      </w:tr>
      <w:tr w14:paraId="37BD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2C32E9DC">
            <w:pPr>
              <w:adjustRightInd w:val="0"/>
              <w:snapToGrid w:val="0"/>
              <w:jc w:val="center"/>
              <w:rPr>
                <w:rFonts w:ascii="Arial" w:hAnsi="Arial" w:cs="Arial"/>
                <w:sz w:val="20"/>
                <w:szCs w:val="20"/>
              </w:rPr>
            </w:pPr>
            <w:r>
              <w:rPr>
                <w:rFonts w:ascii="Arial" w:hAnsi="Arial" w:cs="Arial"/>
                <w:sz w:val="20"/>
                <w:szCs w:val="20"/>
              </w:rPr>
              <w:t>12</w:t>
            </w:r>
          </w:p>
        </w:tc>
        <w:tc>
          <w:tcPr>
            <w:tcW w:w="664" w:type="pct"/>
            <w:shd w:val="clear" w:color="auto" w:fill="auto"/>
            <w:vAlign w:val="center"/>
          </w:tcPr>
          <w:p w14:paraId="38426D2C">
            <w:pPr>
              <w:adjustRightInd w:val="0"/>
              <w:snapToGrid w:val="0"/>
              <w:rPr>
                <w:rFonts w:hint="eastAsia" w:ascii="Arial" w:hAnsi="Arial" w:eastAsia="宋体" w:cs="Arial"/>
                <w:sz w:val="20"/>
                <w:szCs w:val="20"/>
                <w:lang w:eastAsia="zh-CN"/>
              </w:rPr>
            </w:pPr>
            <w:r>
              <w:rPr>
                <w:rFonts w:ascii="Arial" w:hAnsi="Arial" w:cs="Arial"/>
                <w:sz w:val="20"/>
                <w:szCs w:val="20"/>
              </w:rPr>
              <w:t xml:space="preserve">2022年8月24日 </w:t>
            </w:r>
            <w:r>
              <w:rPr>
                <w:rFonts w:hint="eastAsia" w:ascii="Arial" w:hAnsi="Arial" w:cs="Arial"/>
                <w:sz w:val="20"/>
                <w:szCs w:val="20"/>
                <w:lang w:val="en-GB" w:eastAsia="zh-CN"/>
              </w:rPr>
              <w:t>（</w:t>
            </w:r>
            <w:r>
              <w:rPr>
                <w:rFonts w:ascii="Arial" w:hAnsi="Arial" w:cs="Arial"/>
                <w:sz w:val="20"/>
                <w:szCs w:val="20"/>
              </w:rPr>
              <w:t>线上</w:t>
            </w:r>
            <w:r>
              <w:rPr>
                <w:rFonts w:hint="eastAsia" w:ascii="Arial" w:hAnsi="Arial" w:cs="Arial"/>
                <w:sz w:val="20"/>
                <w:szCs w:val="20"/>
                <w:lang w:eastAsia="zh-CN"/>
              </w:rPr>
              <w:t>）</w:t>
            </w:r>
          </w:p>
        </w:tc>
        <w:tc>
          <w:tcPr>
            <w:tcW w:w="664" w:type="pct"/>
            <w:shd w:val="clear" w:color="auto" w:fill="auto"/>
            <w:vAlign w:val="center"/>
          </w:tcPr>
          <w:p w14:paraId="6762F910">
            <w:pPr>
              <w:adjustRightInd w:val="0"/>
              <w:snapToGrid w:val="0"/>
              <w:rPr>
                <w:rFonts w:ascii="Arial" w:hAnsi="Arial" w:cs="Arial"/>
                <w:sz w:val="20"/>
                <w:szCs w:val="20"/>
              </w:rPr>
            </w:pPr>
            <w:r>
              <w:rPr>
                <w:rFonts w:ascii="Arial" w:hAnsi="Arial" w:cs="Arial"/>
                <w:sz w:val="20"/>
                <w:szCs w:val="20"/>
              </w:rPr>
              <w:t>湖南省农业农村厅</w:t>
            </w:r>
          </w:p>
        </w:tc>
        <w:tc>
          <w:tcPr>
            <w:tcW w:w="1179" w:type="pct"/>
            <w:shd w:val="clear" w:color="auto" w:fill="auto"/>
            <w:vAlign w:val="center"/>
          </w:tcPr>
          <w:p w14:paraId="5AF9D0F9">
            <w:pPr>
              <w:adjustRightInd w:val="0"/>
              <w:snapToGrid w:val="0"/>
              <w:rPr>
                <w:rFonts w:ascii="Arial" w:hAnsi="Arial" w:cs="Arial"/>
                <w:sz w:val="20"/>
                <w:szCs w:val="20"/>
              </w:rPr>
            </w:pPr>
            <w:r>
              <w:rPr>
                <w:rFonts w:ascii="Arial" w:hAnsi="Arial" w:cs="Arial"/>
                <w:sz w:val="20"/>
                <w:szCs w:val="20"/>
              </w:rPr>
              <w:t>中国国际扶贫中心、湖南省项目办、省乡村振兴局、省发改委、省财政厅、省农业农村厅等</w:t>
            </w:r>
          </w:p>
        </w:tc>
        <w:tc>
          <w:tcPr>
            <w:tcW w:w="2201" w:type="pct"/>
            <w:shd w:val="clear" w:color="auto" w:fill="auto"/>
            <w:vAlign w:val="center"/>
          </w:tcPr>
          <w:p w14:paraId="3CD2CB75">
            <w:pPr>
              <w:pStyle w:val="48"/>
              <w:adjustRightInd w:val="0"/>
              <w:snapToGrid w:val="0"/>
              <w:ind w:left="109" w:firstLine="0" w:firstLineChars="0"/>
              <w:rPr>
                <w:rFonts w:ascii="Arial" w:hAnsi="Arial" w:cs="Arial"/>
                <w:sz w:val="20"/>
                <w:szCs w:val="20"/>
              </w:rPr>
            </w:pPr>
            <w:r>
              <w:rPr>
                <w:rFonts w:ascii="Arial" w:hAnsi="Arial" w:cs="Arial"/>
                <w:sz w:val="20"/>
                <w:szCs w:val="20"/>
              </w:rPr>
              <w:t>湖南省总结会：</w:t>
            </w:r>
          </w:p>
          <w:p w14:paraId="7DD409AA">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关于PforR项目范围、领域、支付指标等的进一步讨论</w:t>
            </w:r>
          </w:p>
          <w:p w14:paraId="4A83A782">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环境调查工作主要发现、环境与社会系统评估下一步工作安排</w:t>
            </w:r>
          </w:p>
        </w:tc>
      </w:tr>
      <w:tr w14:paraId="7144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2316E27A">
            <w:pPr>
              <w:adjustRightInd w:val="0"/>
              <w:snapToGrid w:val="0"/>
              <w:jc w:val="center"/>
              <w:rPr>
                <w:rFonts w:ascii="Arial" w:hAnsi="Arial" w:cs="Arial"/>
                <w:sz w:val="20"/>
                <w:szCs w:val="20"/>
              </w:rPr>
            </w:pPr>
            <w:r>
              <w:rPr>
                <w:rFonts w:hint="eastAsia" w:ascii="Arial" w:hAnsi="Arial" w:cs="Arial"/>
                <w:sz w:val="20"/>
                <w:szCs w:val="20"/>
              </w:rPr>
              <w:t>13</w:t>
            </w:r>
          </w:p>
        </w:tc>
        <w:tc>
          <w:tcPr>
            <w:tcW w:w="664" w:type="pct"/>
            <w:shd w:val="clear" w:color="auto" w:fill="auto"/>
            <w:vAlign w:val="center"/>
          </w:tcPr>
          <w:p w14:paraId="3FFB2DD9">
            <w:pPr>
              <w:adjustRightInd w:val="0"/>
              <w:snapToGrid w:val="0"/>
              <w:rPr>
                <w:rFonts w:ascii="Arial" w:hAnsi="Arial" w:cs="Arial"/>
                <w:sz w:val="20"/>
                <w:szCs w:val="20"/>
              </w:rPr>
            </w:pPr>
            <w:r>
              <w:rPr>
                <w:rFonts w:hint="eastAsia" w:ascii="Arial" w:hAnsi="Arial" w:cs="Arial"/>
                <w:sz w:val="20"/>
                <w:szCs w:val="20"/>
              </w:rPr>
              <w:t>2025.7.3</w:t>
            </w:r>
          </w:p>
        </w:tc>
        <w:tc>
          <w:tcPr>
            <w:tcW w:w="664" w:type="pct"/>
            <w:shd w:val="clear" w:color="auto" w:fill="auto"/>
            <w:vAlign w:val="center"/>
          </w:tcPr>
          <w:p w14:paraId="221ABB45">
            <w:pPr>
              <w:adjustRightInd w:val="0"/>
              <w:snapToGrid w:val="0"/>
              <w:rPr>
                <w:rFonts w:ascii="Arial" w:hAnsi="Arial" w:cs="Arial"/>
                <w:sz w:val="20"/>
                <w:szCs w:val="20"/>
              </w:rPr>
            </w:pPr>
            <w:r>
              <w:rPr>
                <w:rFonts w:hint="eastAsia" w:ascii="Arial" w:hAnsi="Arial" w:cs="Arial"/>
                <w:sz w:val="20"/>
                <w:szCs w:val="20"/>
              </w:rPr>
              <w:t>湖南省新田县</w:t>
            </w:r>
          </w:p>
        </w:tc>
        <w:tc>
          <w:tcPr>
            <w:tcW w:w="1179" w:type="pct"/>
            <w:shd w:val="clear" w:color="auto" w:fill="auto"/>
            <w:vAlign w:val="center"/>
          </w:tcPr>
          <w:p w14:paraId="768F0CF2">
            <w:pPr>
              <w:adjustRightInd w:val="0"/>
              <w:snapToGrid w:val="0"/>
              <w:rPr>
                <w:rFonts w:ascii="Arial" w:hAnsi="Arial" w:cs="Arial"/>
                <w:sz w:val="20"/>
                <w:szCs w:val="20"/>
              </w:rPr>
            </w:pPr>
            <w:r>
              <w:rPr>
                <w:rFonts w:ascii="Arial" w:hAnsi="Arial" w:cs="Arial"/>
                <w:sz w:val="20"/>
                <w:szCs w:val="20"/>
              </w:rPr>
              <w:t>湖南省项目办、县农业农村局、县住建局、县水</w:t>
            </w:r>
            <w:r>
              <w:rPr>
                <w:rFonts w:hint="eastAsia" w:ascii="Arial" w:hAnsi="Arial" w:cs="Arial"/>
                <w:sz w:val="20"/>
                <w:szCs w:val="20"/>
              </w:rPr>
              <w:t>利</w:t>
            </w:r>
            <w:r>
              <w:rPr>
                <w:rFonts w:ascii="Arial" w:hAnsi="Arial" w:cs="Arial"/>
                <w:sz w:val="20"/>
                <w:szCs w:val="20"/>
              </w:rPr>
              <w:t>局、县自然资源局、县生态环境局、县</w:t>
            </w:r>
            <w:r>
              <w:rPr>
                <w:rFonts w:hint="eastAsia" w:ascii="Arial" w:hAnsi="Arial" w:cs="Arial"/>
                <w:sz w:val="20"/>
                <w:szCs w:val="20"/>
              </w:rPr>
              <w:t>财政局</w:t>
            </w:r>
            <w:r>
              <w:rPr>
                <w:rFonts w:ascii="Arial" w:hAnsi="Arial" w:cs="Arial"/>
                <w:sz w:val="20"/>
                <w:szCs w:val="20"/>
              </w:rPr>
              <w:t>、县妇联、县卫健委、县</w:t>
            </w:r>
            <w:r>
              <w:rPr>
                <w:rFonts w:hint="eastAsia" w:ascii="Arial" w:hAnsi="Arial" w:cs="Arial"/>
                <w:sz w:val="20"/>
                <w:szCs w:val="20"/>
              </w:rPr>
              <w:t>城管局</w:t>
            </w:r>
            <w:r>
              <w:rPr>
                <w:rFonts w:ascii="Arial" w:hAnsi="Arial" w:cs="Arial"/>
                <w:sz w:val="20"/>
                <w:szCs w:val="20"/>
              </w:rPr>
              <w:t>、县民宗委、县文旅局、县人社局、县</w:t>
            </w:r>
            <w:r>
              <w:rPr>
                <w:rFonts w:hint="eastAsia" w:ascii="Arial" w:hAnsi="Arial" w:cs="Arial"/>
                <w:sz w:val="20"/>
                <w:szCs w:val="20"/>
              </w:rPr>
              <w:t>林业</w:t>
            </w:r>
            <w:r>
              <w:rPr>
                <w:rFonts w:ascii="Arial" w:hAnsi="Arial" w:cs="Arial"/>
                <w:sz w:val="20"/>
                <w:szCs w:val="20"/>
              </w:rPr>
              <w:t>局、县信访局、</w:t>
            </w:r>
            <w:r>
              <w:rPr>
                <w:rFonts w:hint="eastAsia" w:ascii="Arial" w:hAnsi="Arial" w:cs="Arial"/>
                <w:sz w:val="20"/>
                <w:szCs w:val="20"/>
                <w:lang w:eastAsia="zh-CN"/>
              </w:rPr>
              <w:t>县委政法委</w:t>
            </w:r>
            <w:r>
              <w:rPr>
                <w:rFonts w:hint="eastAsia" w:ascii="Arial" w:hAnsi="Arial" w:cs="Arial"/>
                <w:sz w:val="20"/>
                <w:szCs w:val="20"/>
              </w:rPr>
              <w:t>、县审计局</w:t>
            </w:r>
          </w:p>
        </w:tc>
        <w:tc>
          <w:tcPr>
            <w:tcW w:w="2201" w:type="pct"/>
            <w:shd w:val="clear" w:color="auto" w:fill="auto"/>
            <w:vAlign w:val="center"/>
          </w:tcPr>
          <w:p w14:paraId="32B04F88">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环境与社会县/市级主管部门座谈及现场调研</w:t>
            </w:r>
          </w:p>
          <w:p w14:paraId="30E7E69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县/市废弃农用塑料、秸秆收集与利用情况</w:t>
            </w:r>
          </w:p>
          <w:p w14:paraId="4B8685C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县/市农药化肥减量情况</w:t>
            </w:r>
          </w:p>
          <w:p w14:paraId="02C5EE7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县/市畜禽粪污管理</w:t>
            </w:r>
          </w:p>
          <w:p w14:paraId="7E5B2625">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县/市农村生活垃圾收集与处理</w:t>
            </w:r>
          </w:p>
          <w:p w14:paraId="09D3598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县/市户厕改造问题</w:t>
            </w:r>
          </w:p>
          <w:p w14:paraId="0C1D37E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县/市农村生活污水收集与处理</w:t>
            </w:r>
          </w:p>
          <w:p w14:paraId="57F564F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县/市高素质农民培育工作开展情况</w:t>
            </w:r>
          </w:p>
          <w:p w14:paraId="7C2E3FD9">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县/市征地拆迁、土地流转、设施农业用地管理及实施情况</w:t>
            </w:r>
          </w:p>
          <w:p w14:paraId="155460E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社会稳定风险评估及实施情况</w:t>
            </w:r>
          </w:p>
          <w:p w14:paraId="6116DF3A">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职业健康卫生监督管理情况</w:t>
            </w:r>
          </w:p>
          <w:p w14:paraId="457E9554">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申诉机制运行情况，如信访、劳动仲裁</w:t>
            </w:r>
          </w:p>
          <w:p w14:paraId="24338884">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少数民族发展情况</w:t>
            </w:r>
          </w:p>
          <w:p w14:paraId="6808F0FD">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弱势群体扶持情况、脱贫人口管理与监测情况</w:t>
            </w:r>
          </w:p>
          <w:p w14:paraId="3A120D3A">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妇女权益保护情况</w:t>
            </w:r>
          </w:p>
          <w:p w14:paraId="68F099AC">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文物保护</w:t>
            </w:r>
          </w:p>
        </w:tc>
      </w:tr>
      <w:tr w14:paraId="576C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1529A0DB">
            <w:pPr>
              <w:adjustRightInd w:val="0"/>
              <w:snapToGrid w:val="0"/>
              <w:jc w:val="center"/>
              <w:rPr>
                <w:rFonts w:ascii="Arial" w:hAnsi="Arial" w:cs="Arial"/>
                <w:sz w:val="20"/>
                <w:szCs w:val="20"/>
              </w:rPr>
            </w:pPr>
            <w:r>
              <w:rPr>
                <w:rFonts w:hint="eastAsia" w:ascii="Arial" w:hAnsi="Arial" w:cs="Arial"/>
                <w:sz w:val="20"/>
                <w:szCs w:val="20"/>
              </w:rPr>
              <w:t>14</w:t>
            </w:r>
          </w:p>
        </w:tc>
        <w:tc>
          <w:tcPr>
            <w:tcW w:w="664" w:type="pct"/>
            <w:shd w:val="clear" w:color="auto" w:fill="auto"/>
            <w:vAlign w:val="center"/>
          </w:tcPr>
          <w:p w14:paraId="790CA93A">
            <w:pPr>
              <w:adjustRightInd w:val="0"/>
              <w:snapToGrid w:val="0"/>
              <w:rPr>
                <w:rFonts w:ascii="Arial" w:hAnsi="Arial" w:cs="Arial"/>
                <w:sz w:val="20"/>
                <w:szCs w:val="20"/>
              </w:rPr>
            </w:pPr>
            <w:r>
              <w:rPr>
                <w:rFonts w:hint="eastAsia" w:ascii="Arial" w:hAnsi="Arial" w:cs="Arial"/>
                <w:sz w:val="20"/>
                <w:szCs w:val="20"/>
              </w:rPr>
              <w:t>2025.7.4</w:t>
            </w:r>
          </w:p>
        </w:tc>
        <w:tc>
          <w:tcPr>
            <w:tcW w:w="664" w:type="pct"/>
            <w:shd w:val="clear" w:color="auto" w:fill="auto"/>
            <w:vAlign w:val="center"/>
          </w:tcPr>
          <w:p w14:paraId="75C514B2">
            <w:pPr>
              <w:adjustRightInd w:val="0"/>
              <w:snapToGrid w:val="0"/>
              <w:rPr>
                <w:rFonts w:ascii="Arial" w:hAnsi="Arial" w:cs="Arial"/>
                <w:sz w:val="20"/>
                <w:szCs w:val="20"/>
              </w:rPr>
            </w:pPr>
            <w:r>
              <w:rPr>
                <w:rFonts w:ascii="Arial" w:hAnsi="Arial" w:cs="Arial"/>
                <w:sz w:val="20"/>
                <w:szCs w:val="20"/>
              </w:rPr>
              <w:t>湖南省农业农村厅</w:t>
            </w:r>
          </w:p>
        </w:tc>
        <w:tc>
          <w:tcPr>
            <w:tcW w:w="1179" w:type="pct"/>
            <w:shd w:val="clear" w:color="auto" w:fill="auto"/>
            <w:vAlign w:val="center"/>
          </w:tcPr>
          <w:p w14:paraId="24B7EFF8">
            <w:pPr>
              <w:adjustRightInd w:val="0"/>
              <w:snapToGrid w:val="0"/>
              <w:rPr>
                <w:rFonts w:ascii="Arial" w:hAnsi="Arial" w:cs="Arial"/>
                <w:sz w:val="20"/>
                <w:szCs w:val="20"/>
              </w:rPr>
            </w:pPr>
            <w:r>
              <w:rPr>
                <w:rFonts w:ascii="Arial" w:hAnsi="Arial" w:cs="Arial"/>
                <w:sz w:val="20"/>
                <w:szCs w:val="20"/>
              </w:rPr>
              <w:t>湖南省项目办、省发改委、省财政厅等</w:t>
            </w:r>
          </w:p>
        </w:tc>
        <w:tc>
          <w:tcPr>
            <w:tcW w:w="2201" w:type="pct"/>
            <w:shd w:val="clear" w:color="auto" w:fill="auto"/>
            <w:vAlign w:val="center"/>
          </w:tcPr>
          <w:p w14:paraId="1F35CC21">
            <w:pPr>
              <w:pStyle w:val="48"/>
              <w:adjustRightInd w:val="0"/>
              <w:snapToGrid w:val="0"/>
              <w:ind w:left="109" w:firstLine="0" w:firstLineChars="0"/>
              <w:rPr>
                <w:rFonts w:ascii="Arial" w:hAnsi="Arial" w:cs="Arial"/>
                <w:sz w:val="20"/>
                <w:szCs w:val="20"/>
              </w:rPr>
            </w:pPr>
            <w:r>
              <w:rPr>
                <w:rFonts w:ascii="Arial" w:hAnsi="Arial" w:cs="Arial"/>
                <w:sz w:val="20"/>
                <w:szCs w:val="20"/>
              </w:rPr>
              <w:t>湖南省总结会：</w:t>
            </w:r>
          </w:p>
          <w:p w14:paraId="6DE4DDA2">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关于PforR项目范围、领域、支付指标等的进一步讨论</w:t>
            </w:r>
          </w:p>
          <w:p w14:paraId="3F7DC7F3">
            <w:pPr>
              <w:pStyle w:val="48"/>
              <w:widowControl w:val="0"/>
              <w:numPr>
                <w:ilvl w:val="0"/>
                <w:numId w:val="41"/>
              </w:numPr>
              <w:adjustRightInd w:val="0"/>
              <w:snapToGrid w:val="0"/>
              <w:ind w:left="109" w:hanging="109" w:firstLineChars="0"/>
              <w:jc w:val="both"/>
              <w:rPr>
                <w:rFonts w:ascii="Arial" w:hAnsi="Arial" w:cs="Arial"/>
                <w:sz w:val="20"/>
                <w:szCs w:val="20"/>
              </w:rPr>
            </w:pPr>
            <w:r>
              <w:rPr>
                <w:rFonts w:hint="eastAsia" w:ascii="Arial" w:hAnsi="Arial" w:cs="Arial"/>
                <w:sz w:val="20"/>
                <w:szCs w:val="20"/>
              </w:rPr>
              <w:t>对新田县的</w:t>
            </w:r>
            <w:r>
              <w:rPr>
                <w:rFonts w:ascii="Arial" w:hAnsi="Arial" w:cs="Arial"/>
                <w:sz w:val="20"/>
                <w:szCs w:val="20"/>
              </w:rPr>
              <w:t>环境</w:t>
            </w:r>
            <w:r>
              <w:rPr>
                <w:rFonts w:hint="eastAsia" w:ascii="Arial" w:hAnsi="Arial" w:cs="Arial"/>
                <w:sz w:val="20"/>
                <w:szCs w:val="20"/>
              </w:rPr>
              <w:t>和社会补充评估</w:t>
            </w:r>
            <w:r>
              <w:rPr>
                <w:rFonts w:ascii="Arial" w:hAnsi="Arial" w:cs="Arial"/>
                <w:sz w:val="20"/>
                <w:szCs w:val="20"/>
              </w:rPr>
              <w:t>工作</w:t>
            </w:r>
            <w:r>
              <w:rPr>
                <w:rFonts w:hint="eastAsia" w:ascii="Arial" w:hAnsi="Arial" w:cs="Arial"/>
                <w:sz w:val="20"/>
                <w:szCs w:val="20"/>
              </w:rPr>
              <w:t>和</w:t>
            </w:r>
            <w:r>
              <w:rPr>
                <w:rFonts w:ascii="Arial" w:hAnsi="Arial" w:cs="Arial"/>
                <w:sz w:val="20"/>
                <w:szCs w:val="20"/>
              </w:rPr>
              <w:t>下一步工作安排</w:t>
            </w:r>
          </w:p>
        </w:tc>
      </w:tr>
      <w:tr w14:paraId="7DEC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545B28C4">
            <w:pPr>
              <w:adjustRightInd w:val="0"/>
              <w:snapToGrid w:val="0"/>
              <w:jc w:val="center"/>
              <w:rPr>
                <w:rFonts w:ascii="Arial" w:hAnsi="Arial" w:cs="Arial"/>
                <w:sz w:val="20"/>
                <w:szCs w:val="20"/>
              </w:rPr>
            </w:pPr>
            <w:r>
              <w:rPr>
                <w:rFonts w:hint="eastAsia" w:ascii="Arial" w:hAnsi="Arial" w:cs="Arial"/>
                <w:sz w:val="20"/>
                <w:szCs w:val="20"/>
              </w:rPr>
              <w:t>15</w:t>
            </w:r>
          </w:p>
        </w:tc>
        <w:tc>
          <w:tcPr>
            <w:tcW w:w="664" w:type="pct"/>
            <w:shd w:val="clear" w:color="auto" w:fill="auto"/>
            <w:vAlign w:val="center"/>
          </w:tcPr>
          <w:p w14:paraId="4837BC19">
            <w:pPr>
              <w:adjustRightInd w:val="0"/>
              <w:snapToGrid w:val="0"/>
              <w:rPr>
                <w:rFonts w:ascii="Arial" w:hAnsi="Arial" w:cs="Arial"/>
                <w:sz w:val="20"/>
                <w:szCs w:val="20"/>
              </w:rPr>
            </w:pPr>
            <w:r>
              <w:rPr>
                <w:rFonts w:hint="eastAsia" w:ascii="Arial" w:hAnsi="Arial" w:cs="Arial"/>
                <w:sz w:val="20"/>
                <w:szCs w:val="20"/>
              </w:rPr>
              <w:t>2025.7.7</w:t>
            </w:r>
          </w:p>
        </w:tc>
        <w:tc>
          <w:tcPr>
            <w:tcW w:w="664" w:type="pct"/>
            <w:shd w:val="clear" w:color="auto" w:fill="auto"/>
            <w:vAlign w:val="center"/>
          </w:tcPr>
          <w:p w14:paraId="1D37DD35">
            <w:pPr>
              <w:adjustRightInd w:val="0"/>
              <w:snapToGrid w:val="0"/>
              <w:rPr>
                <w:rFonts w:ascii="Arial" w:hAnsi="Arial" w:cs="Arial"/>
                <w:sz w:val="20"/>
                <w:szCs w:val="20"/>
              </w:rPr>
            </w:pPr>
            <w:r>
              <w:rPr>
                <w:rFonts w:hint="eastAsia" w:ascii="Arial" w:hAnsi="Arial" w:cs="Arial"/>
                <w:sz w:val="20"/>
                <w:szCs w:val="20"/>
              </w:rPr>
              <w:t>湖北省咸安区</w:t>
            </w:r>
          </w:p>
        </w:tc>
        <w:tc>
          <w:tcPr>
            <w:tcW w:w="1179" w:type="pct"/>
            <w:shd w:val="clear" w:color="auto" w:fill="auto"/>
            <w:vAlign w:val="center"/>
          </w:tcPr>
          <w:p w14:paraId="032DF0BB">
            <w:pPr>
              <w:adjustRightInd w:val="0"/>
              <w:snapToGrid w:val="0"/>
              <w:rPr>
                <w:rFonts w:ascii="Arial" w:hAnsi="Arial" w:cs="Arial"/>
                <w:sz w:val="20"/>
                <w:szCs w:val="20"/>
              </w:rPr>
            </w:pPr>
            <w:r>
              <w:rPr>
                <w:rFonts w:ascii="Arial" w:hAnsi="Arial" w:cs="Arial"/>
                <w:sz w:val="20"/>
                <w:szCs w:val="20"/>
              </w:rPr>
              <w:t>湖</w:t>
            </w:r>
            <w:r>
              <w:rPr>
                <w:rFonts w:hint="eastAsia" w:ascii="Arial" w:hAnsi="Arial" w:cs="Arial"/>
                <w:sz w:val="20"/>
                <w:szCs w:val="20"/>
              </w:rPr>
              <w:t>北</w:t>
            </w:r>
            <w:r>
              <w:rPr>
                <w:rFonts w:ascii="Arial" w:hAnsi="Arial" w:cs="Arial"/>
                <w:sz w:val="20"/>
                <w:szCs w:val="20"/>
              </w:rPr>
              <w:t>省项目办、</w:t>
            </w:r>
            <w:r>
              <w:rPr>
                <w:rFonts w:hint="eastAsia" w:ascii="Arial" w:hAnsi="Arial" w:cs="Arial"/>
                <w:sz w:val="20"/>
                <w:szCs w:val="20"/>
              </w:rPr>
              <w:t>区委办、区政府办、区</w:t>
            </w:r>
            <w:r>
              <w:rPr>
                <w:rFonts w:ascii="Arial" w:hAnsi="Arial" w:cs="Arial"/>
                <w:sz w:val="20"/>
                <w:szCs w:val="20"/>
              </w:rPr>
              <w:t>农业农村局、</w:t>
            </w:r>
            <w:r>
              <w:rPr>
                <w:rFonts w:hint="eastAsia" w:ascii="Arial" w:hAnsi="Arial" w:cs="Arial"/>
                <w:sz w:val="20"/>
                <w:szCs w:val="20"/>
              </w:rPr>
              <w:t>区财政局、区发改委、区</w:t>
            </w:r>
            <w:r>
              <w:rPr>
                <w:rFonts w:ascii="Arial" w:hAnsi="Arial" w:cs="Arial"/>
                <w:sz w:val="20"/>
                <w:szCs w:val="20"/>
              </w:rPr>
              <w:t>住建局、</w:t>
            </w:r>
            <w:r>
              <w:rPr>
                <w:rFonts w:hint="eastAsia" w:ascii="Arial" w:hAnsi="Arial" w:cs="Arial"/>
                <w:sz w:val="20"/>
                <w:szCs w:val="20"/>
              </w:rPr>
              <w:t>区</w:t>
            </w:r>
            <w:r>
              <w:rPr>
                <w:rFonts w:ascii="Arial" w:hAnsi="Arial" w:cs="Arial"/>
                <w:sz w:val="20"/>
                <w:szCs w:val="20"/>
              </w:rPr>
              <w:t>自然资源局、</w:t>
            </w:r>
            <w:r>
              <w:rPr>
                <w:rFonts w:hint="eastAsia" w:ascii="Arial" w:hAnsi="Arial" w:cs="Arial"/>
                <w:sz w:val="20"/>
                <w:szCs w:val="20"/>
              </w:rPr>
              <w:t>区</w:t>
            </w:r>
            <w:r>
              <w:rPr>
                <w:rFonts w:ascii="Arial" w:hAnsi="Arial" w:cs="Arial"/>
                <w:sz w:val="20"/>
                <w:szCs w:val="20"/>
              </w:rPr>
              <w:t>生态环境局、</w:t>
            </w:r>
            <w:r>
              <w:rPr>
                <w:rFonts w:hint="eastAsia" w:ascii="Arial" w:hAnsi="Arial" w:cs="Arial"/>
                <w:sz w:val="20"/>
                <w:szCs w:val="20"/>
              </w:rPr>
              <w:t>区城管局</w:t>
            </w:r>
            <w:r>
              <w:rPr>
                <w:rFonts w:ascii="Arial" w:hAnsi="Arial" w:cs="Arial"/>
                <w:sz w:val="20"/>
                <w:szCs w:val="20"/>
              </w:rPr>
              <w:t>、</w:t>
            </w:r>
            <w:r>
              <w:rPr>
                <w:rFonts w:hint="eastAsia" w:ascii="Arial" w:hAnsi="Arial" w:cs="Arial"/>
                <w:sz w:val="20"/>
                <w:szCs w:val="20"/>
              </w:rPr>
              <w:t>区</w:t>
            </w:r>
            <w:r>
              <w:rPr>
                <w:rFonts w:ascii="Arial" w:hAnsi="Arial" w:cs="Arial"/>
                <w:sz w:val="20"/>
                <w:szCs w:val="20"/>
              </w:rPr>
              <w:t>妇联、</w:t>
            </w:r>
            <w:r>
              <w:rPr>
                <w:rFonts w:hint="eastAsia" w:ascii="Arial" w:hAnsi="Arial" w:cs="Arial"/>
                <w:sz w:val="20"/>
                <w:szCs w:val="20"/>
              </w:rPr>
              <w:t>区</w:t>
            </w:r>
            <w:r>
              <w:rPr>
                <w:rFonts w:ascii="Arial" w:hAnsi="Arial" w:cs="Arial"/>
                <w:sz w:val="20"/>
                <w:szCs w:val="20"/>
              </w:rPr>
              <w:t>卫健</w:t>
            </w:r>
            <w:r>
              <w:rPr>
                <w:rFonts w:hint="eastAsia" w:ascii="Arial" w:hAnsi="Arial" w:cs="Arial"/>
                <w:sz w:val="20"/>
                <w:szCs w:val="20"/>
              </w:rPr>
              <w:t>局</w:t>
            </w:r>
            <w:r>
              <w:rPr>
                <w:rFonts w:ascii="Arial" w:hAnsi="Arial" w:cs="Arial"/>
                <w:sz w:val="20"/>
                <w:szCs w:val="20"/>
              </w:rPr>
              <w:t>、</w:t>
            </w:r>
            <w:r>
              <w:rPr>
                <w:rFonts w:hint="eastAsia" w:ascii="Arial" w:hAnsi="Arial" w:cs="Arial"/>
                <w:sz w:val="20"/>
                <w:szCs w:val="20"/>
              </w:rPr>
              <w:t>区</w:t>
            </w:r>
            <w:r>
              <w:rPr>
                <w:rFonts w:ascii="Arial" w:hAnsi="Arial" w:cs="Arial"/>
                <w:sz w:val="20"/>
                <w:szCs w:val="20"/>
              </w:rPr>
              <w:t>民宗</w:t>
            </w:r>
            <w:r>
              <w:rPr>
                <w:rFonts w:hint="eastAsia" w:ascii="Arial" w:hAnsi="Arial" w:cs="Arial"/>
                <w:sz w:val="20"/>
                <w:szCs w:val="20"/>
              </w:rPr>
              <w:t>局</w:t>
            </w:r>
          </w:p>
        </w:tc>
        <w:tc>
          <w:tcPr>
            <w:tcW w:w="2201" w:type="pct"/>
            <w:shd w:val="clear" w:color="auto" w:fill="auto"/>
            <w:vAlign w:val="center"/>
          </w:tcPr>
          <w:p w14:paraId="5126D136">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环境与社会县/市级主管部门座谈及现场调研</w:t>
            </w:r>
          </w:p>
          <w:p w14:paraId="5934D3BE">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县/市废弃农用塑料、秸秆收集与利用情况</w:t>
            </w:r>
          </w:p>
          <w:p w14:paraId="5AABF2AB">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县/市农药化肥减量情况</w:t>
            </w:r>
          </w:p>
          <w:p w14:paraId="11897160">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县/市畜禽粪污管理</w:t>
            </w:r>
          </w:p>
          <w:p w14:paraId="60CF2EE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县/市农村生活垃圾收集与处理</w:t>
            </w:r>
          </w:p>
          <w:p w14:paraId="0746B174">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县/市户厕改造问题</w:t>
            </w:r>
          </w:p>
          <w:p w14:paraId="3E1273B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县/市农村生活污水收集与处理</w:t>
            </w:r>
          </w:p>
          <w:p w14:paraId="64ED7B95">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县/市高素质农民培育工作开展情况</w:t>
            </w:r>
          </w:p>
          <w:p w14:paraId="05AAF001">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县/市征地拆迁、土地流转、设施农业用地管理及实施情况</w:t>
            </w:r>
          </w:p>
          <w:p w14:paraId="09C606EC">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社会稳定风险评估及实施情况</w:t>
            </w:r>
          </w:p>
          <w:p w14:paraId="0D0433D3">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职业健康卫生监督管理情况</w:t>
            </w:r>
          </w:p>
          <w:p w14:paraId="7544DFF2">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申诉机制运行情况，如信访、劳动仲裁</w:t>
            </w:r>
          </w:p>
          <w:p w14:paraId="6E502CE4">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少数民族发展情况</w:t>
            </w:r>
          </w:p>
          <w:p w14:paraId="14D708EA">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弱势群体扶持情况、脱贫人口管理与监测情况</w:t>
            </w:r>
          </w:p>
          <w:p w14:paraId="187DA3A5">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妇女权益保护情况</w:t>
            </w:r>
          </w:p>
          <w:p w14:paraId="1478EB6F">
            <w:pPr>
              <w:pStyle w:val="48"/>
              <w:widowControl w:val="0"/>
              <w:numPr>
                <w:ilvl w:val="1"/>
                <w:numId w:val="42"/>
              </w:numPr>
              <w:adjustRightInd w:val="0"/>
              <w:snapToGrid w:val="0"/>
              <w:ind w:left="539" w:firstLineChars="0"/>
              <w:jc w:val="both"/>
              <w:rPr>
                <w:rFonts w:ascii="Arial" w:hAnsi="Arial" w:cs="Arial"/>
                <w:sz w:val="20"/>
                <w:szCs w:val="20"/>
              </w:rPr>
            </w:pPr>
            <w:r>
              <w:rPr>
                <w:rFonts w:ascii="Arial" w:hAnsi="Arial" w:cs="Arial"/>
                <w:sz w:val="20"/>
                <w:szCs w:val="20"/>
              </w:rPr>
              <w:t>文物保护</w:t>
            </w:r>
          </w:p>
        </w:tc>
      </w:tr>
      <w:tr w14:paraId="06CB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292" w:type="pct"/>
            <w:shd w:val="clear" w:color="auto" w:fill="auto"/>
            <w:vAlign w:val="center"/>
          </w:tcPr>
          <w:p w14:paraId="0441A5C8">
            <w:pPr>
              <w:adjustRightInd w:val="0"/>
              <w:snapToGrid w:val="0"/>
              <w:jc w:val="center"/>
              <w:rPr>
                <w:rFonts w:ascii="Arial" w:hAnsi="Arial" w:cs="Arial"/>
                <w:sz w:val="20"/>
                <w:szCs w:val="20"/>
              </w:rPr>
            </w:pPr>
            <w:r>
              <w:rPr>
                <w:rFonts w:hint="eastAsia" w:ascii="Arial" w:hAnsi="Arial" w:cs="Arial"/>
                <w:sz w:val="20"/>
                <w:szCs w:val="20"/>
              </w:rPr>
              <w:t>16</w:t>
            </w:r>
          </w:p>
        </w:tc>
        <w:tc>
          <w:tcPr>
            <w:tcW w:w="664" w:type="pct"/>
            <w:shd w:val="clear" w:color="auto" w:fill="auto"/>
            <w:vAlign w:val="center"/>
          </w:tcPr>
          <w:p w14:paraId="65818D2C">
            <w:pPr>
              <w:adjustRightInd w:val="0"/>
              <w:snapToGrid w:val="0"/>
              <w:rPr>
                <w:rFonts w:ascii="Arial" w:hAnsi="Arial" w:cs="Arial"/>
                <w:sz w:val="20"/>
                <w:szCs w:val="20"/>
              </w:rPr>
            </w:pPr>
            <w:r>
              <w:rPr>
                <w:rFonts w:hint="eastAsia" w:ascii="Arial" w:hAnsi="Arial" w:cs="Arial"/>
                <w:sz w:val="20"/>
                <w:szCs w:val="20"/>
              </w:rPr>
              <w:t>2025.7.8</w:t>
            </w:r>
          </w:p>
        </w:tc>
        <w:tc>
          <w:tcPr>
            <w:tcW w:w="664" w:type="pct"/>
            <w:shd w:val="clear" w:color="auto" w:fill="auto"/>
            <w:vAlign w:val="center"/>
          </w:tcPr>
          <w:p w14:paraId="3611AE92">
            <w:pPr>
              <w:adjustRightInd w:val="0"/>
              <w:snapToGrid w:val="0"/>
              <w:rPr>
                <w:rFonts w:ascii="Arial" w:hAnsi="Arial" w:cs="Arial"/>
                <w:sz w:val="20"/>
                <w:szCs w:val="20"/>
              </w:rPr>
            </w:pPr>
            <w:r>
              <w:rPr>
                <w:rFonts w:ascii="Arial" w:hAnsi="Arial" w:cs="Arial"/>
                <w:sz w:val="20"/>
                <w:szCs w:val="20"/>
              </w:rPr>
              <w:t>湖</w:t>
            </w:r>
            <w:r>
              <w:rPr>
                <w:rFonts w:hint="eastAsia" w:ascii="Arial" w:hAnsi="Arial" w:cs="Arial"/>
                <w:sz w:val="20"/>
                <w:szCs w:val="20"/>
              </w:rPr>
              <w:t>北</w:t>
            </w:r>
            <w:r>
              <w:rPr>
                <w:rFonts w:ascii="Arial" w:hAnsi="Arial" w:cs="Arial"/>
                <w:sz w:val="20"/>
                <w:szCs w:val="20"/>
              </w:rPr>
              <w:t>省农业农村厅</w:t>
            </w:r>
          </w:p>
        </w:tc>
        <w:tc>
          <w:tcPr>
            <w:tcW w:w="1179" w:type="pct"/>
            <w:shd w:val="clear" w:color="auto" w:fill="auto"/>
            <w:vAlign w:val="center"/>
          </w:tcPr>
          <w:p w14:paraId="5F62EBDB">
            <w:pPr>
              <w:adjustRightInd w:val="0"/>
              <w:snapToGrid w:val="0"/>
              <w:rPr>
                <w:rFonts w:ascii="Arial" w:hAnsi="Arial" w:cs="Arial"/>
                <w:sz w:val="20"/>
                <w:szCs w:val="20"/>
              </w:rPr>
            </w:pPr>
            <w:r>
              <w:rPr>
                <w:rFonts w:ascii="Arial" w:hAnsi="Arial" w:cs="Arial"/>
                <w:sz w:val="20"/>
                <w:szCs w:val="20"/>
              </w:rPr>
              <w:t>湖</w:t>
            </w:r>
            <w:r>
              <w:rPr>
                <w:rFonts w:hint="eastAsia" w:ascii="Arial" w:hAnsi="Arial" w:cs="Arial"/>
                <w:sz w:val="20"/>
                <w:szCs w:val="20"/>
              </w:rPr>
              <w:t>北</w:t>
            </w:r>
            <w:r>
              <w:rPr>
                <w:rFonts w:ascii="Arial" w:hAnsi="Arial" w:cs="Arial"/>
                <w:sz w:val="20"/>
                <w:szCs w:val="20"/>
              </w:rPr>
              <w:t>省项目办、省发改委、省财政厅等</w:t>
            </w:r>
          </w:p>
        </w:tc>
        <w:tc>
          <w:tcPr>
            <w:tcW w:w="2201" w:type="pct"/>
            <w:shd w:val="clear" w:color="auto" w:fill="auto"/>
            <w:vAlign w:val="center"/>
          </w:tcPr>
          <w:p w14:paraId="3B92EB7A">
            <w:pPr>
              <w:pStyle w:val="48"/>
              <w:adjustRightInd w:val="0"/>
              <w:snapToGrid w:val="0"/>
              <w:ind w:left="109" w:firstLine="0" w:firstLineChars="0"/>
              <w:rPr>
                <w:rFonts w:ascii="Arial" w:hAnsi="Arial" w:cs="Arial"/>
                <w:sz w:val="20"/>
                <w:szCs w:val="20"/>
              </w:rPr>
            </w:pPr>
            <w:r>
              <w:rPr>
                <w:rFonts w:ascii="Arial" w:hAnsi="Arial" w:cs="Arial"/>
                <w:sz w:val="20"/>
                <w:szCs w:val="20"/>
              </w:rPr>
              <w:t>湖</w:t>
            </w:r>
            <w:r>
              <w:rPr>
                <w:rFonts w:hint="eastAsia" w:ascii="Arial" w:hAnsi="Arial" w:cs="Arial"/>
                <w:sz w:val="20"/>
                <w:szCs w:val="20"/>
              </w:rPr>
              <w:t>北</w:t>
            </w:r>
            <w:r>
              <w:rPr>
                <w:rFonts w:ascii="Arial" w:hAnsi="Arial" w:cs="Arial"/>
                <w:sz w:val="20"/>
                <w:szCs w:val="20"/>
              </w:rPr>
              <w:t>省总结会：</w:t>
            </w:r>
          </w:p>
          <w:p w14:paraId="0E60898E">
            <w:pPr>
              <w:pStyle w:val="48"/>
              <w:widowControl w:val="0"/>
              <w:numPr>
                <w:ilvl w:val="0"/>
                <w:numId w:val="41"/>
              </w:numPr>
              <w:adjustRightInd w:val="0"/>
              <w:snapToGrid w:val="0"/>
              <w:ind w:left="109" w:hanging="109" w:firstLineChars="0"/>
              <w:jc w:val="both"/>
              <w:rPr>
                <w:rFonts w:ascii="Arial" w:hAnsi="Arial" w:cs="Arial"/>
                <w:sz w:val="20"/>
                <w:szCs w:val="20"/>
              </w:rPr>
            </w:pPr>
            <w:r>
              <w:rPr>
                <w:rFonts w:ascii="Arial" w:hAnsi="Arial" w:cs="Arial"/>
                <w:sz w:val="20"/>
                <w:szCs w:val="20"/>
              </w:rPr>
              <w:t>关于PforR项目范围、领域、支付指标等的进一步讨论</w:t>
            </w:r>
          </w:p>
          <w:p w14:paraId="70FF2213">
            <w:pPr>
              <w:pStyle w:val="48"/>
              <w:widowControl w:val="0"/>
              <w:numPr>
                <w:ilvl w:val="0"/>
                <w:numId w:val="41"/>
              </w:numPr>
              <w:adjustRightInd w:val="0"/>
              <w:snapToGrid w:val="0"/>
              <w:ind w:left="109" w:hanging="109" w:firstLineChars="0"/>
              <w:jc w:val="both"/>
              <w:rPr>
                <w:rFonts w:ascii="Arial" w:hAnsi="Arial" w:cs="Arial"/>
                <w:sz w:val="20"/>
                <w:szCs w:val="20"/>
              </w:rPr>
            </w:pPr>
            <w:r>
              <w:rPr>
                <w:rFonts w:hint="eastAsia" w:ascii="Arial" w:hAnsi="Arial" w:cs="Arial"/>
                <w:sz w:val="20"/>
                <w:szCs w:val="20"/>
              </w:rPr>
              <w:t>对咸安区的</w:t>
            </w:r>
            <w:r>
              <w:rPr>
                <w:rFonts w:ascii="Arial" w:hAnsi="Arial" w:cs="Arial"/>
                <w:sz w:val="20"/>
                <w:szCs w:val="20"/>
              </w:rPr>
              <w:t>环境</w:t>
            </w:r>
            <w:r>
              <w:rPr>
                <w:rFonts w:hint="eastAsia" w:ascii="Arial" w:hAnsi="Arial" w:cs="Arial"/>
                <w:sz w:val="20"/>
                <w:szCs w:val="20"/>
              </w:rPr>
              <w:t>和社会补充评估</w:t>
            </w:r>
            <w:r>
              <w:rPr>
                <w:rFonts w:ascii="Arial" w:hAnsi="Arial" w:cs="Arial"/>
                <w:sz w:val="20"/>
                <w:szCs w:val="20"/>
              </w:rPr>
              <w:t>工作</w:t>
            </w:r>
            <w:r>
              <w:rPr>
                <w:rFonts w:hint="eastAsia" w:ascii="Arial" w:hAnsi="Arial" w:cs="Arial"/>
                <w:sz w:val="20"/>
                <w:szCs w:val="20"/>
              </w:rPr>
              <w:t>和</w:t>
            </w:r>
            <w:r>
              <w:rPr>
                <w:rFonts w:ascii="Arial" w:hAnsi="Arial" w:cs="Arial"/>
                <w:sz w:val="20"/>
                <w:szCs w:val="20"/>
              </w:rPr>
              <w:t>下一步工作安排</w:t>
            </w:r>
          </w:p>
        </w:tc>
      </w:tr>
    </w:tbl>
    <w:p w14:paraId="0EB961FD">
      <w:pPr>
        <w:rPr>
          <w:rFonts w:ascii="Arial" w:hAnsi="Arial" w:cs="Arial"/>
          <w:sz w:val="20"/>
        </w:rPr>
      </w:pPr>
    </w:p>
    <w:p w14:paraId="78F0EAB8">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r>
        <w:rPr>
          <w:rFonts w:ascii="Arial" w:hAnsi="Arial" w:cs="Arial"/>
          <w:sz w:val="21"/>
        </w:rPr>
        <w:br w:type="page"/>
      </w:r>
      <w:bookmarkStart w:id="763" w:name="_Toc79939286"/>
      <w:bookmarkStart w:id="764" w:name="_Toc77865671"/>
      <w:bookmarkStart w:id="765" w:name="_Toc119937336"/>
      <w:bookmarkStart w:id="766" w:name="_Hlk79165819"/>
      <w:r>
        <w:rPr>
          <w:rFonts w:ascii="Arial" w:hAnsi="Arial" w:cs="Arial"/>
          <w:color w:val="000000" w:themeColor="text1"/>
          <w:sz w:val="28"/>
          <w:szCs w:val="28"/>
          <w14:textFill>
            <w14:solidFill>
              <w14:schemeClr w14:val="tx1"/>
            </w14:solidFill>
          </w14:textFill>
        </w:rPr>
        <w:t>附件6：本项目ESSA报告公众协商意见反馈</w:t>
      </w:r>
      <w:bookmarkEnd w:id="763"/>
      <w:bookmarkEnd w:id="764"/>
      <w:bookmarkEnd w:id="765"/>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7"/>
        <w:gridCol w:w="2568"/>
        <w:gridCol w:w="2855"/>
        <w:gridCol w:w="1425"/>
        <w:gridCol w:w="2279"/>
      </w:tblGrid>
      <w:tr w14:paraId="55E3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tblHeader/>
          <w:jc w:val="center"/>
        </w:trPr>
        <w:tc>
          <w:tcPr>
            <w:tcW w:w="292" w:type="pct"/>
            <w:shd w:val="clear" w:color="auto" w:fill="auto"/>
          </w:tcPr>
          <w:p w14:paraId="4D697D71">
            <w:pPr>
              <w:snapToGrid w:val="0"/>
              <w:jc w:val="center"/>
              <w:rPr>
                <w:rFonts w:ascii="Arial" w:hAnsi="Arial" w:cs="Arial"/>
                <w:b/>
                <w:bCs/>
                <w:sz w:val="20"/>
                <w:szCs w:val="20"/>
              </w:rPr>
            </w:pPr>
            <w:r>
              <w:rPr>
                <w:rFonts w:ascii="Arial" w:hAnsi="Arial" w:cs="Arial"/>
                <w:b/>
                <w:bCs/>
                <w:sz w:val="20"/>
                <w:szCs w:val="20"/>
              </w:rPr>
              <w:t>编号</w:t>
            </w:r>
          </w:p>
        </w:tc>
        <w:tc>
          <w:tcPr>
            <w:tcW w:w="1325" w:type="pct"/>
            <w:shd w:val="clear" w:color="auto" w:fill="auto"/>
          </w:tcPr>
          <w:p w14:paraId="62FE47C4">
            <w:pPr>
              <w:snapToGrid w:val="0"/>
              <w:jc w:val="center"/>
              <w:rPr>
                <w:rFonts w:ascii="Arial" w:hAnsi="Arial" w:cs="Arial"/>
                <w:b/>
                <w:bCs/>
                <w:sz w:val="20"/>
                <w:szCs w:val="20"/>
              </w:rPr>
            </w:pPr>
            <w:r>
              <w:rPr>
                <w:rFonts w:ascii="Arial" w:hAnsi="Arial" w:cs="Arial"/>
                <w:b/>
                <w:bCs/>
                <w:sz w:val="20"/>
                <w:szCs w:val="20"/>
              </w:rPr>
              <w:t>问题</w:t>
            </w:r>
          </w:p>
        </w:tc>
        <w:tc>
          <w:tcPr>
            <w:tcW w:w="1473" w:type="pct"/>
            <w:shd w:val="clear" w:color="auto" w:fill="auto"/>
          </w:tcPr>
          <w:p w14:paraId="501423BC">
            <w:pPr>
              <w:snapToGrid w:val="0"/>
              <w:jc w:val="center"/>
              <w:rPr>
                <w:rFonts w:ascii="Arial" w:hAnsi="Arial" w:cs="Arial"/>
                <w:b/>
                <w:bCs/>
                <w:sz w:val="20"/>
                <w:szCs w:val="20"/>
              </w:rPr>
            </w:pPr>
            <w:r>
              <w:rPr>
                <w:rFonts w:ascii="Arial" w:hAnsi="Arial" w:cs="Arial"/>
                <w:b/>
                <w:bCs/>
                <w:sz w:val="20"/>
                <w:szCs w:val="20"/>
              </w:rPr>
              <w:t>意见</w:t>
            </w:r>
          </w:p>
        </w:tc>
        <w:tc>
          <w:tcPr>
            <w:tcW w:w="735" w:type="pct"/>
            <w:shd w:val="clear" w:color="auto" w:fill="auto"/>
          </w:tcPr>
          <w:p w14:paraId="2FABD4F7">
            <w:pPr>
              <w:snapToGrid w:val="0"/>
              <w:jc w:val="center"/>
              <w:rPr>
                <w:rFonts w:ascii="Arial" w:hAnsi="Arial" w:cs="Arial"/>
                <w:b/>
                <w:bCs/>
                <w:sz w:val="20"/>
                <w:szCs w:val="20"/>
              </w:rPr>
            </w:pPr>
            <w:r>
              <w:rPr>
                <w:rFonts w:ascii="Arial" w:hAnsi="Arial" w:cs="Arial"/>
                <w:b/>
                <w:bCs/>
                <w:sz w:val="20"/>
                <w:szCs w:val="20"/>
              </w:rPr>
              <w:t>参与方</w:t>
            </w:r>
          </w:p>
        </w:tc>
        <w:tc>
          <w:tcPr>
            <w:tcW w:w="1175" w:type="pct"/>
            <w:shd w:val="clear" w:color="auto" w:fill="auto"/>
          </w:tcPr>
          <w:p w14:paraId="6E15D042">
            <w:pPr>
              <w:snapToGrid w:val="0"/>
              <w:jc w:val="center"/>
              <w:rPr>
                <w:rFonts w:ascii="Arial" w:hAnsi="Arial" w:cs="Arial"/>
                <w:b/>
                <w:bCs/>
                <w:sz w:val="20"/>
                <w:szCs w:val="20"/>
              </w:rPr>
            </w:pPr>
            <w:r>
              <w:rPr>
                <w:rFonts w:ascii="Arial" w:hAnsi="Arial" w:cs="Arial"/>
                <w:b/>
                <w:bCs/>
                <w:sz w:val="20"/>
                <w:szCs w:val="20"/>
              </w:rPr>
              <w:t>报告的修改</w:t>
            </w:r>
          </w:p>
        </w:tc>
      </w:tr>
      <w:tr w14:paraId="5E51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10EFE5D7">
            <w:pPr>
              <w:snapToGrid w:val="0"/>
              <w:rPr>
                <w:rFonts w:ascii="Arial" w:hAnsi="Arial" w:cs="Arial"/>
                <w:b/>
                <w:bCs/>
                <w:sz w:val="20"/>
                <w:szCs w:val="20"/>
              </w:rPr>
            </w:pPr>
            <w:r>
              <w:rPr>
                <w:rFonts w:ascii="Arial" w:hAnsi="Arial" w:cs="Arial"/>
                <w:b/>
                <w:bCs/>
                <w:sz w:val="20"/>
                <w:szCs w:val="20"/>
              </w:rPr>
              <w:t>关于项目内容</w:t>
            </w:r>
          </w:p>
        </w:tc>
      </w:tr>
      <w:tr w14:paraId="2B82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C57488B">
            <w:pPr>
              <w:snapToGrid w:val="0"/>
              <w:rPr>
                <w:rFonts w:ascii="Arial" w:hAnsi="Arial" w:cs="Arial"/>
                <w:sz w:val="20"/>
                <w:szCs w:val="20"/>
              </w:rPr>
            </w:pPr>
            <w:r>
              <w:rPr>
                <w:rFonts w:ascii="Arial" w:hAnsi="Arial" w:cs="Arial"/>
                <w:sz w:val="20"/>
                <w:szCs w:val="20"/>
              </w:rPr>
              <w:t>1</w:t>
            </w:r>
          </w:p>
        </w:tc>
        <w:tc>
          <w:tcPr>
            <w:tcW w:w="1325" w:type="pct"/>
            <w:shd w:val="clear" w:color="auto" w:fill="auto"/>
          </w:tcPr>
          <w:p w14:paraId="6B86F1FB">
            <w:pPr>
              <w:snapToGrid w:val="0"/>
              <w:rPr>
                <w:rFonts w:ascii="Arial" w:hAnsi="Arial" w:cs="Arial"/>
                <w:sz w:val="20"/>
                <w:szCs w:val="20"/>
              </w:rPr>
            </w:pPr>
            <w:r>
              <w:rPr>
                <w:rFonts w:ascii="Arial" w:hAnsi="Arial" w:cs="Arial"/>
                <w:sz w:val="20"/>
                <w:szCs w:val="20"/>
              </w:rPr>
              <w:t>第2.2节</w:t>
            </w:r>
            <w:r>
              <w:rPr>
                <w:rFonts w:ascii="Arial" w:hAnsi="Arial" w:cs="Arial"/>
                <w:sz w:val="20"/>
                <w:szCs w:val="20"/>
                <w:lang w:val="en-GB"/>
              </w:rPr>
              <w:t>表2</w:t>
            </w:r>
            <w:r>
              <w:rPr>
                <w:rFonts w:hint="eastAsia" w:ascii="Arial" w:hAnsi="Arial" w:cs="Arial"/>
                <w:sz w:val="20"/>
                <w:szCs w:val="20"/>
                <w:lang w:val="en-GB" w:eastAsia="zh-CN"/>
              </w:rPr>
              <w:t>—</w:t>
            </w:r>
            <w:r>
              <w:rPr>
                <w:rFonts w:ascii="Arial" w:hAnsi="Arial" w:cs="Arial"/>
                <w:sz w:val="20"/>
                <w:szCs w:val="20"/>
                <w:lang w:val="en-GB"/>
              </w:rPr>
              <w:t>2：编制“</w:t>
            </w:r>
            <w:r>
              <w:rPr>
                <w:rFonts w:ascii="Arial" w:hAnsi="Arial" w:cs="Arial"/>
                <w:sz w:val="20"/>
                <w:szCs w:val="20"/>
              </w:rPr>
              <w:t>多规合一村庄规划”的预期产出和支付指标</w:t>
            </w:r>
          </w:p>
        </w:tc>
        <w:tc>
          <w:tcPr>
            <w:tcW w:w="1473" w:type="pct"/>
            <w:shd w:val="clear" w:color="auto" w:fill="auto"/>
          </w:tcPr>
          <w:p w14:paraId="32FE2332">
            <w:pPr>
              <w:snapToGrid w:val="0"/>
              <w:rPr>
                <w:rFonts w:ascii="Arial" w:hAnsi="Arial" w:cs="Arial"/>
                <w:sz w:val="20"/>
                <w:szCs w:val="20"/>
                <w:lang w:val="en-GB"/>
              </w:rPr>
            </w:pPr>
            <w:r>
              <w:rPr>
                <w:rFonts w:ascii="Arial" w:hAnsi="Arial" w:cs="Arial"/>
                <w:sz w:val="20"/>
                <w:szCs w:val="20"/>
              </w:rPr>
              <w:t>建议修改为</w:t>
            </w:r>
            <w:r>
              <w:rPr>
                <w:rFonts w:ascii="Arial" w:hAnsi="Arial" w:cs="Arial"/>
                <w:sz w:val="20"/>
                <w:szCs w:val="20"/>
                <w:lang w:val="en-GB"/>
              </w:rPr>
              <w:t>“项目县（市、区）已编制的多规合一实用性村庄规划的数量”</w:t>
            </w:r>
          </w:p>
        </w:tc>
        <w:tc>
          <w:tcPr>
            <w:tcW w:w="735" w:type="pct"/>
            <w:shd w:val="clear" w:color="auto" w:fill="auto"/>
          </w:tcPr>
          <w:p w14:paraId="5A98F620">
            <w:pPr>
              <w:snapToGrid w:val="0"/>
              <w:rPr>
                <w:rFonts w:ascii="Arial" w:hAnsi="Arial" w:cs="Arial"/>
                <w:sz w:val="20"/>
                <w:szCs w:val="20"/>
              </w:rPr>
            </w:pPr>
            <w:r>
              <w:rPr>
                <w:rFonts w:ascii="Arial" w:hAnsi="Arial" w:cs="Arial"/>
                <w:sz w:val="20"/>
                <w:szCs w:val="20"/>
              </w:rPr>
              <w:t>湖北省自然资源厅</w:t>
            </w:r>
          </w:p>
        </w:tc>
        <w:tc>
          <w:tcPr>
            <w:tcW w:w="1175" w:type="pct"/>
            <w:shd w:val="clear" w:color="auto" w:fill="auto"/>
          </w:tcPr>
          <w:p w14:paraId="392715F9">
            <w:pPr>
              <w:snapToGrid w:val="0"/>
              <w:rPr>
                <w:rFonts w:ascii="Arial" w:hAnsi="Arial" w:cs="Arial"/>
                <w:sz w:val="20"/>
                <w:szCs w:val="20"/>
                <w:lang w:val="en-GB"/>
              </w:rPr>
            </w:pPr>
            <w:r>
              <w:rPr>
                <w:rFonts w:ascii="Arial" w:hAnsi="Arial" w:cs="Arial"/>
                <w:sz w:val="20"/>
                <w:szCs w:val="20"/>
                <w:lang w:val="en-GB"/>
              </w:rPr>
              <w:t>经技术团队与两省讨论确认，本报告与更新后的PAD表述一致</w:t>
            </w:r>
          </w:p>
        </w:tc>
      </w:tr>
      <w:tr w14:paraId="4AD5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1BE4B4D">
            <w:pPr>
              <w:snapToGrid w:val="0"/>
              <w:rPr>
                <w:rFonts w:ascii="Arial" w:hAnsi="Arial" w:cs="Arial"/>
                <w:sz w:val="20"/>
                <w:szCs w:val="20"/>
              </w:rPr>
            </w:pPr>
            <w:r>
              <w:rPr>
                <w:rFonts w:ascii="Arial" w:hAnsi="Arial" w:cs="Arial"/>
                <w:sz w:val="20"/>
                <w:szCs w:val="20"/>
              </w:rPr>
              <w:t>2</w:t>
            </w:r>
          </w:p>
        </w:tc>
        <w:tc>
          <w:tcPr>
            <w:tcW w:w="1325" w:type="pct"/>
            <w:shd w:val="clear" w:color="auto" w:fill="auto"/>
          </w:tcPr>
          <w:p w14:paraId="0C5BA703">
            <w:pPr>
              <w:snapToGrid w:val="0"/>
              <w:rPr>
                <w:rFonts w:ascii="Arial" w:hAnsi="Arial" w:cs="Arial"/>
                <w:sz w:val="20"/>
                <w:szCs w:val="20"/>
              </w:rPr>
            </w:pPr>
            <w:r>
              <w:rPr>
                <w:rFonts w:ascii="Arial" w:hAnsi="Arial" w:cs="Arial"/>
                <w:sz w:val="20"/>
                <w:szCs w:val="20"/>
              </w:rPr>
              <w:t>第2.2节</w:t>
            </w:r>
            <w:r>
              <w:rPr>
                <w:rFonts w:ascii="Arial" w:hAnsi="Arial" w:cs="Arial"/>
                <w:sz w:val="20"/>
                <w:szCs w:val="20"/>
                <w:lang w:val="en-GB"/>
              </w:rPr>
              <w:t>表2</w:t>
            </w:r>
            <w:r>
              <w:rPr>
                <w:rFonts w:hint="eastAsia" w:ascii="Arial" w:hAnsi="Arial" w:cs="Arial"/>
                <w:sz w:val="20"/>
                <w:szCs w:val="20"/>
                <w:lang w:val="en-GB" w:eastAsia="zh-CN"/>
              </w:rPr>
              <w:t>—</w:t>
            </w:r>
            <w:r>
              <w:rPr>
                <w:rFonts w:ascii="Arial" w:hAnsi="Arial" w:cs="Arial"/>
                <w:sz w:val="20"/>
                <w:szCs w:val="20"/>
                <w:lang w:val="en-GB"/>
              </w:rPr>
              <w:t>2：“增加的畜禽粪污处理量”</w:t>
            </w:r>
          </w:p>
        </w:tc>
        <w:tc>
          <w:tcPr>
            <w:tcW w:w="1473" w:type="pct"/>
            <w:shd w:val="clear" w:color="auto" w:fill="auto"/>
          </w:tcPr>
          <w:p w14:paraId="3322CFFE">
            <w:pPr>
              <w:snapToGrid w:val="0"/>
              <w:rPr>
                <w:rFonts w:ascii="Arial" w:hAnsi="Arial" w:cs="Arial"/>
                <w:sz w:val="20"/>
                <w:szCs w:val="20"/>
              </w:rPr>
            </w:pPr>
            <w:r>
              <w:rPr>
                <w:rFonts w:ascii="Arial" w:hAnsi="Arial" w:cs="Arial"/>
                <w:sz w:val="20"/>
                <w:szCs w:val="20"/>
              </w:rPr>
              <w:t>建议修改为“增加的畜禽粪污资源化利用量”</w:t>
            </w:r>
          </w:p>
        </w:tc>
        <w:tc>
          <w:tcPr>
            <w:tcW w:w="735" w:type="pct"/>
            <w:shd w:val="clear" w:color="auto" w:fill="auto"/>
          </w:tcPr>
          <w:p w14:paraId="59921C10">
            <w:pPr>
              <w:snapToGrid w:val="0"/>
              <w:rPr>
                <w:rFonts w:ascii="Arial" w:hAnsi="Arial" w:cs="Arial"/>
                <w:sz w:val="20"/>
                <w:szCs w:val="20"/>
              </w:rPr>
            </w:pPr>
            <w:r>
              <w:rPr>
                <w:rFonts w:ascii="Arial" w:hAnsi="Arial" w:cs="Arial"/>
                <w:sz w:val="20"/>
                <w:szCs w:val="20"/>
              </w:rPr>
              <w:t>湖南省农业农村厅</w:t>
            </w:r>
          </w:p>
        </w:tc>
        <w:tc>
          <w:tcPr>
            <w:tcW w:w="1175" w:type="pct"/>
            <w:shd w:val="clear" w:color="auto" w:fill="auto"/>
          </w:tcPr>
          <w:p w14:paraId="554B7504">
            <w:pPr>
              <w:snapToGrid w:val="0"/>
              <w:rPr>
                <w:rFonts w:ascii="Arial" w:hAnsi="Arial" w:cs="Arial"/>
                <w:sz w:val="20"/>
                <w:szCs w:val="20"/>
                <w:highlight w:val="cyan"/>
                <w:lang w:val="en-GB"/>
              </w:rPr>
            </w:pPr>
            <w:r>
              <w:rPr>
                <w:rFonts w:ascii="Arial" w:hAnsi="Arial" w:cs="Arial"/>
                <w:sz w:val="20"/>
                <w:szCs w:val="20"/>
                <w:lang w:val="en-GB"/>
              </w:rPr>
              <w:t>经技术团队与两省讨论确认，本报告与更新后的PAD表述一致</w:t>
            </w:r>
          </w:p>
        </w:tc>
      </w:tr>
      <w:tr w14:paraId="587F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9811253">
            <w:pPr>
              <w:snapToGrid w:val="0"/>
              <w:rPr>
                <w:rFonts w:ascii="Arial" w:hAnsi="Arial" w:cs="Arial"/>
                <w:sz w:val="20"/>
                <w:szCs w:val="20"/>
              </w:rPr>
            </w:pPr>
            <w:r>
              <w:rPr>
                <w:rFonts w:ascii="Arial" w:hAnsi="Arial" w:cs="Arial"/>
                <w:sz w:val="20"/>
                <w:szCs w:val="20"/>
              </w:rPr>
              <w:t>3</w:t>
            </w:r>
          </w:p>
        </w:tc>
        <w:tc>
          <w:tcPr>
            <w:tcW w:w="1325" w:type="pct"/>
            <w:shd w:val="clear" w:color="auto" w:fill="auto"/>
          </w:tcPr>
          <w:p w14:paraId="17A8F736">
            <w:pPr>
              <w:snapToGrid w:val="0"/>
              <w:rPr>
                <w:rFonts w:ascii="Arial" w:hAnsi="Arial" w:cs="Arial"/>
                <w:sz w:val="20"/>
                <w:szCs w:val="20"/>
                <w:lang w:val="en-GB"/>
              </w:rPr>
            </w:pPr>
            <w:r>
              <w:rPr>
                <w:rFonts w:ascii="Arial" w:hAnsi="Arial" w:cs="Arial"/>
                <w:sz w:val="20"/>
                <w:szCs w:val="20"/>
              </w:rPr>
              <w:t>第2.2节</w:t>
            </w:r>
            <w:r>
              <w:rPr>
                <w:rFonts w:ascii="Arial" w:hAnsi="Arial" w:cs="Arial"/>
                <w:sz w:val="20"/>
                <w:szCs w:val="20"/>
                <w:lang w:val="en-GB"/>
              </w:rPr>
              <w:t>表2</w:t>
            </w:r>
            <w:r>
              <w:rPr>
                <w:rFonts w:hint="eastAsia" w:ascii="Arial" w:hAnsi="Arial" w:cs="Arial"/>
                <w:sz w:val="20"/>
                <w:szCs w:val="20"/>
                <w:lang w:val="en-GB" w:eastAsia="zh-CN"/>
              </w:rPr>
              <w:t>—</w:t>
            </w:r>
            <w:r>
              <w:rPr>
                <w:rFonts w:ascii="Arial" w:hAnsi="Arial" w:cs="Arial"/>
                <w:sz w:val="20"/>
                <w:szCs w:val="20"/>
                <w:lang w:val="en-GB"/>
              </w:rPr>
              <w:t>2：“DLI2.2</w:t>
            </w:r>
            <w:r>
              <w:rPr>
                <w:rFonts w:hint="eastAsia" w:ascii="Arial" w:hAnsi="Arial" w:cs="Arial"/>
                <w:sz w:val="20"/>
                <w:szCs w:val="20"/>
                <w:lang w:val="en-GB" w:eastAsia="zh-CN"/>
              </w:rPr>
              <w:t>—</w:t>
            </w:r>
            <w:r>
              <w:rPr>
                <w:rFonts w:ascii="Arial" w:hAnsi="Arial" w:cs="Arial"/>
                <w:sz w:val="20"/>
                <w:szCs w:val="20"/>
                <w:lang w:val="en-GB"/>
              </w:rPr>
              <w:t>项目县畜禽养殖场已处理和利用的粪污吨数（省级层面）”</w:t>
            </w:r>
          </w:p>
        </w:tc>
        <w:tc>
          <w:tcPr>
            <w:tcW w:w="1473" w:type="pct"/>
            <w:shd w:val="clear" w:color="auto" w:fill="auto"/>
          </w:tcPr>
          <w:p w14:paraId="48208C29">
            <w:pPr>
              <w:snapToGrid w:val="0"/>
              <w:rPr>
                <w:rFonts w:ascii="Arial" w:hAnsi="Arial" w:cs="Arial"/>
                <w:sz w:val="20"/>
                <w:szCs w:val="20"/>
              </w:rPr>
            </w:pPr>
            <w:r>
              <w:rPr>
                <w:rFonts w:ascii="Arial" w:hAnsi="Arial" w:cs="Arial"/>
                <w:sz w:val="20"/>
                <w:szCs w:val="20"/>
                <w:lang w:val="en-GB"/>
              </w:rPr>
              <w:t>建议修改为“DLI2.2</w:t>
            </w:r>
            <w:r>
              <w:rPr>
                <w:rFonts w:hint="eastAsia" w:ascii="Arial" w:hAnsi="Arial" w:cs="Arial"/>
                <w:sz w:val="20"/>
                <w:szCs w:val="20"/>
                <w:lang w:val="en-GB" w:eastAsia="zh-CN"/>
              </w:rPr>
              <w:t>—</w:t>
            </w:r>
            <w:r>
              <w:rPr>
                <w:rFonts w:ascii="Arial" w:hAnsi="Arial" w:cs="Arial"/>
                <w:sz w:val="20"/>
                <w:szCs w:val="20"/>
                <w:lang w:val="en-GB"/>
              </w:rPr>
              <w:t>项目县畜禽养殖场经处理并资源化利用的粪污吨数</w:t>
            </w:r>
            <w:r>
              <w:rPr>
                <w:rFonts w:hint="eastAsia" w:ascii="Arial" w:hAnsi="Arial" w:cs="Arial"/>
                <w:sz w:val="20"/>
                <w:szCs w:val="20"/>
                <w:lang w:val="en-GB" w:eastAsia="zh-CN"/>
              </w:rPr>
              <w:t>（</w:t>
            </w:r>
            <w:r>
              <w:rPr>
                <w:rFonts w:ascii="Arial" w:hAnsi="Arial" w:cs="Arial"/>
                <w:sz w:val="20"/>
                <w:szCs w:val="20"/>
                <w:lang w:val="en-GB"/>
              </w:rPr>
              <w:t>省级层面</w:t>
            </w:r>
            <w:r>
              <w:rPr>
                <w:rFonts w:hint="eastAsia" w:ascii="Arial" w:hAnsi="Arial" w:cs="Arial"/>
                <w:sz w:val="20"/>
                <w:szCs w:val="20"/>
                <w:lang w:val="en-GB" w:eastAsia="zh-CN"/>
              </w:rPr>
              <w:t>）</w:t>
            </w:r>
            <w:r>
              <w:rPr>
                <w:rFonts w:ascii="Arial" w:hAnsi="Arial" w:cs="Arial"/>
                <w:sz w:val="20"/>
                <w:szCs w:val="20"/>
                <w:lang w:val="en-GB"/>
              </w:rPr>
              <w:t>”</w:t>
            </w:r>
          </w:p>
        </w:tc>
        <w:tc>
          <w:tcPr>
            <w:tcW w:w="735" w:type="pct"/>
            <w:shd w:val="clear" w:color="auto" w:fill="auto"/>
          </w:tcPr>
          <w:p w14:paraId="23ADEDEB">
            <w:pPr>
              <w:snapToGrid w:val="0"/>
              <w:rPr>
                <w:rFonts w:ascii="Arial" w:hAnsi="Arial" w:cs="Arial"/>
                <w:sz w:val="20"/>
                <w:szCs w:val="20"/>
              </w:rPr>
            </w:pPr>
            <w:r>
              <w:rPr>
                <w:rFonts w:ascii="Arial" w:hAnsi="Arial" w:cs="Arial"/>
                <w:sz w:val="20"/>
                <w:szCs w:val="20"/>
              </w:rPr>
              <w:t>湖南省农业农村厅</w:t>
            </w:r>
          </w:p>
        </w:tc>
        <w:tc>
          <w:tcPr>
            <w:tcW w:w="1175" w:type="pct"/>
            <w:shd w:val="clear" w:color="auto" w:fill="auto"/>
          </w:tcPr>
          <w:p w14:paraId="628D0EDC">
            <w:pPr>
              <w:snapToGrid w:val="0"/>
              <w:rPr>
                <w:rFonts w:ascii="Arial" w:hAnsi="Arial" w:cs="Arial"/>
                <w:sz w:val="20"/>
                <w:szCs w:val="20"/>
                <w:lang w:val="en-GB"/>
              </w:rPr>
            </w:pPr>
            <w:r>
              <w:rPr>
                <w:rFonts w:ascii="Arial" w:hAnsi="Arial" w:cs="Arial"/>
                <w:sz w:val="20"/>
                <w:szCs w:val="20"/>
                <w:lang w:val="en-GB"/>
              </w:rPr>
              <w:t>经技术团队与两省讨论确认，本报告与更新后的PAD表述一致</w:t>
            </w:r>
          </w:p>
        </w:tc>
      </w:tr>
      <w:tr w14:paraId="3B31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0B9952E">
            <w:pPr>
              <w:snapToGrid w:val="0"/>
              <w:rPr>
                <w:rFonts w:ascii="Arial" w:hAnsi="Arial" w:cs="Arial"/>
                <w:sz w:val="20"/>
                <w:szCs w:val="20"/>
              </w:rPr>
            </w:pPr>
            <w:r>
              <w:rPr>
                <w:rFonts w:ascii="Arial" w:hAnsi="Arial" w:cs="Arial"/>
                <w:sz w:val="20"/>
                <w:szCs w:val="20"/>
              </w:rPr>
              <w:t>4</w:t>
            </w:r>
          </w:p>
        </w:tc>
        <w:tc>
          <w:tcPr>
            <w:tcW w:w="1325" w:type="pct"/>
            <w:shd w:val="clear" w:color="auto" w:fill="auto"/>
          </w:tcPr>
          <w:p w14:paraId="2A9CE4A6">
            <w:pPr>
              <w:snapToGrid w:val="0"/>
              <w:rPr>
                <w:rFonts w:ascii="Arial" w:hAnsi="Arial" w:cs="Arial"/>
                <w:sz w:val="20"/>
                <w:szCs w:val="20"/>
              </w:rPr>
            </w:pPr>
            <w:r>
              <w:rPr>
                <w:rFonts w:ascii="Arial" w:hAnsi="Arial" w:cs="Arial"/>
                <w:sz w:val="20"/>
                <w:szCs w:val="20"/>
              </w:rPr>
              <w:t>附件1：政府湖北省政府规划活动中关于农药与病虫害、农膜、外来入侵物种等方面的描述</w:t>
            </w:r>
          </w:p>
        </w:tc>
        <w:tc>
          <w:tcPr>
            <w:tcW w:w="1473" w:type="pct"/>
            <w:shd w:val="clear" w:color="auto" w:fill="auto"/>
          </w:tcPr>
          <w:p w14:paraId="5FFC6D19">
            <w:pPr>
              <w:snapToGrid w:val="0"/>
              <w:rPr>
                <w:rFonts w:ascii="Arial" w:hAnsi="Arial" w:cs="Arial"/>
                <w:sz w:val="20"/>
                <w:szCs w:val="20"/>
              </w:rPr>
            </w:pPr>
            <w:r>
              <w:rPr>
                <w:rFonts w:ascii="Arial" w:hAnsi="Arial" w:cs="Arial"/>
                <w:sz w:val="20"/>
                <w:szCs w:val="20"/>
              </w:rPr>
              <w:t>建议将其中部分描述进行修改</w:t>
            </w:r>
          </w:p>
        </w:tc>
        <w:tc>
          <w:tcPr>
            <w:tcW w:w="735" w:type="pct"/>
            <w:shd w:val="clear" w:color="auto" w:fill="auto"/>
          </w:tcPr>
          <w:p w14:paraId="71F24C25">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77600F24">
            <w:pPr>
              <w:snapToGrid w:val="0"/>
              <w:rPr>
                <w:rFonts w:ascii="Arial" w:hAnsi="Arial" w:cs="Arial"/>
                <w:sz w:val="20"/>
                <w:szCs w:val="20"/>
                <w:highlight w:val="cyan"/>
                <w:lang w:val="en-GB"/>
              </w:rPr>
            </w:pPr>
            <w:r>
              <w:rPr>
                <w:rFonts w:ascii="Arial" w:hAnsi="Arial" w:cs="Arial"/>
                <w:sz w:val="20"/>
                <w:szCs w:val="20"/>
              </w:rPr>
              <w:t>不作修改。相关描述援引《湖北省推进农业农村现代化“十四五”规划》的内容</w:t>
            </w:r>
          </w:p>
        </w:tc>
      </w:tr>
      <w:tr w14:paraId="7C8E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7EC23C40">
            <w:pPr>
              <w:snapToGrid w:val="0"/>
              <w:rPr>
                <w:rFonts w:ascii="Arial" w:hAnsi="Arial" w:cs="Arial"/>
                <w:b/>
                <w:bCs/>
                <w:sz w:val="20"/>
                <w:szCs w:val="20"/>
              </w:rPr>
            </w:pPr>
            <w:r>
              <w:rPr>
                <w:rFonts w:ascii="Arial" w:hAnsi="Arial" w:cs="Arial"/>
                <w:b/>
                <w:bCs/>
                <w:sz w:val="20"/>
                <w:szCs w:val="20"/>
              </w:rPr>
              <w:t>关于环境与社会风险</w:t>
            </w:r>
          </w:p>
        </w:tc>
      </w:tr>
      <w:tr w14:paraId="5479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BBB5FC8">
            <w:pPr>
              <w:snapToGrid w:val="0"/>
              <w:rPr>
                <w:rFonts w:ascii="Arial" w:hAnsi="Arial" w:cs="Arial"/>
                <w:sz w:val="20"/>
                <w:szCs w:val="20"/>
              </w:rPr>
            </w:pPr>
            <w:r>
              <w:rPr>
                <w:rFonts w:ascii="Arial" w:hAnsi="Arial" w:cs="Arial"/>
                <w:sz w:val="20"/>
                <w:szCs w:val="20"/>
              </w:rPr>
              <w:t>5</w:t>
            </w:r>
          </w:p>
        </w:tc>
        <w:tc>
          <w:tcPr>
            <w:tcW w:w="1325" w:type="pct"/>
            <w:shd w:val="clear" w:color="auto" w:fill="auto"/>
          </w:tcPr>
          <w:p w14:paraId="5E566E5F">
            <w:pPr>
              <w:snapToGrid w:val="0"/>
              <w:rPr>
                <w:rFonts w:ascii="Arial" w:hAnsi="Arial" w:cs="Arial"/>
                <w:sz w:val="20"/>
                <w:szCs w:val="20"/>
              </w:rPr>
            </w:pPr>
            <w:r>
              <w:rPr>
                <w:rFonts w:ascii="Arial" w:hAnsi="Arial" w:cs="Arial"/>
                <w:sz w:val="20"/>
                <w:szCs w:val="20"/>
              </w:rPr>
              <w:t>第3.5</w:t>
            </w:r>
            <w:r>
              <w:rPr>
                <w:rFonts w:ascii="Arial" w:hAnsi="Arial" w:cs="Arial"/>
                <w:sz w:val="20"/>
                <w:szCs w:val="20"/>
                <w:lang w:val="en-GB"/>
              </w:rPr>
              <w:t>节</w:t>
            </w:r>
            <w:r>
              <w:rPr>
                <w:rFonts w:ascii="Arial" w:hAnsi="Arial" w:cs="Arial"/>
                <w:sz w:val="20"/>
                <w:szCs w:val="20"/>
              </w:rPr>
              <w:t>：本项目总体的环境与社会风险等级为“较高”</w:t>
            </w:r>
          </w:p>
        </w:tc>
        <w:tc>
          <w:tcPr>
            <w:tcW w:w="1473" w:type="pct"/>
            <w:shd w:val="clear" w:color="auto" w:fill="auto"/>
          </w:tcPr>
          <w:p w14:paraId="34D50FF3">
            <w:pPr>
              <w:snapToGrid w:val="0"/>
              <w:rPr>
                <w:rFonts w:ascii="Arial" w:hAnsi="Arial" w:cs="Arial"/>
                <w:sz w:val="20"/>
                <w:szCs w:val="20"/>
              </w:rPr>
            </w:pPr>
            <w:r>
              <w:rPr>
                <w:rFonts w:ascii="Arial" w:hAnsi="Arial" w:cs="Arial"/>
                <w:sz w:val="20"/>
                <w:szCs w:val="20"/>
              </w:rPr>
              <w:t>评级过高，建议重新评级</w:t>
            </w:r>
          </w:p>
        </w:tc>
        <w:tc>
          <w:tcPr>
            <w:tcW w:w="735" w:type="pct"/>
            <w:shd w:val="clear" w:color="auto" w:fill="auto"/>
          </w:tcPr>
          <w:p w14:paraId="6CD1A428">
            <w:pPr>
              <w:snapToGrid w:val="0"/>
              <w:rPr>
                <w:rFonts w:ascii="Arial" w:hAnsi="Arial" w:cs="Arial"/>
                <w:sz w:val="20"/>
                <w:szCs w:val="20"/>
              </w:rPr>
            </w:pPr>
            <w:r>
              <w:rPr>
                <w:rFonts w:ascii="Arial" w:hAnsi="Arial" w:cs="Arial"/>
                <w:sz w:val="20"/>
                <w:szCs w:val="20"/>
              </w:rPr>
              <w:t>湖北省住房和城乡建设厅、湖北省生态环境厅</w:t>
            </w:r>
          </w:p>
        </w:tc>
        <w:tc>
          <w:tcPr>
            <w:tcW w:w="1175" w:type="pct"/>
            <w:shd w:val="clear" w:color="auto" w:fill="auto"/>
          </w:tcPr>
          <w:p w14:paraId="41938C4A">
            <w:pPr>
              <w:snapToGrid w:val="0"/>
              <w:rPr>
                <w:rFonts w:ascii="Arial" w:hAnsi="Arial" w:cs="Arial"/>
                <w:sz w:val="20"/>
                <w:szCs w:val="20"/>
                <w:lang w:val="en-GB"/>
              </w:rPr>
            </w:pPr>
            <w:r>
              <w:rPr>
                <w:rFonts w:ascii="Arial" w:hAnsi="Arial" w:cs="Arial"/>
                <w:sz w:val="20"/>
                <w:szCs w:val="20"/>
                <w:lang w:val="en-GB"/>
              </w:rPr>
              <w:t>本项目地理范围广、活动类型多，涉及多种不利环境与社会影响，总体风险按世行4项标准评定，将最终与RSA意见一致</w:t>
            </w:r>
          </w:p>
        </w:tc>
      </w:tr>
      <w:tr w14:paraId="5FB0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0A6DBC1">
            <w:pPr>
              <w:snapToGrid w:val="0"/>
              <w:rPr>
                <w:rFonts w:ascii="Arial" w:hAnsi="Arial" w:cs="Arial"/>
                <w:sz w:val="20"/>
                <w:szCs w:val="20"/>
              </w:rPr>
            </w:pPr>
            <w:r>
              <w:rPr>
                <w:rFonts w:ascii="Arial" w:hAnsi="Arial" w:cs="Arial"/>
                <w:sz w:val="20"/>
                <w:szCs w:val="20"/>
              </w:rPr>
              <w:t>6</w:t>
            </w:r>
          </w:p>
        </w:tc>
        <w:tc>
          <w:tcPr>
            <w:tcW w:w="1325" w:type="pct"/>
            <w:shd w:val="clear" w:color="auto" w:fill="auto"/>
          </w:tcPr>
          <w:p w14:paraId="7C4971B9">
            <w:pPr>
              <w:snapToGrid w:val="0"/>
              <w:rPr>
                <w:rFonts w:ascii="Arial" w:hAnsi="Arial" w:cs="Arial"/>
                <w:sz w:val="20"/>
                <w:szCs w:val="20"/>
              </w:rPr>
            </w:pPr>
            <w:r>
              <w:rPr>
                <w:rFonts w:ascii="Arial" w:hAnsi="Arial" w:cs="Arial"/>
                <w:sz w:val="20"/>
                <w:szCs w:val="20"/>
              </w:rPr>
              <w:t>第3.1节：关于“排除原则”条款</w:t>
            </w:r>
          </w:p>
        </w:tc>
        <w:tc>
          <w:tcPr>
            <w:tcW w:w="1473" w:type="pct"/>
            <w:shd w:val="clear" w:color="auto" w:fill="auto"/>
          </w:tcPr>
          <w:p w14:paraId="289CB4A7">
            <w:pPr>
              <w:snapToGrid w:val="0"/>
              <w:rPr>
                <w:rFonts w:ascii="Arial" w:hAnsi="Arial" w:cs="Arial"/>
                <w:sz w:val="20"/>
                <w:szCs w:val="20"/>
              </w:rPr>
            </w:pPr>
            <w:r>
              <w:rPr>
                <w:rFonts w:ascii="Arial" w:hAnsi="Arial" w:cs="Arial"/>
                <w:sz w:val="20"/>
                <w:szCs w:val="20"/>
              </w:rPr>
              <w:t>建议加一条：影响男女平等基本国策实施，导致妇女群体权益受损</w:t>
            </w:r>
          </w:p>
        </w:tc>
        <w:tc>
          <w:tcPr>
            <w:tcW w:w="735" w:type="pct"/>
            <w:shd w:val="clear" w:color="auto" w:fill="auto"/>
          </w:tcPr>
          <w:p w14:paraId="1ECB3A9E">
            <w:pPr>
              <w:snapToGrid w:val="0"/>
              <w:rPr>
                <w:rFonts w:ascii="Arial" w:hAnsi="Arial" w:cs="Arial"/>
                <w:sz w:val="20"/>
                <w:szCs w:val="20"/>
              </w:rPr>
            </w:pPr>
            <w:r>
              <w:rPr>
                <w:rFonts w:ascii="Arial" w:hAnsi="Arial" w:cs="Arial"/>
                <w:sz w:val="20"/>
                <w:szCs w:val="20"/>
              </w:rPr>
              <w:t>湖南省妇联</w:t>
            </w:r>
          </w:p>
        </w:tc>
        <w:tc>
          <w:tcPr>
            <w:tcW w:w="1175" w:type="pct"/>
            <w:shd w:val="clear" w:color="auto" w:fill="auto"/>
          </w:tcPr>
          <w:p w14:paraId="759491F7">
            <w:pPr>
              <w:snapToGrid w:val="0"/>
              <w:rPr>
                <w:rFonts w:ascii="Arial" w:hAnsi="Arial" w:cs="Arial"/>
                <w:sz w:val="20"/>
                <w:szCs w:val="20"/>
                <w:highlight w:val="cyan"/>
                <w:lang w:val="en-GB"/>
              </w:rPr>
            </w:pPr>
            <w:r>
              <w:rPr>
                <w:rFonts w:ascii="Arial" w:hAnsi="Arial" w:cs="Arial"/>
                <w:sz w:val="20"/>
                <w:szCs w:val="20"/>
                <w:lang w:val="en-GB"/>
              </w:rPr>
              <w:t>不作修改。此处“排除原则”为世行《结果导向型规划贷款政策》中的要求</w:t>
            </w:r>
          </w:p>
        </w:tc>
      </w:tr>
      <w:tr w14:paraId="232B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1977C774">
            <w:pPr>
              <w:snapToGrid w:val="0"/>
              <w:rPr>
                <w:rFonts w:ascii="Arial" w:hAnsi="Arial" w:cs="Arial"/>
                <w:b/>
                <w:bCs/>
                <w:sz w:val="20"/>
                <w:szCs w:val="20"/>
              </w:rPr>
            </w:pPr>
            <w:r>
              <w:rPr>
                <w:rFonts w:ascii="Arial" w:hAnsi="Arial" w:cs="Arial"/>
                <w:b/>
                <w:bCs/>
                <w:sz w:val="20"/>
                <w:szCs w:val="20"/>
              </w:rPr>
              <w:t>关于政策文件的时效性和全面性</w:t>
            </w:r>
          </w:p>
        </w:tc>
      </w:tr>
      <w:tr w14:paraId="1FCF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1C1C399">
            <w:pPr>
              <w:snapToGrid w:val="0"/>
              <w:rPr>
                <w:rFonts w:ascii="Arial" w:hAnsi="Arial" w:cs="Arial"/>
                <w:sz w:val="20"/>
                <w:szCs w:val="20"/>
              </w:rPr>
            </w:pPr>
            <w:r>
              <w:rPr>
                <w:rFonts w:ascii="Arial" w:hAnsi="Arial" w:cs="Arial"/>
                <w:sz w:val="20"/>
                <w:szCs w:val="20"/>
              </w:rPr>
              <w:t>7</w:t>
            </w:r>
          </w:p>
        </w:tc>
        <w:tc>
          <w:tcPr>
            <w:tcW w:w="1325" w:type="pct"/>
            <w:shd w:val="clear" w:color="auto" w:fill="auto"/>
          </w:tcPr>
          <w:p w14:paraId="117994C2">
            <w:pPr>
              <w:snapToGrid w:val="0"/>
              <w:rPr>
                <w:rFonts w:ascii="Arial" w:hAnsi="Arial" w:cs="Arial"/>
                <w:sz w:val="20"/>
                <w:szCs w:val="20"/>
                <w:lang w:val="en-GB"/>
              </w:rPr>
            </w:pPr>
            <w:r>
              <w:rPr>
                <w:rFonts w:ascii="Arial" w:hAnsi="Arial" w:cs="Arial"/>
                <w:sz w:val="20"/>
                <w:szCs w:val="20"/>
              </w:rPr>
              <w:t>第4</w:t>
            </w:r>
            <w:r>
              <w:rPr>
                <w:rFonts w:ascii="Arial" w:hAnsi="Arial" w:cs="Arial"/>
                <w:sz w:val="20"/>
                <w:szCs w:val="20"/>
                <w:lang w:val="en-GB"/>
              </w:rPr>
              <w:t>.3节</w:t>
            </w:r>
            <w:r>
              <w:rPr>
                <w:rFonts w:ascii="Arial" w:hAnsi="Arial" w:cs="Arial"/>
                <w:sz w:val="20"/>
                <w:szCs w:val="20"/>
              </w:rPr>
              <w:t>表4</w:t>
            </w:r>
            <w:r>
              <w:rPr>
                <w:rFonts w:hint="eastAsia" w:ascii="Arial" w:hAnsi="Arial" w:cs="Arial"/>
                <w:sz w:val="20"/>
                <w:szCs w:val="20"/>
                <w:lang w:eastAsia="zh-CN"/>
              </w:rPr>
              <w:t>—</w:t>
            </w:r>
            <w:r>
              <w:rPr>
                <w:rFonts w:ascii="Arial" w:hAnsi="Arial" w:cs="Arial"/>
                <w:sz w:val="20"/>
                <w:szCs w:val="20"/>
              </w:rPr>
              <w:t>4</w:t>
            </w:r>
            <w:r>
              <w:rPr>
                <w:rFonts w:hint="eastAsia" w:ascii="Arial" w:hAnsi="Arial" w:cs="Arial"/>
                <w:sz w:val="20"/>
                <w:szCs w:val="20"/>
                <w:lang w:eastAsia="zh-CN"/>
              </w:rPr>
              <w:t>：</w:t>
            </w:r>
            <w:r>
              <w:rPr>
                <w:rFonts w:ascii="Arial" w:hAnsi="Arial" w:cs="Arial"/>
                <w:sz w:val="20"/>
                <w:szCs w:val="20"/>
              </w:rPr>
              <w:t>《湖北省水污染防治条例》</w:t>
            </w:r>
            <w:r>
              <w:rPr>
                <w:rFonts w:hint="eastAsia" w:ascii="Arial" w:hAnsi="Arial" w:cs="Arial"/>
                <w:sz w:val="20"/>
                <w:szCs w:val="20"/>
                <w:lang w:eastAsia="zh-CN"/>
              </w:rPr>
              <w:t>（</w:t>
            </w:r>
            <w:r>
              <w:rPr>
                <w:rFonts w:ascii="Arial" w:hAnsi="Arial" w:cs="Arial"/>
                <w:sz w:val="20"/>
                <w:szCs w:val="20"/>
              </w:rPr>
              <w:t>2019年</w:t>
            </w:r>
            <w:r>
              <w:rPr>
                <w:rFonts w:hint="eastAsia" w:ascii="Arial" w:hAnsi="Arial" w:cs="Arial"/>
                <w:sz w:val="20"/>
                <w:szCs w:val="20"/>
                <w:lang w:eastAsia="zh-CN"/>
              </w:rPr>
              <w:t>）</w:t>
            </w:r>
            <w:r>
              <w:rPr>
                <w:rFonts w:ascii="Arial" w:hAnsi="Arial" w:cs="Arial"/>
                <w:sz w:val="20"/>
                <w:szCs w:val="20"/>
              </w:rPr>
              <w:t xml:space="preserve"> 的时效性</w:t>
            </w:r>
          </w:p>
        </w:tc>
        <w:tc>
          <w:tcPr>
            <w:tcW w:w="1473" w:type="pct"/>
            <w:shd w:val="clear" w:color="auto" w:fill="auto"/>
          </w:tcPr>
          <w:p w14:paraId="004C9798">
            <w:pPr>
              <w:snapToGrid w:val="0"/>
              <w:rPr>
                <w:rFonts w:hint="eastAsia" w:ascii="Arial" w:hAnsi="Arial" w:eastAsia="宋体" w:cs="Arial"/>
                <w:sz w:val="20"/>
                <w:szCs w:val="20"/>
                <w:lang w:eastAsia="zh-CN"/>
              </w:rPr>
            </w:pPr>
            <w:r>
              <w:rPr>
                <w:rFonts w:ascii="Arial" w:hAnsi="Arial" w:cs="Arial"/>
                <w:sz w:val="20"/>
                <w:szCs w:val="20"/>
              </w:rPr>
              <w:t>修改为《湖北省水污染防治条例》</w:t>
            </w:r>
            <w:r>
              <w:rPr>
                <w:rFonts w:hint="eastAsia" w:ascii="Arial" w:hAnsi="Arial" w:cs="Arial"/>
                <w:sz w:val="20"/>
                <w:szCs w:val="20"/>
                <w:lang w:eastAsia="zh-CN"/>
              </w:rPr>
              <w:t>（</w:t>
            </w:r>
            <w:r>
              <w:rPr>
                <w:rFonts w:ascii="Arial" w:hAnsi="Arial" w:cs="Arial"/>
                <w:sz w:val="20"/>
                <w:szCs w:val="20"/>
              </w:rPr>
              <w:t>2022年</w:t>
            </w:r>
            <w:r>
              <w:rPr>
                <w:rFonts w:hint="eastAsia" w:ascii="Arial" w:hAnsi="Arial" w:cs="Arial"/>
                <w:sz w:val="20"/>
                <w:szCs w:val="20"/>
                <w:lang w:eastAsia="zh-CN"/>
              </w:rPr>
              <w:t>）</w:t>
            </w:r>
          </w:p>
        </w:tc>
        <w:tc>
          <w:tcPr>
            <w:tcW w:w="735" w:type="pct"/>
            <w:shd w:val="clear" w:color="auto" w:fill="auto"/>
          </w:tcPr>
          <w:p w14:paraId="15604FC7">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2AE1498E">
            <w:pPr>
              <w:snapToGrid w:val="0"/>
              <w:rPr>
                <w:rFonts w:ascii="Arial" w:hAnsi="Arial" w:cs="Arial"/>
                <w:sz w:val="20"/>
                <w:szCs w:val="20"/>
              </w:rPr>
            </w:pPr>
            <w:r>
              <w:rPr>
                <w:rFonts w:ascii="Arial" w:hAnsi="Arial" w:cs="Arial"/>
                <w:sz w:val="20"/>
                <w:szCs w:val="20"/>
              </w:rPr>
              <w:t>已按要求更新</w:t>
            </w:r>
          </w:p>
        </w:tc>
      </w:tr>
      <w:tr w14:paraId="0256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B526746">
            <w:pPr>
              <w:snapToGrid w:val="0"/>
              <w:rPr>
                <w:rFonts w:ascii="Arial" w:hAnsi="Arial" w:cs="Arial"/>
                <w:sz w:val="20"/>
                <w:szCs w:val="20"/>
                <w:lang w:val="en-GB"/>
              </w:rPr>
            </w:pPr>
            <w:r>
              <w:rPr>
                <w:rFonts w:ascii="Arial" w:hAnsi="Arial" w:cs="Arial"/>
                <w:sz w:val="20"/>
                <w:szCs w:val="20"/>
              </w:rPr>
              <w:t>8</w:t>
            </w:r>
          </w:p>
        </w:tc>
        <w:tc>
          <w:tcPr>
            <w:tcW w:w="1325" w:type="pct"/>
            <w:shd w:val="clear" w:color="auto" w:fill="auto"/>
          </w:tcPr>
          <w:p w14:paraId="2350F55F">
            <w:pPr>
              <w:snapToGrid w:val="0"/>
              <w:rPr>
                <w:rFonts w:ascii="Arial" w:hAnsi="Arial" w:cs="Arial"/>
                <w:sz w:val="20"/>
                <w:szCs w:val="20"/>
              </w:rPr>
            </w:pPr>
            <w:r>
              <w:rPr>
                <w:rFonts w:ascii="Arial" w:hAnsi="Arial" w:cs="Arial"/>
                <w:sz w:val="20"/>
                <w:szCs w:val="20"/>
              </w:rPr>
              <w:t>第4</w:t>
            </w:r>
            <w:r>
              <w:rPr>
                <w:rFonts w:ascii="Arial" w:hAnsi="Arial" w:cs="Arial"/>
                <w:sz w:val="20"/>
                <w:szCs w:val="20"/>
                <w:lang w:val="en-GB"/>
              </w:rPr>
              <w:t>.3节</w:t>
            </w:r>
            <w:r>
              <w:rPr>
                <w:rFonts w:ascii="Arial" w:hAnsi="Arial" w:cs="Arial"/>
                <w:sz w:val="20"/>
                <w:szCs w:val="20"/>
              </w:rPr>
              <w:t>表4</w:t>
            </w:r>
            <w:r>
              <w:rPr>
                <w:rFonts w:hint="eastAsia" w:ascii="Arial" w:hAnsi="Arial" w:cs="Arial"/>
                <w:sz w:val="20"/>
                <w:szCs w:val="20"/>
                <w:lang w:eastAsia="zh-CN"/>
              </w:rPr>
              <w:t>—</w:t>
            </w:r>
            <w:r>
              <w:rPr>
                <w:rFonts w:ascii="Arial" w:hAnsi="Arial" w:cs="Arial"/>
                <w:sz w:val="20"/>
                <w:szCs w:val="20"/>
              </w:rPr>
              <w:t>4</w:t>
            </w:r>
            <w:r>
              <w:rPr>
                <w:rFonts w:hint="eastAsia" w:ascii="Arial" w:hAnsi="Arial" w:cs="Arial"/>
                <w:sz w:val="20"/>
                <w:szCs w:val="20"/>
                <w:lang w:eastAsia="zh-CN"/>
              </w:rPr>
              <w:t>：</w:t>
            </w:r>
            <w:r>
              <w:rPr>
                <w:rFonts w:ascii="Arial" w:hAnsi="Arial" w:cs="Arial"/>
                <w:sz w:val="20"/>
                <w:szCs w:val="20"/>
              </w:rPr>
              <w:t>《湖北省土壤污染防治条例》</w:t>
            </w:r>
            <w:r>
              <w:rPr>
                <w:rFonts w:hint="eastAsia" w:ascii="Arial" w:hAnsi="Arial" w:cs="Arial"/>
                <w:sz w:val="20"/>
                <w:szCs w:val="20"/>
                <w:lang w:eastAsia="zh-CN"/>
              </w:rPr>
              <w:t>（</w:t>
            </w:r>
            <w:r>
              <w:rPr>
                <w:rFonts w:ascii="Arial" w:hAnsi="Arial" w:cs="Arial"/>
                <w:sz w:val="20"/>
                <w:szCs w:val="20"/>
              </w:rPr>
              <w:t>2016年</w:t>
            </w:r>
            <w:r>
              <w:rPr>
                <w:rFonts w:hint="eastAsia" w:ascii="Arial" w:hAnsi="Arial" w:cs="Arial"/>
                <w:sz w:val="20"/>
                <w:szCs w:val="20"/>
                <w:lang w:eastAsia="zh-CN"/>
              </w:rPr>
              <w:t>）</w:t>
            </w:r>
            <w:r>
              <w:rPr>
                <w:rFonts w:ascii="Arial" w:hAnsi="Arial" w:cs="Arial"/>
                <w:sz w:val="20"/>
                <w:szCs w:val="20"/>
              </w:rPr>
              <w:t xml:space="preserve"> 的时效性</w:t>
            </w:r>
          </w:p>
        </w:tc>
        <w:tc>
          <w:tcPr>
            <w:tcW w:w="1473" w:type="pct"/>
            <w:shd w:val="clear" w:color="auto" w:fill="auto"/>
          </w:tcPr>
          <w:p w14:paraId="73E20A9C">
            <w:pPr>
              <w:snapToGrid w:val="0"/>
              <w:rPr>
                <w:rFonts w:hint="eastAsia" w:ascii="Arial" w:hAnsi="Arial" w:eastAsia="宋体" w:cs="Arial"/>
                <w:sz w:val="20"/>
                <w:szCs w:val="20"/>
                <w:lang w:eastAsia="zh-CN"/>
              </w:rPr>
            </w:pPr>
            <w:r>
              <w:rPr>
                <w:rFonts w:ascii="Arial" w:hAnsi="Arial" w:cs="Arial"/>
                <w:sz w:val="20"/>
                <w:szCs w:val="20"/>
              </w:rPr>
              <w:t>修改为《湖北省土壤污染防治条例》</w:t>
            </w:r>
            <w:r>
              <w:rPr>
                <w:rFonts w:hint="eastAsia" w:ascii="Arial" w:hAnsi="Arial" w:cs="Arial"/>
                <w:sz w:val="20"/>
                <w:szCs w:val="20"/>
                <w:lang w:eastAsia="zh-CN"/>
              </w:rPr>
              <w:t>（</w:t>
            </w:r>
            <w:r>
              <w:rPr>
                <w:rFonts w:ascii="Arial" w:hAnsi="Arial" w:cs="Arial"/>
                <w:sz w:val="20"/>
                <w:szCs w:val="20"/>
              </w:rPr>
              <w:t>2019年</w:t>
            </w:r>
            <w:r>
              <w:rPr>
                <w:rFonts w:hint="eastAsia" w:ascii="Arial" w:hAnsi="Arial" w:cs="Arial"/>
                <w:sz w:val="20"/>
                <w:szCs w:val="20"/>
                <w:lang w:eastAsia="zh-CN"/>
              </w:rPr>
              <w:t>）</w:t>
            </w:r>
          </w:p>
        </w:tc>
        <w:tc>
          <w:tcPr>
            <w:tcW w:w="735" w:type="pct"/>
            <w:shd w:val="clear" w:color="auto" w:fill="auto"/>
          </w:tcPr>
          <w:p w14:paraId="41BDFF5A">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30FA0320">
            <w:pPr>
              <w:snapToGrid w:val="0"/>
              <w:rPr>
                <w:rFonts w:ascii="Arial" w:hAnsi="Arial" w:cs="Arial"/>
                <w:sz w:val="20"/>
                <w:szCs w:val="20"/>
              </w:rPr>
            </w:pPr>
            <w:r>
              <w:rPr>
                <w:rFonts w:ascii="Arial" w:hAnsi="Arial" w:cs="Arial"/>
                <w:sz w:val="20"/>
                <w:szCs w:val="20"/>
              </w:rPr>
              <w:t>已按要求更新</w:t>
            </w:r>
          </w:p>
        </w:tc>
      </w:tr>
      <w:tr w14:paraId="344D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4BF9072">
            <w:pPr>
              <w:snapToGrid w:val="0"/>
              <w:rPr>
                <w:rFonts w:ascii="Arial" w:hAnsi="Arial" w:cs="Arial"/>
                <w:sz w:val="20"/>
                <w:szCs w:val="20"/>
              </w:rPr>
            </w:pPr>
            <w:r>
              <w:rPr>
                <w:rFonts w:ascii="Arial" w:hAnsi="Arial" w:cs="Arial"/>
                <w:sz w:val="20"/>
                <w:szCs w:val="20"/>
              </w:rPr>
              <w:t>9</w:t>
            </w:r>
          </w:p>
        </w:tc>
        <w:tc>
          <w:tcPr>
            <w:tcW w:w="1325" w:type="pct"/>
            <w:shd w:val="clear" w:color="auto" w:fill="auto"/>
          </w:tcPr>
          <w:p w14:paraId="54153D3B">
            <w:pPr>
              <w:snapToGrid w:val="0"/>
              <w:rPr>
                <w:rFonts w:ascii="Arial" w:hAnsi="Arial" w:cs="Arial"/>
                <w:sz w:val="20"/>
                <w:szCs w:val="20"/>
              </w:rPr>
            </w:pPr>
            <w:r>
              <w:rPr>
                <w:rFonts w:ascii="Arial" w:hAnsi="Arial" w:cs="Arial"/>
                <w:sz w:val="20"/>
                <w:szCs w:val="20"/>
              </w:rPr>
              <w:t>第4.3.2节</w:t>
            </w:r>
            <w:r>
              <w:rPr>
                <w:rFonts w:hint="eastAsia" w:ascii="Arial" w:hAnsi="Arial" w:cs="Arial"/>
                <w:sz w:val="20"/>
                <w:szCs w:val="20"/>
                <w:lang w:eastAsia="zh-CN"/>
              </w:rPr>
              <w:t>：</w:t>
            </w:r>
            <w:r>
              <w:rPr>
                <w:rFonts w:ascii="Arial" w:hAnsi="Arial" w:cs="Arial"/>
                <w:sz w:val="20"/>
                <w:szCs w:val="20"/>
              </w:rPr>
              <w:t>《农药管理条例》</w:t>
            </w:r>
            <w:r>
              <w:rPr>
                <w:rFonts w:hint="eastAsia" w:ascii="Arial" w:hAnsi="Arial" w:cs="Arial"/>
                <w:sz w:val="20"/>
                <w:szCs w:val="20"/>
                <w:lang w:eastAsia="zh-CN"/>
              </w:rPr>
              <w:t>（</w:t>
            </w:r>
            <w:r>
              <w:rPr>
                <w:rFonts w:ascii="Arial" w:hAnsi="Arial" w:cs="Arial"/>
                <w:sz w:val="20"/>
                <w:szCs w:val="20"/>
              </w:rPr>
              <w:t>2017年</w:t>
            </w:r>
            <w:r>
              <w:rPr>
                <w:rFonts w:hint="eastAsia" w:ascii="Arial" w:hAnsi="Arial" w:cs="Arial"/>
                <w:sz w:val="20"/>
                <w:szCs w:val="20"/>
                <w:lang w:eastAsia="zh-CN"/>
              </w:rPr>
              <w:t>）</w:t>
            </w:r>
            <w:r>
              <w:rPr>
                <w:rFonts w:ascii="Arial" w:hAnsi="Arial" w:cs="Arial"/>
                <w:sz w:val="20"/>
                <w:szCs w:val="20"/>
              </w:rPr>
              <w:t xml:space="preserve"> 的时效性</w:t>
            </w:r>
          </w:p>
        </w:tc>
        <w:tc>
          <w:tcPr>
            <w:tcW w:w="1473" w:type="pct"/>
            <w:shd w:val="clear" w:color="auto" w:fill="auto"/>
          </w:tcPr>
          <w:p w14:paraId="4DDAECC8">
            <w:pPr>
              <w:snapToGrid w:val="0"/>
              <w:rPr>
                <w:rFonts w:hint="eastAsia" w:ascii="Arial" w:hAnsi="Arial" w:eastAsia="宋体" w:cs="Arial"/>
                <w:sz w:val="20"/>
                <w:szCs w:val="20"/>
                <w:lang w:eastAsia="zh-CN"/>
              </w:rPr>
            </w:pPr>
            <w:r>
              <w:rPr>
                <w:rFonts w:ascii="Arial" w:hAnsi="Arial" w:cs="Arial"/>
                <w:sz w:val="20"/>
                <w:szCs w:val="20"/>
              </w:rPr>
              <w:t>修改为《农药管理条例》</w:t>
            </w:r>
            <w:r>
              <w:rPr>
                <w:rFonts w:hint="eastAsia" w:ascii="Arial" w:hAnsi="Arial" w:cs="Arial"/>
                <w:sz w:val="20"/>
                <w:szCs w:val="20"/>
                <w:lang w:eastAsia="zh-CN"/>
              </w:rPr>
              <w:t>（</w:t>
            </w:r>
            <w:r>
              <w:rPr>
                <w:rFonts w:ascii="Arial" w:hAnsi="Arial" w:cs="Arial"/>
                <w:sz w:val="20"/>
                <w:szCs w:val="20"/>
              </w:rPr>
              <w:t>2022年</w:t>
            </w:r>
            <w:r>
              <w:rPr>
                <w:rFonts w:hint="eastAsia" w:ascii="Arial" w:hAnsi="Arial" w:cs="Arial"/>
                <w:sz w:val="20"/>
                <w:szCs w:val="20"/>
                <w:lang w:eastAsia="zh-CN"/>
              </w:rPr>
              <w:t>）</w:t>
            </w:r>
          </w:p>
        </w:tc>
        <w:tc>
          <w:tcPr>
            <w:tcW w:w="735" w:type="pct"/>
            <w:shd w:val="clear" w:color="auto" w:fill="auto"/>
          </w:tcPr>
          <w:p w14:paraId="62BA8128">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27F9C6D5">
            <w:pPr>
              <w:snapToGrid w:val="0"/>
              <w:rPr>
                <w:rFonts w:ascii="Arial" w:hAnsi="Arial" w:cs="Arial"/>
                <w:sz w:val="20"/>
                <w:szCs w:val="20"/>
              </w:rPr>
            </w:pPr>
            <w:r>
              <w:rPr>
                <w:rFonts w:ascii="Arial" w:hAnsi="Arial" w:cs="Arial"/>
                <w:sz w:val="20"/>
                <w:szCs w:val="20"/>
              </w:rPr>
              <w:t>已按要求更新</w:t>
            </w:r>
          </w:p>
        </w:tc>
      </w:tr>
      <w:tr w14:paraId="6828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1EC277FE">
            <w:pPr>
              <w:snapToGrid w:val="0"/>
              <w:rPr>
                <w:rFonts w:ascii="Arial" w:hAnsi="Arial" w:cs="Arial"/>
                <w:sz w:val="20"/>
                <w:szCs w:val="20"/>
              </w:rPr>
            </w:pPr>
            <w:r>
              <w:rPr>
                <w:rFonts w:ascii="Arial" w:hAnsi="Arial" w:cs="Arial"/>
                <w:sz w:val="20"/>
                <w:szCs w:val="20"/>
              </w:rPr>
              <w:t>10</w:t>
            </w:r>
          </w:p>
        </w:tc>
        <w:tc>
          <w:tcPr>
            <w:tcW w:w="1325" w:type="pct"/>
            <w:shd w:val="clear" w:color="auto" w:fill="auto"/>
          </w:tcPr>
          <w:p w14:paraId="2581FDB4">
            <w:pPr>
              <w:snapToGrid w:val="0"/>
              <w:rPr>
                <w:rFonts w:ascii="Arial" w:hAnsi="Arial" w:cs="Arial"/>
                <w:sz w:val="20"/>
                <w:szCs w:val="20"/>
              </w:rPr>
            </w:pPr>
            <w:r>
              <w:rPr>
                <w:rFonts w:ascii="Arial" w:hAnsi="Arial" w:cs="Arial"/>
                <w:sz w:val="20"/>
                <w:szCs w:val="20"/>
              </w:rPr>
              <w:t>第</w:t>
            </w:r>
            <w:r>
              <w:rPr>
                <w:rFonts w:ascii="Arial" w:hAnsi="Arial" w:cs="Arial"/>
                <w:sz w:val="20"/>
                <w:szCs w:val="20"/>
                <w:lang w:val="en-GB"/>
              </w:rPr>
              <w:t>4.3.3节：畜禽养殖污染防治的法规框架</w:t>
            </w:r>
          </w:p>
        </w:tc>
        <w:tc>
          <w:tcPr>
            <w:tcW w:w="1473" w:type="pct"/>
            <w:shd w:val="clear" w:color="auto" w:fill="auto"/>
          </w:tcPr>
          <w:p w14:paraId="06EE9F3C">
            <w:pPr>
              <w:snapToGrid w:val="0"/>
              <w:rPr>
                <w:rFonts w:hint="eastAsia" w:ascii="Arial" w:hAnsi="Arial" w:eastAsia="宋体" w:cs="Arial"/>
                <w:sz w:val="20"/>
                <w:szCs w:val="20"/>
                <w:lang w:eastAsia="zh-CN"/>
              </w:rPr>
            </w:pPr>
            <w:r>
              <w:rPr>
                <w:rFonts w:ascii="Arial" w:hAnsi="Arial" w:cs="Arial"/>
                <w:sz w:val="20"/>
                <w:szCs w:val="20"/>
              </w:rPr>
              <w:t>建议增加《湖南省畜禽规模养殖污染防治规定》</w:t>
            </w:r>
            <w:r>
              <w:rPr>
                <w:rFonts w:hint="eastAsia" w:ascii="Arial" w:hAnsi="Arial" w:cs="Arial"/>
                <w:sz w:val="20"/>
                <w:szCs w:val="20"/>
                <w:lang w:eastAsia="zh-CN"/>
              </w:rPr>
              <w:t>（</w:t>
            </w:r>
            <w:r>
              <w:rPr>
                <w:rFonts w:ascii="Arial" w:hAnsi="Arial" w:cs="Arial"/>
                <w:sz w:val="20"/>
                <w:szCs w:val="20"/>
              </w:rPr>
              <w:t>2022年</w:t>
            </w:r>
            <w:r>
              <w:rPr>
                <w:rFonts w:hint="eastAsia" w:ascii="Arial" w:hAnsi="Arial" w:cs="Arial"/>
                <w:sz w:val="20"/>
                <w:szCs w:val="20"/>
                <w:lang w:eastAsia="zh-CN"/>
              </w:rPr>
              <w:t>）</w:t>
            </w:r>
          </w:p>
        </w:tc>
        <w:tc>
          <w:tcPr>
            <w:tcW w:w="735" w:type="pct"/>
            <w:shd w:val="clear" w:color="auto" w:fill="auto"/>
          </w:tcPr>
          <w:p w14:paraId="0B5F8728">
            <w:pPr>
              <w:snapToGrid w:val="0"/>
              <w:rPr>
                <w:rFonts w:ascii="Arial" w:hAnsi="Arial" w:cs="Arial"/>
                <w:sz w:val="20"/>
                <w:szCs w:val="20"/>
              </w:rPr>
            </w:pPr>
          </w:p>
        </w:tc>
        <w:tc>
          <w:tcPr>
            <w:tcW w:w="1175" w:type="pct"/>
            <w:shd w:val="clear" w:color="auto" w:fill="auto"/>
          </w:tcPr>
          <w:p w14:paraId="6AD0D282">
            <w:pPr>
              <w:snapToGrid w:val="0"/>
              <w:rPr>
                <w:rFonts w:ascii="Arial" w:hAnsi="Arial" w:cs="Arial"/>
                <w:sz w:val="20"/>
                <w:szCs w:val="20"/>
              </w:rPr>
            </w:pPr>
            <w:r>
              <w:rPr>
                <w:rFonts w:ascii="Arial" w:hAnsi="Arial" w:cs="Arial"/>
                <w:sz w:val="20"/>
                <w:szCs w:val="20"/>
              </w:rPr>
              <w:t>已按建议补充</w:t>
            </w:r>
          </w:p>
        </w:tc>
      </w:tr>
      <w:tr w14:paraId="4962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EB22423">
            <w:pPr>
              <w:snapToGrid w:val="0"/>
              <w:rPr>
                <w:rFonts w:ascii="Arial" w:hAnsi="Arial" w:cs="Arial"/>
                <w:sz w:val="20"/>
                <w:szCs w:val="20"/>
              </w:rPr>
            </w:pPr>
            <w:r>
              <w:rPr>
                <w:rFonts w:ascii="Arial" w:hAnsi="Arial" w:cs="Arial"/>
                <w:sz w:val="20"/>
                <w:szCs w:val="20"/>
              </w:rPr>
              <w:t>11</w:t>
            </w:r>
          </w:p>
        </w:tc>
        <w:tc>
          <w:tcPr>
            <w:tcW w:w="1325" w:type="pct"/>
            <w:shd w:val="clear" w:color="auto" w:fill="auto"/>
          </w:tcPr>
          <w:p w14:paraId="132146B5">
            <w:pPr>
              <w:snapToGrid w:val="0"/>
              <w:rPr>
                <w:rFonts w:ascii="Arial" w:hAnsi="Arial" w:cs="Arial"/>
                <w:sz w:val="20"/>
                <w:szCs w:val="20"/>
              </w:rPr>
            </w:pPr>
            <w:r>
              <w:rPr>
                <w:rFonts w:ascii="Arial" w:hAnsi="Arial" w:cs="Arial"/>
                <w:sz w:val="20"/>
                <w:szCs w:val="20"/>
              </w:rPr>
              <w:t>第4.3.4节</w:t>
            </w:r>
            <w:r>
              <w:rPr>
                <w:rFonts w:hint="eastAsia" w:ascii="Arial" w:hAnsi="Arial" w:cs="Arial"/>
                <w:sz w:val="20"/>
                <w:szCs w:val="20"/>
                <w:lang w:eastAsia="zh-CN"/>
              </w:rPr>
              <w:t>：</w:t>
            </w:r>
            <w:r>
              <w:rPr>
                <w:rFonts w:ascii="Arial" w:hAnsi="Arial" w:cs="Arial"/>
                <w:sz w:val="20"/>
                <w:szCs w:val="20"/>
              </w:rPr>
              <w:t>《</w:t>
            </w:r>
            <w:r>
              <w:rPr>
                <w:rFonts w:hint="eastAsia" w:ascii="Arial" w:hAnsi="Arial" w:cs="Arial"/>
                <w:sz w:val="20"/>
                <w:szCs w:val="20"/>
                <w:lang w:eastAsia="zh-CN"/>
              </w:rPr>
              <w:t>中华人民共和国渔业法</w:t>
            </w:r>
            <w:r>
              <w:rPr>
                <w:rFonts w:ascii="Arial" w:hAnsi="Arial" w:cs="Arial"/>
                <w:sz w:val="20"/>
                <w:szCs w:val="20"/>
              </w:rPr>
              <w:t>》</w:t>
            </w:r>
            <w:r>
              <w:rPr>
                <w:rFonts w:hint="eastAsia" w:ascii="Arial" w:hAnsi="Arial" w:cs="Arial"/>
                <w:sz w:val="20"/>
                <w:szCs w:val="20"/>
                <w:lang w:eastAsia="zh-CN"/>
              </w:rPr>
              <w:t>（</w:t>
            </w:r>
            <w:r>
              <w:rPr>
                <w:rFonts w:ascii="Arial" w:hAnsi="Arial" w:cs="Arial"/>
                <w:sz w:val="20"/>
                <w:szCs w:val="20"/>
              </w:rPr>
              <w:t>2000年</w:t>
            </w:r>
            <w:r>
              <w:rPr>
                <w:rFonts w:hint="eastAsia" w:ascii="Arial" w:hAnsi="Arial" w:cs="Arial"/>
                <w:sz w:val="20"/>
                <w:szCs w:val="20"/>
                <w:lang w:eastAsia="zh-CN"/>
              </w:rPr>
              <w:t>）</w:t>
            </w:r>
            <w:r>
              <w:rPr>
                <w:rFonts w:ascii="Arial" w:hAnsi="Arial" w:cs="Arial"/>
                <w:sz w:val="20"/>
                <w:szCs w:val="20"/>
              </w:rPr>
              <w:t xml:space="preserve"> 的时效性</w:t>
            </w:r>
          </w:p>
        </w:tc>
        <w:tc>
          <w:tcPr>
            <w:tcW w:w="1473" w:type="pct"/>
            <w:shd w:val="clear" w:color="auto" w:fill="auto"/>
          </w:tcPr>
          <w:p w14:paraId="7EA2481F">
            <w:pPr>
              <w:snapToGrid w:val="0"/>
              <w:rPr>
                <w:rFonts w:hint="eastAsia" w:ascii="Arial" w:hAnsi="Arial" w:eastAsia="宋体" w:cs="Arial"/>
                <w:sz w:val="20"/>
                <w:szCs w:val="20"/>
                <w:lang w:eastAsia="zh-CN"/>
              </w:rPr>
            </w:pPr>
            <w:r>
              <w:rPr>
                <w:rFonts w:ascii="Arial" w:hAnsi="Arial" w:cs="Arial"/>
                <w:sz w:val="20"/>
                <w:szCs w:val="20"/>
              </w:rPr>
              <w:t>修改为《</w:t>
            </w:r>
            <w:r>
              <w:rPr>
                <w:rFonts w:hint="eastAsia" w:ascii="Arial" w:hAnsi="Arial" w:cs="Arial"/>
                <w:sz w:val="20"/>
                <w:szCs w:val="20"/>
                <w:lang w:eastAsia="zh-CN"/>
              </w:rPr>
              <w:t>中华人民共和国渔业法</w:t>
            </w:r>
            <w:r>
              <w:rPr>
                <w:rFonts w:ascii="Arial" w:hAnsi="Arial" w:cs="Arial"/>
                <w:sz w:val="20"/>
                <w:szCs w:val="20"/>
              </w:rPr>
              <w:t>》</w:t>
            </w:r>
            <w:r>
              <w:rPr>
                <w:rFonts w:hint="eastAsia" w:ascii="Arial" w:hAnsi="Arial" w:cs="Arial"/>
                <w:sz w:val="20"/>
                <w:szCs w:val="20"/>
                <w:lang w:eastAsia="zh-CN"/>
              </w:rPr>
              <w:t>（</w:t>
            </w:r>
            <w:r>
              <w:rPr>
                <w:rFonts w:ascii="Arial" w:hAnsi="Arial" w:cs="Arial"/>
                <w:sz w:val="20"/>
                <w:szCs w:val="20"/>
              </w:rPr>
              <w:t>2013年</w:t>
            </w:r>
            <w:r>
              <w:rPr>
                <w:rFonts w:hint="eastAsia" w:ascii="Arial" w:hAnsi="Arial" w:cs="Arial"/>
                <w:sz w:val="20"/>
                <w:szCs w:val="20"/>
                <w:lang w:eastAsia="zh-CN"/>
              </w:rPr>
              <w:t>）</w:t>
            </w:r>
          </w:p>
        </w:tc>
        <w:tc>
          <w:tcPr>
            <w:tcW w:w="735" w:type="pct"/>
            <w:shd w:val="clear" w:color="auto" w:fill="auto"/>
          </w:tcPr>
          <w:p w14:paraId="32B5BA35">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00B5614B">
            <w:pPr>
              <w:snapToGrid w:val="0"/>
              <w:rPr>
                <w:rFonts w:ascii="Arial" w:hAnsi="Arial" w:cs="Arial"/>
                <w:sz w:val="20"/>
                <w:szCs w:val="20"/>
                <w:lang w:val="en-GB"/>
              </w:rPr>
            </w:pPr>
            <w:r>
              <w:rPr>
                <w:rFonts w:ascii="Arial" w:hAnsi="Arial" w:cs="Arial"/>
                <w:sz w:val="20"/>
                <w:szCs w:val="20"/>
              </w:rPr>
              <w:t>已按要求更新</w:t>
            </w:r>
          </w:p>
        </w:tc>
      </w:tr>
      <w:tr w14:paraId="2619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6448698">
            <w:pPr>
              <w:snapToGrid w:val="0"/>
              <w:rPr>
                <w:rFonts w:ascii="Arial" w:hAnsi="Arial" w:cs="Arial"/>
                <w:sz w:val="20"/>
                <w:szCs w:val="20"/>
              </w:rPr>
            </w:pPr>
            <w:r>
              <w:rPr>
                <w:rFonts w:ascii="Arial" w:hAnsi="Arial" w:cs="Arial"/>
                <w:sz w:val="20"/>
                <w:szCs w:val="20"/>
              </w:rPr>
              <w:t>12</w:t>
            </w:r>
          </w:p>
        </w:tc>
        <w:tc>
          <w:tcPr>
            <w:tcW w:w="1325" w:type="pct"/>
            <w:shd w:val="clear" w:color="auto" w:fill="auto"/>
          </w:tcPr>
          <w:p w14:paraId="1DEC63E4">
            <w:pPr>
              <w:snapToGrid w:val="0"/>
              <w:rPr>
                <w:rFonts w:ascii="Arial" w:hAnsi="Arial" w:cs="Arial"/>
                <w:sz w:val="20"/>
                <w:szCs w:val="20"/>
              </w:rPr>
            </w:pPr>
            <w:r>
              <w:rPr>
                <w:rFonts w:ascii="Arial" w:hAnsi="Arial" w:cs="Arial"/>
                <w:sz w:val="20"/>
                <w:szCs w:val="20"/>
              </w:rPr>
              <w:t>第4.3.6节</w:t>
            </w:r>
            <w:r>
              <w:rPr>
                <w:rFonts w:hint="eastAsia" w:ascii="Arial" w:hAnsi="Arial" w:cs="Arial"/>
                <w:sz w:val="20"/>
                <w:szCs w:val="20"/>
                <w:lang w:eastAsia="zh-CN"/>
              </w:rPr>
              <w:t>：</w:t>
            </w:r>
            <w:r>
              <w:rPr>
                <w:rFonts w:ascii="Arial" w:hAnsi="Arial" w:cs="Arial"/>
                <w:sz w:val="20"/>
                <w:szCs w:val="20"/>
              </w:rPr>
              <w:t>《生活垃圾转运站技术规范》</w:t>
            </w:r>
            <w:r>
              <w:rPr>
                <w:rFonts w:hint="eastAsia" w:ascii="Arial" w:hAnsi="Arial" w:cs="Arial"/>
                <w:sz w:val="20"/>
                <w:szCs w:val="20"/>
                <w:lang w:eastAsia="zh-CN"/>
              </w:rPr>
              <w:t>（</w:t>
            </w:r>
            <w:r>
              <w:rPr>
                <w:rFonts w:ascii="Arial" w:hAnsi="Arial" w:cs="Arial"/>
                <w:sz w:val="20"/>
                <w:szCs w:val="20"/>
              </w:rPr>
              <w:t>GJJ47</w:t>
            </w:r>
            <w:r>
              <w:rPr>
                <w:rFonts w:hint="eastAsia" w:ascii="Arial" w:hAnsi="Arial" w:cs="Arial"/>
                <w:sz w:val="20"/>
                <w:szCs w:val="20"/>
                <w:lang w:eastAsia="zh-CN"/>
              </w:rPr>
              <w:t>—</w:t>
            </w:r>
            <w:r>
              <w:rPr>
                <w:rFonts w:ascii="Arial" w:hAnsi="Arial" w:cs="Arial"/>
                <w:sz w:val="20"/>
                <w:szCs w:val="20"/>
              </w:rPr>
              <w:t>2006</w:t>
            </w:r>
            <w:r>
              <w:rPr>
                <w:rFonts w:hint="eastAsia" w:ascii="Arial" w:hAnsi="Arial" w:cs="Arial"/>
                <w:sz w:val="20"/>
                <w:szCs w:val="20"/>
                <w:lang w:eastAsia="zh-CN"/>
              </w:rPr>
              <w:t>）</w:t>
            </w:r>
            <w:r>
              <w:rPr>
                <w:rFonts w:ascii="Arial" w:hAnsi="Arial" w:cs="Arial"/>
                <w:sz w:val="20"/>
                <w:szCs w:val="20"/>
              </w:rPr>
              <w:t xml:space="preserve"> 的时效性</w:t>
            </w:r>
          </w:p>
        </w:tc>
        <w:tc>
          <w:tcPr>
            <w:tcW w:w="1473" w:type="pct"/>
            <w:shd w:val="clear" w:color="auto" w:fill="auto"/>
          </w:tcPr>
          <w:p w14:paraId="10C0E02C">
            <w:pPr>
              <w:snapToGrid w:val="0"/>
              <w:rPr>
                <w:rFonts w:hint="eastAsia" w:ascii="Arial" w:hAnsi="Arial" w:eastAsia="宋体" w:cs="Arial"/>
                <w:sz w:val="20"/>
                <w:szCs w:val="20"/>
                <w:lang w:eastAsia="zh-CN"/>
              </w:rPr>
            </w:pPr>
            <w:r>
              <w:rPr>
                <w:rFonts w:ascii="Arial" w:hAnsi="Arial" w:cs="Arial"/>
                <w:sz w:val="20"/>
                <w:szCs w:val="20"/>
              </w:rPr>
              <w:t>替换为《生活垃圾转运站技术规范》</w:t>
            </w:r>
            <w:r>
              <w:rPr>
                <w:rFonts w:hint="eastAsia" w:ascii="Arial" w:hAnsi="Arial" w:cs="Arial"/>
                <w:sz w:val="20"/>
                <w:szCs w:val="20"/>
                <w:lang w:eastAsia="zh-CN"/>
              </w:rPr>
              <w:t>（</w:t>
            </w:r>
            <w:r>
              <w:rPr>
                <w:rFonts w:ascii="Arial" w:hAnsi="Arial" w:cs="Arial"/>
                <w:sz w:val="20"/>
                <w:szCs w:val="20"/>
              </w:rPr>
              <w:t>CJJ/T47</w:t>
            </w:r>
            <w:r>
              <w:rPr>
                <w:rFonts w:hint="eastAsia" w:ascii="Arial" w:hAnsi="Arial" w:cs="Arial"/>
                <w:sz w:val="20"/>
                <w:szCs w:val="20"/>
                <w:lang w:eastAsia="zh-CN"/>
              </w:rPr>
              <w:t>—</w:t>
            </w:r>
            <w:r>
              <w:rPr>
                <w:rFonts w:ascii="Arial" w:hAnsi="Arial" w:cs="Arial"/>
                <w:sz w:val="20"/>
                <w:szCs w:val="20"/>
              </w:rPr>
              <w:t>2016</w:t>
            </w:r>
            <w:r>
              <w:rPr>
                <w:rFonts w:hint="eastAsia" w:ascii="Arial" w:hAnsi="Arial" w:cs="Arial"/>
                <w:sz w:val="20"/>
                <w:szCs w:val="20"/>
                <w:lang w:eastAsia="zh-CN"/>
              </w:rPr>
              <w:t>）</w:t>
            </w:r>
          </w:p>
        </w:tc>
        <w:tc>
          <w:tcPr>
            <w:tcW w:w="735" w:type="pct"/>
            <w:shd w:val="clear" w:color="auto" w:fill="auto"/>
          </w:tcPr>
          <w:p w14:paraId="5264B041">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7BCA9742">
            <w:pPr>
              <w:snapToGrid w:val="0"/>
              <w:rPr>
                <w:rFonts w:ascii="Arial" w:hAnsi="Arial" w:cs="Arial"/>
                <w:sz w:val="20"/>
                <w:szCs w:val="20"/>
              </w:rPr>
            </w:pPr>
            <w:r>
              <w:rPr>
                <w:rFonts w:ascii="Arial" w:hAnsi="Arial" w:cs="Arial"/>
                <w:sz w:val="20"/>
                <w:szCs w:val="20"/>
              </w:rPr>
              <w:t>已按要求更新</w:t>
            </w:r>
          </w:p>
        </w:tc>
      </w:tr>
      <w:tr w14:paraId="7661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C98EDB7">
            <w:pPr>
              <w:snapToGrid w:val="0"/>
              <w:rPr>
                <w:rFonts w:ascii="Arial" w:hAnsi="Arial" w:cs="Arial"/>
                <w:sz w:val="20"/>
                <w:szCs w:val="20"/>
              </w:rPr>
            </w:pPr>
            <w:r>
              <w:rPr>
                <w:rFonts w:ascii="Arial" w:hAnsi="Arial" w:cs="Arial"/>
                <w:sz w:val="20"/>
                <w:szCs w:val="20"/>
              </w:rPr>
              <w:t>13</w:t>
            </w:r>
          </w:p>
        </w:tc>
        <w:tc>
          <w:tcPr>
            <w:tcW w:w="1325" w:type="pct"/>
            <w:shd w:val="clear" w:color="auto" w:fill="auto"/>
          </w:tcPr>
          <w:p w14:paraId="21E4652B">
            <w:pPr>
              <w:snapToGrid w:val="0"/>
              <w:rPr>
                <w:rFonts w:ascii="Arial" w:hAnsi="Arial" w:cs="Arial"/>
                <w:sz w:val="20"/>
                <w:szCs w:val="20"/>
                <w:lang w:val="en-GB"/>
              </w:rPr>
            </w:pPr>
            <w:r>
              <w:rPr>
                <w:rFonts w:ascii="Arial" w:hAnsi="Arial" w:cs="Arial"/>
                <w:sz w:val="20"/>
                <w:szCs w:val="20"/>
              </w:rPr>
              <w:t>第4</w:t>
            </w:r>
            <w:r>
              <w:rPr>
                <w:rFonts w:ascii="Arial" w:hAnsi="Arial" w:cs="Arial"/>
                <w:sz w:val="20"/>
                <w:szCs w:val="20"/>
                <w:lang w:val="en-GB"/>
              </w:rPr>
              <w:t>.4节：生态保护法规</w:t>
            </w:r>
          </w:p>
        </w:tc>
        <w:tc>
          <w:tcPr>
            <w:tcW w:w="1473" w:type="pct"/>
            <w:shd w:val="clear" w:color="auto" w:fill="auto"/>
          </w:tcPr>
          <w:p w14:paraId="5209D45F">
            <w:pPr>
              <w:snapToGrid w:val="0"/>
              <w:rPr>
                <w:rFonts w:ascii="Arial" w:hAnsi="Arial" w:cs="Arial"/>
                <w:sz w:val="20"/>
                <w:szCs w:val="20"/>
              </w:rPr>
            </w:pPr>
            <w:r>
              <w:rPr>
                <w:rFonts w:hint="eastAsia" w:ascii="Arial" w:hAnsi="Arial" w:cs="Arial"/>
                <w:sz w:val="20"/>
                <w:szCs w:val="20"/>
                <w:lang w:eastAsia="zh-CN"/>
              </w:rPr>
              <w:t>建议</w:t>
            </w:r>
            <w:r>
              <w:rPr>
                <w:rFonts w:ascii="Arial" w:hAnsi="Arial" w:cs="Arial"/>
                <w:sz w:val="20"/>
                <w:szCs w:val="20"/>
              </w:rPr>
              <w:t>增加</w:t>
            </w:r>
            <w:r>
              <w:rPr>
                <w:rFonts w:hint="eastAsia" w:ascii="Arial" w:hAnsi="Arial" w:cs="Arial"/>
                <w:sz w:val="20"/>
                <w:szCs w:val="20"/>
                <w:lang w:eastAsia="zh-CN"/>
              </w:rPr>
              <w:t>“三区三线”</w:t>
            </w:r>
            <w:r>
              <w:rPr>
                <w:rFonts w:ascii="Arial" w:hAnsi="Arial" w:cs="Arial"/>
                <w:sz w:val="20"/>
                <w:szCs w:val="20"/>
              </w:rPr>
              <w:t>规定</w:t>
            </w:r>
          </w:p>
        </w:tc>
        <w:tc>
          <w:tcPr>
            <w:tcW w:w="735" w:type="pct"/>
            <w:shd w:val="clear" w:color="auto" w:fill="auto"/>
          </w:tcPr>
          <w:p w14:paraId="5E2531BA">
            <w:pPr>
              <w:snapToGrid w:val="0"/>
              <w:rPr>
                <w:rFonts w:ascii="Arial" w:hAnsi="Arial" w:cs="Arial"/>
                <w:sz w:val="20"/>
                <w:szCs w:val="20"/>
                <w:lang w:val="en-GB"/>
              </w:rPr>
            </w:pPr>
            <w:r>
              <w:rPr>
                <w:rFonts w:ascii="Arial" w:hAnsi="Arial" w:cs="Arial"/>
                <w:sz w:val="20"/>
                <w:szCs w:val="20"/>
              </w:rPr>
              <w:t>湖南省自然资源厅</w:t>
            </w:r>
          </w:p>
        </w:tc>
        <w:tc>
          <w:tcPr>
            <w:tcW w:w="1175" w:type="pct"/>
            <w:shd w:val="clear" w:color="auto" w:fill="auto"/>
          </w:tcPr>
          <w:p w14:paraId="53F19804">
            <w:pPr>
              <w:snapToGrid w:val="0"/>
              <w:rPr>
                <w:rFonts w:ascii="Arial" w:hAnsi="Arial" w:cs="Arial"/>
                <w:sz w:val="20"/>
                <w:szCs w:val="20"/>
              </w:rPr>
            </w:pPr>
            <w:r>
              <w:rPr>
                <w:rFonts w:ascii="Arial" w:hAnsi="Arial" w:cs="Arial"/>
                <w:sz w:val="20"/>
                <w:szCs w:val="20"/>
              </w:rPr>
              <w:t>已按建议增加</w:t>
            </w:r>
          </w:p>
        </w:tc>
      </w:tr>
      <w:tr w14:paraId="75AB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56ED1F5">
            <w:pPr>
              <w:snapToGrid w:val="0"/>
              <w:rPr>
                <w:rFonts w:ascii="Arial" w:hAnsi="Arial" w:cs="Arial"/>
                <w:sz w:val="20"/>
                <w:szCs w:val="20"/>
              </w:rPr>
            </w:pPr>
            <w:r>
              <w:rPr>
                <w:rFonts w:ascii="Arial" w:hAnsi="Arial" w:cs="Arial"/>
                <w:sz w:val="20"/>
                <w:szCs w:val="20"/>
              </w:rPr>
              <w:t>14</w:t>
            </w:r>
          </w:p>
        </w:tc>
        <w:tc>
          <w:tcPr>
            <w:tcW w:w="1325" w:type="pct"/>
            <w:shd w:val="clear" w:color="auto" w:fill="auto"/>
          </w:tcPr>
          <w:p w14:paraId="47797B85">
            <w:pPr>
              <w:snapToGrid w:val="0"/>
              <w:rPr>
                <w:rFonts w:ascii="Arial" w:hAnsi="Arial" w:cs="Arial"/>
                <w:sz w:val="20"/>
                <w:szCs w:val="20"/>
                <w:lang w:val="en-GB"/>
              </w:rPr>
            </w:pPr>
            <w:r>
              <w:rPr>
                <w:rFonts w:ascii="Arial" w:hAnsi="Arial" w:cs="Arial"/>
                <w:sz w:val="20"/>
                <w:szCs w:val="20"/>
              </w:rPr>
              <w:t>第4</w:t>
            </w:r>
            <w:r>
              <w:rPr>
                <w:rFonts w:ascii="Arial" w:hAnsi="Arial" w:cs="Arial"/>
                <w:sz w:val="20"/>
                <w:szCs w:val="20"/>
                <w:lang w:val="en-GB"/>
              </w:rPr>
              <w:t>.4节：水土保持法规</w:t>
            </w:r>
          </w:p>
        </w:tc>
        <w:tc>
          <w:tcPr>
            <w:tcW w:w="1473" w:type="pct"/>
            <w:shd w:val="clear" w:color="auto" w:fill="auto"/>
          </w:tcPr>
          <w:p w14:paraId="1A847D27">
            <w:pPr>
              <w:snapToGrid w:val="0"/>
              <w:rPr>
                <w:rFonts w:ascii="Arial" w:hAnsi="Arial" w:cs="Arial"/>
                <w:sz w:val="20"/>
                <w:szCs w:val="20"/>
              </w:rPr>
            </w:pPr>
            <w:r>
              <w:rPr>
                <w:rFonts w:hint="eastAsia" w:ascii="Arial" w:hAnsi="Arial" w:cs="Arial"/>
                <w:sz w:val="20"/>
                <w:szCs w:val="20"/>
                <w:lang w:eastAsia="zh-CN"/>
              </w:rPr>
              <w:t>建议</w:t>
            </w:r>
            <w:r>
              <w:rPr>
                <w:rFonts w:ascii="Arial" w:hAnsi="Arial" w:cs="Arial"/>
                <w:sz w:val="20"/>
                <w:szCs w:val="20"/>
              </w:rPr>
              <w:t>增加湖北省实施《中华人民共和国水土保持法》办法</w:t>
            </w:r>
          </w:p>
        </w:tc>
        <w:tc>
          <w:tcPr>
            <w:tcW w:w="735" w:type="pct"/>
            <w:shd w:val="clear" w:color="auto" w:fill="auto"/>
          </w:tcPr>
          <w:p w14:paraId="67C200DB">
            <w:pPr>
              <w:snapToGrid w:val="0"/>
              <w:rPr>
                <w:rFonts w:ascii="Arial" w:hAnsi="Arial" w:cs="Arial"/>
                <w:sz w:val="20"/>
                <w:szCs w:val="20"/>
                <w:lang w:val="en-GB"/>
              </w:rPr>
            </w:pPr>
            <w:r>
              <w:rPr>
                <w:rFonts w:ascii="Arial" w:hAnsi="Arial" w:cs="Arial"/>
                <w:sz w:val="20"/>
                <w:szCs w:val="20"/>
              </w:rPr>
              <w:t>湖北省水利厅</w:t>
            </w:r>
          </w:p>
        </w:tc>
        <w:tc>
          <w:tcPr>
            <w:tcW w:w="1175" w:type="pct"/>
            <w:shd w:val="clear" w:color="auto" w:fill="auto"/>
          </w:tcPr>
          <w:p w14:paraId="18A7BA89">
            <w:pPr>
              <w:snapToGrid w:val="0"/>
              <w:rPr>
                <w:rFonts w:ascii="Arial" w:hAnsi="Arial" w:cs="Arial"/>
                <w:sz w:val="20"/>
                <w:szCs w:val="20"/>
              </w:rPr>
            </w:pPr>
            <w:r>
              <w:rPr>
                <w:rFonts w:ascii="Arial" w:hAnsi="Arial" w:cs="Arial"/>
                <w:sz w:val="20"/>
                <w:szCs w:val="20"/>
              </w:rPr>
              <w:t>已按建议增加</w:t>
            </w:r>
          </w:p>
        </w:tc>
      </w:tr>
      <w:tr w14:paraId="4421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DADFBDF">
            <w:pPr>
              <w:snapToGrid w:val="0"/>
              <w:rPr>
                <w:rFonts w:ascii="Arial" w:hAnsi="Arial" w:cs="Arial"/>
                <w:sz w:val="20"/>
                <w:szCs w:val="20"/>
              </w:rPr>
            </w:pPr>
            <w:r>
              <w:rPr>
                <w:rFonts w:ascii="Arial" w:hAnsi="Arial" w:cs="Arial"/>
                <w:sz w:val="20"/>
                <w:szCs w:val="20"/>
              </w:rPr>
              <w:t>15</w:t>
            </w:r>
          </w:p>
        </w:tc>
        <w:tc>
          <w:tcPr>
            <w:tcW w:w="1325" w:type="pct"/>
            <w:shd w:val="clear" w:color="auto" w:fill="auto"/>
          </w:tcPr>
          <w:p w14:paraId="76A48DA0">
            <w:pPr>
              <w:snapToGrid w:val="0"/>
              <w:rPr>
                <w:rFonts w:ascii="Arial" w:hAnsi="Arial" w:cs="Arial"/>
                <w:sz w:val="20"/>
                <w:szCs w:val="20"/>
                <w:lang w:val="en-GB"/>
              </w:rPr>
            </w:pPr>
            <w:r>
              <w:rPr>
                <w:rFonts w:ascii="Arial" w:hAnsi="Arial" w:cs="Arial"/>
                <w:sz w:val="20"/>
                <w:szCs w:val="20"/>
              </w:rPr>
              <w:t>第4</w:t>
            </w:r>
            <w:r>
              <w:rPr>
                <w:rFonts w:ascii="Arial" w:hAnsi="Arial" w:cs="Arial"/>
                <w:sz w:val="20"/>
                <w:szCs w:val="20"/>
                <w:lang w:val="en-GB"/>
              </w:rPr>
              <w:t>.5节：健康与安全管理系统的法规框架</w:t>
            </w:r>
          </w:p>
        </w:tc>
        <w:tc>
          <w:tcPr>
            <w:tcW w:w="1473" w:type="pct"/>
            <w:shd w:val="clear" w:color="auto" w:fill="auto"/>
          </w:tcPr>
          <w:p w14:paraId="21DA1762">
            <w:pPr>
              <w:snapToGrid w:val="0"/>
              <w:rPr>
                <w:rFonts w:hint="eastAsia" w:ascii="Arial" w:hAnsi="Arial" w:eastAsia="宋体" w:cs="Arial"/>
                <w:sz w:val="20"/>
                <w:szCs w:val="20"/>
                <w:lang w:val="en-GB" w:eastAsia="zh-CN"/>
              </w:rPr>
            </w:pPr>
            <w:r>
              <w:rPr>
                <w:rFonts w:ascii="Arial" w:hAnsi="Arial" w:cs="Arial"/>
                <w:sz w:val="20"/>
                <w:szCs w:val="20"/>
              </w:rPr>
              <w:t>建议增加《湖南省职业病防治若干规定》</w:t>
            </w:r>
            <w:r>
              <w:rPr>
                <w:rFonts w:hint="eastAsia" w:ascii="Arial" w:hAnsi="Arial" w:cs="Arial"/>
                <w:sz w:val="20"/>
                <w:szCs w:val="20"/>
                <w:lang w:val="en-GB" w:eastAsia="zh-CN"/>
              </w:rPr>
              <w:t>（</w:t>
            </w:r>
            <w:r>
              <w:rPr>
                <w:rFonts w:ascii="Arial" w:hAnsi="Arial" w:cs="Arial"/>
                <w:sz w:val="20"/>
                <w:szCs w:val="20"/>
                <w:lang w:val="en-GB"/>
              </w:rPr>
              <w:t>2022年</w:t>
            </w:r>
            <w:r>
              <w:rPr>
                <w:rFonts w:hint="eastAsia" w:ascii="Arial" w:hAnsi="Arial" w:cs="Arial"/>
                <w:sz w:val="20"/>
                <w:szCs w:val="20"/>
                <w:lang w:val="en-GB" w:eastAsia="zh-CN"/>
              </w:rPr>
              <w:t>）</w:t>
            </w:r>
          </w:p>
        </w:tc>
        <w:tc>
          <w:tcPr>
            <w:tcW w:w="735" w:type="pct"/>
            <w:shd w:val="clear" w:color="auto" w:fill="auto"/>
          </w:tcPr>
          <w:p w14:paraId="46BFBF93">
            <w:pPr>
              <w:snapToGrid w:val="0"/>
              <w:rPr>
                <w:rFonts w:ascii="Arial" w:hAnsi="Arial" w:cs="Arial"/>
                <w:sz w:val="20"/>
                <w:szCs w:val="20"/>
                <w:lang w:val="en-GB"/>
              </w:rPr>
            </w:pPr>
            <w:r>
              <w:rPr>
                <w:rFonts w:ascii="Arial" w:hAnsi="Arial" w:cs="Arial"/>
                <w:sz w:val="20"/>
                <w:szCs w:val="20"/>
                <w:lang w:val="en-GB"/>
              </w:rPr>
              <w:t>湖南省卫健委</w:t>
            </w:r>
          </w:p>
        </w:tc>
        <w:tc>
          <w:tcPr>
            <w:tcW w:w="1175" w:type="pct"/>
            <w:shd w:val="clear" w:color="auto" w:fill="auto"/>
          </w:tcPr>
          <w:p w14:paraId="4525545A">
            <w:pPr>
              <w:snapToGrid w:val="0"/>
              <w:rPr>
                <w:rFonts w:ascii="Arial" w:hAnsi="Arial" w:cs="Arial"/>
                <w:sz w:val="20"/>
                <w:szCs w:val="20"/>
              </w:rPr>
            </w:pPr>
            <w:r>
              <w:rPr>
                <w:rFonts w:ascii="Arial" w:hAnsi="Arial" w:cs="Arial"/>
                <w:sz w:val="20"/>
                <w:szCs w:val="20"/>
              </w:rPr>
              <w:t>已按建议增加</w:t>
            </w:r>
          </w:p>
        </w:tc>
      </w:tr>
      <w:tr w14:paraId="0DA1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0DDD60B">
            <w:pPr>
              <w:snapToGrid w:val="0"/>
              <w:rPr>
                <w:rFonts w:ascii="Arial" w:hAnsi="Arial" w:cs="Arial"/>
                <w:sz w:val="20"/>
                <w:szCs w:val="20"/>
              </w:rPr>
            </w:pPr>
            <w:r>
              <w:rPr>
                <w:rFonts w:ascii="Arial" w:hAnsi="Arial" w:cs="Arial"/>
                <w:sz w:val="20"/>
                <w:szCs w:val="20"/>
              </w:rPr>
              <w:t>16</w:t>
            </w:r>
          </w:p>
        </w:tc>
        <w:tc>
          <w:tcPr>
            <w:tcW w:w="1325" w:type="pct"/>
            <w:shd w:val="clear" w:color="auto" w:fill="auto"/>
          </w:tcPr>
          <w:p w14:paraId="39695C68">
            <w:pPr>
              <w:snapToGrid w:val="0"/>
              <w:rPr>
                <w:rFonts w:ascii="Arial" w:hAnsi="Arial" w:cs="Arial"/>
                <w:sz w:val="20"/>
                <w:szCs w:val="20"/>
              </w:rPr>
            </w:pPr>
            <w:r>
              <w:rPr>
                <w:rFonts w:ascii="Arial" w:hAnsi="Arial" w:cs="Arial"/>
                <w:sz w:val="20"/>
                <w:szCs w:val="20"/>
              </w:rPr>
              <w:t>第5.1节表5</w:t>
            </w:r>
            <w:r>
              <w:rPr>
                <w:rFonts w:hint="eastAsia" w:ascii="Arial" w:hAnsi="Arial" w:cs="Arial"/>
                <w:sz w:val="20"/>
                <w:szCs w:val="20"/>
                <w:lang w:eastAsia="zh-CN"/>
              </w:rPr>
              <w:t>—</w:t>
            </w:r>
            <w:r>
              <w:rPr>
                <w:rFonts w:ascii="Arial" w:hAnsi="Arial" w:cs="Arial"/>
                <w:sz w:val="20"/>
                <w:szCs w:val="20"/>
              </w:rPr>
              <w:t>1</w:t>
            </w:r>
            <w:r>
              <w:rPr>
                <w:rFonts w:hint="eastAsia" w:ascii="Arial" w:hAnsi="Arial" w:cs="Arial"/>
                <w:sz w:val="20"/>
                <w:szCs w:val="20"/>
                <w:lang w:eastAsia="zh-CN"/>
              </w:rPr>
              <w:t>：</w:t>
            </w:r>
            <w:r>
              <w:rPr>
                <w:rFonts w:ascii="Arial" w:hAnsi="Arial" w:cs="Arial"/>
                <w:sz w:val="20"/>
                <w:szCs w:val="20"/>
              </w:rPr>
              <w:t>《</w:t>
            </w:r>
            <w:r>
              <w:rPr>
                <w:rFonts w:hint="eastAsia" w:ascii="Arial" w:hAnsi="Arial" w:cs="Arial"/>
                <w:sz w:val="20"/>
                <w:szCs w:val="20"/>
                <w:lang w:eastAsia="zh-CN"/>
              </w:rPr>
              <w:t>信访工作条例</w:t>
            </w:r>
            <w:r>
              <w:rPr>
                <w:rFonts w:ascii="Arial" w:hAnsi="Arial" w:cs="Arial"/>
                <w:sz w:val="20"/>
                <w:szCs w:val="20"/>
              </w:rPr>
              <w:t>》的时效性</w:t>
            </w:r>
          </w:p>
        </w:tc>
        <w:tc>
          <w:tcPr>
            <w:tcW w:w="1473" w:type="pct"/>
            <w:shd w:val="clear" w:color="auto" w:fill="auto"/>
          </w:tcPr>
          <w:p w14:paraId="1A0AD7A7">
            <w:pPr>
              <w:snapToGrid w:val="0"/>
              <w:rPr>
                <w:rFonts w:ascii="Arial" w:hAnsi="Arial" w:cs="Arial"/>
                <w:sz w:val="20"/>
                <w:szCs w:val="20"/>
              </w:rPr>
            </w:pPr>
            <w:r>
              <w:rPr>
                <w:rFonts w:ascii="Arial" w:hAnsi="Arial" w:cs="Arial"/>
                <w:sz w:val="20"/>
                <w:szCs w:val="20"/>
              </w:rPr>
              <w:t>建议修改为《信访工作条例》</w:t>
            </w:r>
            <w:r>
              <w:rPr>
                <w:rFonts w:hint="eastAsia" w:ascii="Arial" w:hAnsi="Arial" w:cs="Arial"/>
                <w:sz w:val="20"/>
                <w:szCs w:val="20"/>
                <w:lang w:eastAsia="zh-CN"/>
              </w:rPr>
              <w:t>（</w:t>
            </w:r>
            <w:r>
              <w:rPr>
                <w:rFonts w:ascii="Arial" w:hAnsi="Arial" w:cs="Arial"/>
                <w:sz w:val="20"/>
                <w:szCs w:val="20"/>
              </w:rPr>
              <w:t>2022</w:t>
            </w:r>
            <w:r>
              <w:rPr>
                <w:rFonts w:hint="eastAsia" w:ascii="Arial" w:hAnsi="Arial" w:cs="Arial"/>
                <w:sz w:val="20"/>
                <w:szCs w:val="20"/>
                <w:lang w:eastAsia="zh-CN"/>
              </w:rPr>
              <w:t>）</w:t>
            </w:r>
            <w:r>
              <w:rPr>
                <w:rFonts w:ascii="Arial" w:hAnsi="Arial" w:cs="Arial"/>
                <w:sz w:val="20"/>
                <w:szCs w:val="20"/>
              </w:rPr>
              <w:t>，并对援引的</w:t>
            </w:r>
            <w:r>
              <w:rPr>
                <w:rFonts w:hint="eastAsia" w:ascii="Arial" w:hAnsi="Arial" w:cs="Arial"/>
                <w:sz w:val="20"/>
                <w:szCs w:val="20"/>
                <w:lang w:eastAsia="zh-CN"/>
              </w:rPr>
              <w:t>条文</w:t>
            </w:r>
            <w:r>
              <w:rPr>
                <w:rFonts w:ascii="Arial" w:hAnsi="Arial" w:cs="Arial"/>
                <w:sz w:val="20"/>
                <w:szCs w:val="20"/>
              </w:rPr>
              <w:t>和内容进行相应修改</w:t>
            </w:r>
          </w:p>
        </w:tc>
        <w:tc>
          <w:tcPr>
            <w:tcW w:w="735" w:type="pct"/>
            <w:shd w:val="clear" w:color="auto" w:fill="auto"/>
          </w:tcPr>
          <w:p w14:paraId="6E8C7382">
            <w:pPr>
              <w:snapToGrid w:val="0"/>
              <w:rPr>
                <w:rFonts w:ascii="Arial" w:hAnsi="Arial" w:cs="Arial"/>
                <w:sz w:val="20"/>
                <w:szCs w:val="20"/>
              </w:rPr>
            </w:pPr>
            <w:r>
              <w:rPr>
                <w:rFonts w:ascii="Arial" w:hAnsi="Arial" w:cs="Arial"/>
                <w:sz w:val="20"/>
                <w:szCs w:val="20"/>
              </w:rPr>
              <w:t>湖南省信访局、湖北省崇阳县信访局、桃江县信访局</w:t>
            </w:r>
          </w:p>
        </w:tc>
        <w:tc>
          <w:tcPr>
            <w:tcW w:w="1175" w:type="pct"/>
            <w:shd w:val="clear" w:color="auto" w:fill="auto"/>
          </w:tcPr>
          <w:p w14:paraId="1D3822F6">
            <w:pPr>
              <w:snapToGrid w:val="0"/>
              <w:rPr>
                <w:rFonts w:ascii="Arial" w:hAnsi="Arial" w:cs="Arial"/>
                <w:sz w:val="20"/>
                <w:szCs w:val="20"/>
              </w:rPr>
            </w:pPr>
            <w:r>
              <w:rPr>
                <w:rFonts w:ascii="Arial" w:hAnsi="Arial" w:cs="Arial"/>
                <w:sz w:val="20"/>
                <w:szCs w:val="20"/>
              </w:rPr>
              <w:t>已按建议修改</w:t>
            </w:r>
          </w:p>
        </w:tc>
      </w:tr>
      <w:tr w14:paraId="466A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1A9B1109">
            <w:pPr>
              <w:snapToGrid w:val="0"/>
              <w:rPr>
                <w:rFonts w:ascii="Arial" w:hAnsi="Arial" w:cs="Arial"/>
                <w:sz w:val="20"/>
                <w:szCs w:val="20"/>
              </w:rPr>
            </w:pPr>
            <w:r>
              <w:rPr>
                <w:rFonts w:ascii="Arial" w:hAnsi="Arial" w:cs="Arial"/>
                <w:sz w:val="20"/>
                <w:szCs w:val="20"/>
              </w:rPr>
              <w:t>17</w:t>
            </w:r>
          </w:p>
        </w:tc>
        <w:tc>
          <w:tcPr>
            <w:tcW w:w="1325" w:type="pct"/>
            <w:shd w:val="clear" w:color="auto" w:fill="auto"/>
          </w:tcPr>
          <w:p w14:paraId="49E94C7A">
            <w:pPr>
              <w:snapToGrid w:val="0"/>
              <w:rPr>
                <w:rFonts w:ascii="Arial" w:hAnsi="Arial" w:cs="Arial"/>
                <w:sz w:val="20"/>
                <w:szCs w:val="20"/>
              </w:rPr>
            </w:pPr>
            <w:r>
              <w:rPr>
                <w:rFonts w:ascii="Arial" w:hAnsi="Arial" w:cs="Arial"/>
                <w:sz w:val="20"/>
                <w:szCs w:val="20"/>
              </w:rPr>
              <w:t>第5.1节表5</w:t>
            </w:r>
            <w:r>
              <w:rPr>
                <w:rFonts w:hint="eastAsia" w:ascii="Arial" w:hAnsi="Arial" w:cs="Arial"/>
                <w:sz w:val="20"/>
                <w:szCs w:val="20"/>
                <w:lang w:eastAsia="zh-CN"/>
              </w:rPr>
              <w:t>—</w:t>
            </w:r>
            <w:r>
              <w:rPr>
                <w:rFonts w:ascii="Arial" w:hAnsi="Arial" w:cs="Arial"/>
                <w:sz w:val="20"/>
                <w:szCs w:val="20"/>
              </w:rPr>
              <w:t>1</w:t>
            </w:r>
            <w:r>
              <w:rPr>
                <w:rFonts w:hint="eastAsia" w:ascii="Arial" w:hAnsi="Arial" w:cs="Arial"/>
                <w:sz w:val="20"/>
                <w:szCs w:val="20"/>
                <w:lang w:eastAsia="zh-CN"/>
              </w:rPr>
              <w:t>：</w:t>
            </w:r>
            <w:r>
              <w:rPr>
                <w:rFonts w:ascii="Arial" w:hAnsi="Arial" w:cs="Arial"/>
                <w:sz w:val="20"/>
                <w:szCs w:val="20"/>
              </w:rPr>
              <w:t>《中华人民共和国安全生产法》的时效性</w:t>
            </w:r>
          </w:p>
        </w:tc>
        <w:tc>
          <w:tcPr>
            <w:tcW w:w="1473" w:type="pct"/>
            <w:shd w:val="clear" w:color="auto" w:fill="auto"/>
          </w:tcPr>
          <w:p w14:paraId="1627C5BB">
            <w:pPr>
              <w:snapToGrid w:val="0"/>
              <w:rPr>
                <w:rFonts w:ascii="Arial" w:hAnsi="Arial" w:cs="Arial"/>
                <w:sz w:val="20"/>
                <w:szCs w:val="20"/>
              </w:rPr>
            </w:pPr>
            <w:r>
              <w:rPr>
                <w:rFonts w:ascii="Arial" w:hAnsi="Arial" w:cs="Arial"/>
                <w:sz w:val="20"/>
                <w:szCs w:val="20"/>
              </w:rPr>
              <w:t>修改为《中华人民共和国安全生产法》（2021年6月）</w:t>
            </w:r>
          </w:p>
        </w:tc>
        <w:tc>
          <w:tcPr>
            <w:tcW w:w="735" w:type="pct"/>
            <w:shd w:val="clear" w:color="auto" w:fill="auto"/>
          </w:tcPr>
          <w:p w14:paraId="0ED94F82">
            <w:pPr>
              <w:snapToGrid w:val="0"/>
              <w:rPr>
                <w:rFonts w:ascii="Arial" w:hAnsi="Arial" w:cs="Arial"/>
                <w:sz w:val="20"/>
                <w:szCs w:val="20"/>
              </w:rPr>
            </w:pPr>
            <w:r>
              <w:rPr>
                <w:rFonts w:ascii="Arial" w:hAnsi="Arial" w:cs="Arial"/>
                <w:sz w:val="20"/>
                <w:szCs w:val="20"/>
              </w:rPr>
              <w:t>崇阳县乡村振兴局</w:t>
            </w:r>
          </w:p>
        </w:tc>
        <w:tc>
          <w:tcPr>
            <w:tcW w:w="1175" w:type="pct"/>
            <w:shd w:val="clear" w:color="auto" w:fill="auto"/>
          </w:tcPr>
          <w:p w14:paraId="41CBE706">
            <w:pPr>
              <w:snapToGrid w:val="0"/>
              <w:rPr>
                <w:rFonts w:ascii="Arial" w:hAnsi="Arial" w:cs="Arial"/>
                <w:sz w:val="20"/>
                <w:szCs w:val="20"/>
              </w:rPr>
            </w:pPr>
            <w:r>
              <w:rPr>
                <w:rFonts w:ascii="Arial" w:hAnsi="Arial" w:cs="Arial"/>
                <w:sz w:val="20"/>
                <w:szCs w:val="20"/>
              </w:rPr>
              <w:t>已按建议修改</w:t>
            </w:r>
          </w:p>
        </w:tc>
      </w:tr>
      <w:tr w14:paraId="29A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035E0571">
            <w:pPr>
              <w:snapToGrid w:val="0"/>
              <w:rPr>
                <w:rFonts w:ascii="Arial" w:hAnsi="Arial" w:cs="Arial"/>
                <w:sz w:val="20"/>
                <w:szCs w:val="20"/>
              </w:rPr>
            </w:pPr>
            <w:r>
              <w:rPr>
                <w:rFonts w:ascii="Arial" w:hAnsi="Arial" w:cs="Arial"/>
                <w:sz w:val="20"/>
                <w:szCs w:val="20"/>
              </w:rPr>
              <w:t>18</w:t>
            </w:r>
          </w:p>
        </w:tc>
        <w:tc>
          <w:tcPr>
            <w:tcW w:w="1325" w:type="pct"/>
            <w:shd w:val="clear" w:color="auto" w:fill="auto"/>
          </w:tcPr>
          <w:p w14:paraId="49038283">
            <w:pPr>
              <w:snapToGrid w:val="0"/>
              <w:rPr>
                <w:rFonts w:ascii="Arial" w:hAnsi="Arial" w:cs="Arial"/>
                <w:sz w:val="20"/>
                <w:szCs w:val="20"/>
              </w:rPr>
            </w:pPr>
            <w:r>
              <w:rPr>
                <w:rFonts w:ascii="Arial" w:hAnsi="Arial" w:cs="Arial"/>
                <w:sz w:val="20"/>
                <w:szCs w:val="20"/>
              </w:rPr>
              <w:t>附件3</w:t>
            </w:r>
            <w:r>
              <w:rPr>
                <w:rFonts w:hint="eastAsia" w:ascii="Arial" w:hAnsi="Arial" w:cs="Arial"/>
                <w:sz w:val="20"/>
                <w:szCs w:val="20"/>
                <w:lang w:eastAsia="zh-CN"/>
              </w:rPr>
              <w:t>：</w:t>
            </w:r>
            <w:r>
              <w:rPr>
                <w:rFonts w:ascii="Arial" w:hAnsi="Arial" w:cs="Arial"/>
                <w:sz w:val="20"/>
                <w:szCs w:val="20"/>
              </w:rPr>
              <w:t>《信访</w:t>
            </w:r>
            <w:r>
              <w:rPr>
                <w:rFonts w:hint="eastAsia" w:ascii="Arial" w:hAnsi="Arial" w:cs="Arial"/>
                <w:sz w:val="20"/>
                <w:szCs w:val="20"/>
                <w:lang w:eastAsia="zh-CN"/>
              </w:rPr>
              <w:t>工作</w:t>
            </w:r>
            <w:r>
              <w:rPr>
                <w:rFonts w:ascii="Arial" w:hAnsi="Arial" w:cs="Arial"/>
                <w:sz w:val="20"/>
                <w:szCs w:val="20"/>
              </w:rPr>
              <w:t>条例》</w:t>
            </w:r>
            <w:r>
              <w:rPr>
                <w:rFonts w:hint="eastAsia" w:ascii="Arial" w:hAnsi="Arial" w:cs="Arial"/>
                <w:sz w:val="20"/>
                <w:szCs w:val="20"/>
                <w:lang w:eastAsia="zh-CN"/>
              </w:rPr>
              <w:t>第六条</w:t>
            </w:r>
            <w:r>
              <w:rPr>
                <w:rFonts w:ascii="Arial" w:hAnsi="Arial" w:cs="Arial"/>
                <w:sz w:val="20"/>
                <w:szCs w:val="20"/>
              </w:rPr>
              <w:t>的时效性</w:t>
            </w:r>
          </w:p>
        </w:tc>
        <w:tc>
          <w:tcPr>
            <w:tcW w:w="1473" w:type="pct"/>
            <w:shd w:val="clear" w:color="auto" w:fill="auto"/>
          </w:tcPr>
          <w:p w14:paraId="26B2B9DA">
            <w:pPr>
              <w:snapToGrid w:val="0"/>
              <w:rPr>
                <w:rFonts w:ascii="Arial" w:hAnsi="Arial" w:cs="Arial"/>
                <w:sz w:val="20"/>
                <w:szCs w:val="20"/>
              </w:rPr>
            </w:pPr>
            <w:r>
              <w:rPr>
                <w:rFonts w:ascii="Arial" w:hAnsi="Arial" w:cs="Arial"/>
                <w:sz w:val="20"/>
                <w:szCs w:val="20"/>
              </w:rPr>
              <w:t>建议修改“《信访工作条例》第十四条”</w:t>
            </w:r>
          </w:p>
        </w:tc>
        <w:tc>
          <w:tcPr>
            <w:tcW w:w="735" w:type="pct"/>
            <w:shd w:val="clear" w:color="auto" w:fill="auto"/>
          </w:tcPr>
          <w:p w14:paraId="3190A701">
            <w:pPr>
              <w:snapToGrid w:val="0"/>
              <w:rPr>
                <w:rFonts w:ascii="Arial" w:hAnsi="Arial" w:cs="Arial"/>
                <w:sz w:val="20"/>
                <w:szCs w:val="20"/>
              </w:rPr>
            </w:pPr>
            <w:r>
              <w:rPr>
                <w:rFonts w:ascii="Arial" w:hAnsi="Arial" w:cs="Arial"/>
                <w:sz w:val="20"/>
                <w:szCs w:val="20"/>
              </w:rPr>
              <w:t>湖北省信访局</w:t>
            </w:r>
          </w:p>
        </w:tc>
        <w:tc>
          <w:tcPr>
            <w:tcW w:w="1175" w:type="pct"/>
            <w:shd w:val="clear" w:color="auto" w:fill="auto"/>
          </w:tcPr>
          <w:p w14:paraId="15639DCB">
            <w:pPr>
              <w:snapToGrid w:val="0"/>
              <w:rPr>
                <w:rFonts w:ascii="Arial" w:hAnsi="Arial" w:cs="Arial"/>
                <w:sz w:val="20"/>
                <w:szCs w:val="20"/>
              </w:rPr>
            </w:pPr>
            <w:r>
              <w:rPr>
                <w:rFonts w:ascii="Arial" w:hAnsi="Arial" w:cs="Arial"/>
                <w:sz w:val="20"/>
                <w:szCs w:val="20"/>
              </w:rPr>
              <w:t>已按建议修改</w:t>
            </w:r>
          </w:p>
        </w:tc>
      </w:tr>
      <w:tr w14:paraId="4EFF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B0B5246">
            <w:pPr>
              <w:snapToGrid w:val="0"/>
              <w:rPr>
                <w:rFonts w:ascii="Arial" w:hAnsi="Arial" w:cs="Arial"/>
                <w:sz w:val="20"/>
                <w:szCs w:val="20"/>
              </w:rPr>
            </w:pPr>
            <w:r>
              <w:rPr>
                <w:rFonts w:ascii="Arial" w:hAnsi="Arial" w:cs="Arial"/>
                <w:sz w:val="20"/>
                <w:szCs w:val="20"/>
              </w:rPr>
              <w:t>19</w:t>
            </w:r>
          </w:p>
        </w:tc>
        <w:tc>
          <w:tcPr>
            <w:tcW w:w="1325" w:type="pct"/>
            <w:shd w:val="clear" w:color="auto" w:fill="auto"/>
          </w:tcPr>
          <w:p w14:paraId="5C601F52">
            <w:pPr>
              <w:snapToGrid w:val="0"/>
              <w:rPr>
                <w:rFonts w:ascii="Arial" w:hAnsi="Arial" w:cs="Arial"/>
                <w:sz w:val="20"/>
                <w:szCs w:val="20"/>
              </w:rPr>
            </w:pPr>
            <w:r>
              <w:rPr>
                <w:rFonts w:ascii="Arial" w:hAnsi="Arial" w:cs="Arial"/>
                <w:sz w:val="20"/>
                <w:szCs w:val="20"/>
              </w:rPr>
              <w:t>第5.1节表5</w:t>
            </w:r>
            <w:r>
              <w:rPr>
                <w:rFonts w:hint="eastAsia" w:ascii="Arial" w:hAnsi="Arial" w:cs="Arial"/>
                <w:sz w:val="20"/>
                <w:szCs w:val="20"/>
                <w:lang w:eastAsia="zh-CN"/>
              </w:rPr>
              <w:t>—</w:t>
            </w:r>
            <w:r>
              <w:rPr>
                <w:rFonts w:ascii="Arial" w:hAnsi="Arial" w:cs="Arial"/>
                <w:sz w:val="20"/>
                <w:szCs w:val="20"/>
              </w:rPr>
              <w:t>1、第5.2.5节</w:t>
            </w:r>
            <w:r>
              <w:rPr>
                <w:rFonts w:hint="eastAsia" w:ascii="Arial" w:hAnsi="Arial" w:cs="Arial"/>
                <w:sz w:val="20"/>
                <w:szCs w:val="20"/>
                <w:lang w:eastAsia="zh-CN"/>
              </w:rPr>
              <w:t>：</w:t>
            </w:r>
            <w:r>
              <w:rPr>
                <w:rFonts w:ascii="Arial" w:hAnsi="Arial" w:cs="Arial"/>
                <w:sz w:val="20"/>
                <w:szCs w:val="20"/>
              </w:rPr>
              <w:t>《湖南省妇女发展规划</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2025年</w:t>
            </w:r>
            <w:r>
              <w:rPr>
                <w:rFonts w:hint="eastAsia" w:ascii="Arial" w:hAnsi="Arial" w:cs="Arial"/>
                <w:sz w:val="20"/>
                <w:szCs w:val="20"/>
                <w:lang w:eastAsia="zh-CN"/>
              </w:rPr>
              <w:t>）》《</w:t>
            </w:r>
            <w:r>
              <w:rPr>
                <w:rFonts w:ascii="Arial" w:hAnsi="Arial" w:cs="Arial"/>
                <w:sz w:val="20"/>
                <w:szCs w:val="20"/>
              </w:rPr>
              <w:t>湖南省儿童发展规划</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2025年</w:t>
            </w:r>
            <w:r>
              <w:rPr>
                <w:rFonts w:hint="eastAsia" w:ascii="Arial" w:hAnsi="Arial" w:cs="Arial"/>
                <w:sz w:val="20"/>
                <w:szCs w:val="20"/>
                <w:lang w:eastAsia="zh-CN"/>
              </w:rPr>
              <w:t>）》《</w:t>
            </w:r>
            <w:r>
              <w:rPr>
                <w:rFonts w:ascii="Arial" w:hAnsi="Arial" w:cs="Arial"/>
                <w:sz w:val="20"/>
                <w:szCs w:val="20"/>
              </w:rPr>
              <w:t>中国妇女发展纲要</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2030年</w:t>
            </w:r>
            <w:r>
              <w:rPr>
                <w:rFonts w:hint="eastAsia" w:ascii="Arial" w:hAnsi="Arial" w:cs="Arial"/>
                <w:sz w:val="20"/>
                <w:szCs w:val="20"/>
                <w:lang w:eastAsia="zh-CN"/>
              </w:rPr>
              <w:t>）</w:t>
            </w:r>
            <w:r>
              <w:rPr>
                <w:rFonts w:ascii="Arial" w:hAnsi="Arial" w:cs="Arial"/>
                <w:sz w:val="20"/>
                <w:szCs w:val="20"/>
              </w:rPr>
              <w:t>》的发布时间不准确</w:t>
            </w:r>
          </w:p>
        </w:tc>
        <w:tc>
          <w:tcPr>
            <w:tcW w:w="1473" w:type="pct"/>
            <w:shd w:val="clear" w:color="auto" w:fill="auto"/>
          </w:tcPr>
          <w:p w14:paraId="6E9E6919">
            <w:pPr>
              <w:snapToGrid w:val="0"/>
              <w:rPr>
                <w:rFonts w:ascii="Arial" w:hAnsi="Arial" w:cs="Arial"/>
                <w:sz w:val="20"/>
                <w:szCs w:val="20"/>
              </w:rPr>
            </w:pPr>
            <w:r>
              <w:rPr>
                <w:rFonts w:ascii="Arial" w:hAnsi="Arial" w:cs="Arial"/>
                <w:sz w:val="20"/>
                <w:szCs w:val="20"/>
              </w:rPr>
              <w:t>建议修改为《湖南省妇女发展规划</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2025年</w:t>
            </w:r>
            <w:r>
              <w:rPr>
                <w:rFonts w:hint="eastAsia" w:ascii="Arial" w:hAnsi="Arial" w:cs="Arial"/>
                <w:sz w:val="20"/>
                <w:szCs w:val="20"/>
                <w:lang w:eastAsia="zh-CN"/>
              </w:rPr>
              <w:t>）</w:t>
            </w:r>
            <w:r>
              <w:rPr>
                <w:rFonts w:ascii="Arial" w:hAnsi="Arial" w:cs="Arial"/>
                <w:sz w:val="20"/>
                <w:szCs w:val="20"/>
              </w:rPr>
              <w:t>》</w:t>
            </w:r>
            <w:r>
              <w:rPr>
                <w:rFonts w:hint="eastAsia" w:ascii="Arial" w:hAnsi="Arial" w:cs="Arial"/>
                <w:sz w:val="20"/>
                <w:szCs w:val="20"/>
                <w:lang w:eastAsia="zh-CN"/>
              </w:rPr>
              <w:t>（</w:t>
            </w:r>
            <w:r>
              <w:rPr>
                <w:rFonts w:ascii="Arial" w:hAnsi="Arial" w:cs="Arial"/>
                <w:sz w:val="20"/>
                <w:szCs w:val="20"/>
              </w:rPr>
              <w:t>2021.9.16</w:t>
            </w:r>
            <w:r>
              <w:rPr>
                <w:rFonts w:hint="eastAsia" w:ascii="Arial" w:hAnsi="Arial" w:cs="Arial"/>
                <w:sz w:val="20"/>
                <w:szCs w:val="20"/>
                <w:lang w:eastAsia="zh-CN"/>
              </w:rPr>
              <w:t>）</w:t>
            </w:r>
            <w:r>
              <w:rPr>
                <w:rFonts w:ascii="Arial" w:hAnsi="Arial" w:cs="Arial"/>
                <w:sz w:val="20"/>
                <w:szCs w:val="20"/>
              </w:rPr>
              <w:t>，《湖南省儿童发展规划</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2025年</w:t>
            </w:r>
            <w:r>
              <w:rPr>
                <w:rFonts w:hint="eastAsia" w:ascii="Arial" w:hAnsi="Arial" w:cs="Arial"/>
                <w:sz w:val="20"/>
                <w:szCs w:val="20"/>
                <w:lang w:eastAsia="zh-CN"/>
              </w:rPr>
              <w:t>）</w:t>
            </w:r>
            <w:r>
              <w:rPr>
                <w:rFonts w:ascii="Arial" w:hAnsi="Arial" w:cs="Arial"/>
                <w:sz w:val="20"/>
                <w:szCs w:val="20"/>
              </w:rPr>
              <w:t>》</w:t>
            </w:r>
            <w:r>
              <w:rPr>
                <w:rFonts w:hint="eastAsia" w:ascii="Arial" w:hAnsi="Arial" w:cs="Arial"/>
                <w:sz w:val="20"/>
                <w:szCs w:val="20"/>
                <w:lang w:eastAsia="zh-CN"/>
              </w:rPr>
              <w:t>（</w:t>
            </w:r>
            <w:r>
              <w:rPr>
                <w:rFonts w:ascii="Arial" w:hAnsi="Arial" w:cs="Arial"/>
                <w:sz w:val="20"/>
                <w:szCs w:val="20"/>
              </w:rPr>
              <w:t>2021.9.</w:t>
            </w:r>
            <w:r>
              <w:rPr>
                <w:rFonts w:hint="eastAsia" w:ascii="Arial" w:hAnsi="Arial" w:cs="Arial"/>
                <w:sz w:val="20"/>
                <w:szCs w:val="20"/>
                <w:lang w:eastAsia="zh-CN"/>
              </w:rPr>
              <w:t>16）</w:t>
            </w:r>
            <w:r>
              <w:rPr>
                <w:rFonts w:ascii="Arial" w:hAnsi="Arial" w:cs="Arial"/>
                <w:sz w:val="20"/>
                <w:szCs w:val="20"/>
              </w:rPr>
              <w:t>国务院于2022年9月颁布了《中国妇女发展纲要</w:t>
            </w:r>
            <w:r>
              <w:rPr>
                <w:rFonts w:hint="eastAsia" w:ascii="Arial" w:hAnsi="Arial" w:cs="Arial"/>
                <w:sz w:val="20"/>
                <w:szCs w:val="20"/>
                <w:lang w:eastAsia="zh-CN"/>
              </w:rPr>
              <w:t>（</w:t>
            </w:r>
            <w:r>
              <w:rPr>
                <w:rFonts w:ascii="Arial" w:hAnsi="Arial" w:cs="Arial"/>
                <w:sz w:val="20"/>
                <w:szCs w:val="20"/>
              </w:rPr>
              <w:t>2021</w:t>
            </w:r>
            <w:r>
              <w:rPr>
                <w:rFonts w:hint="eastAsia" w:ascii="Arial" w:hAnsi="Arial" w:cs="Arial"/>
                <w:sz w:val="20"/>
                <w:szCs w:val="20"/>
                <w:lang w:eastAsia="zh-CN"/>
              </w:rPr>
              <w:t>—</w:t>
            </w:r>
            <w:r>
              <w:rPr>
                <w:rFonts w:ascii="Arial" w:hAnsi="Arial" w:cs="Arial"/>
                <w:sz w:val="20"/>
                <w:szCs w:val="20"/>
              </w:rPr>
              <w:t>2030年</w:t>
            </w:r>
            <w:r>
              <w:rPr>
                <w:rFonts w:hint="eastAsia" w:ascii="Arial" w:hAnsi="Arial" w:cs="Arial"/>
                <w:sz w:val="20"/>
                <w:szCs w:val="20"/>
                <w:lang w:eastAsia="zh-CN"/>
              </w:rPr>
              <w:t>）</w:t>
            </w:r>
            <w:r>
              <w:rPr>
                <w:rFonts w:ascii="Arial" w:hAnsi="Arial" w:cs="Arial"/>
                <w:sz w:val="20"/>
                <w:szCs w:val="20"/>
              </w:rPr>
              <w:t>》</w:t>
            </w:r>
          </w:p>
        </w:tc>
        <w:tc>
          <w:tcPr>
            <w:tcW w:w="735" w:type="pct"/>
            <w:shd w:val="clear" w:color="auto" w:fill="auto"/>
          </w:tcPr>
          <w:p w14:paraId="4E32DBE4">
            <w:pPr>
              <w:snapToGrid w:val="0"/>
              <w:rPr>
                <w:rFonts w:ascii="Arial" w:hAnsi="Arial" w:cs="Arial"/>
                <w:sz w:val="20"/>
                <w:szCs w:val="20"/>
              </w:rPr>
            </w:pPr>
            <w:r>
              <w:rPr>
                <w:rFonts w:ascii="Arial" w:hAnsi="Arial" w:cs="Arial"/>
                <w:sz w:val="20"/>
                <w:szCs w:val="20"/>
              </w:rPr>
              <w:t>湖南省妇联</w:t>
            </w:r>
          </w:p>
        </w:tc>
        <w:tc>
          <w:tcPr>
            <w:tcW w:w="1175" w:type="pct"/>
            <w:shd w:val="clear" w:color="auto" w:fill="auto"/>
          </w:tcPr>
          <w:p w14:paraId="102AA4C1">
            <w:pPr>
              <w:snapToGrid w:val="0"/>
              <w:rPr>
                <w:rFonts w:ascii="Arial" w:hAnsi="Arial" w:cs="Arial"/>
                <w:sz w:val="20"/>
                <w:szCs w:val="20"/>
              </w:rPr>
            </w:pPr>
            <w:r>
              <w:rPr>
                <w:rFonts w:ascii="Arial" w:hAnsi="Arial" w:cs="Arial"/>
                <w:sz w:val="20"/>
                <w:szCs w:val="20"/>
              </w:rPr>
              <w:t>已按建议修改</w:t>
            </w:r>
          </w:p>
        </w:tc>
      </w:tr>
      <w:tr w14:paraId="6376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30930C35">
            <w:pPr>
              <w:snapToGrid w:val="0"/>
              <w:rPr>
                <w:rFonts w:ascii="Arial" w:hAnsi="Arial" w:cs="Arial"/>
                <w:sz w:val="20"/>
                <w:szCs w:val="20"/>
              </w:rPr>
            </w:pPr>
            <w:r>
              <w:rPr>
                <w:rFonts w:ascii="Arial" w:hAnsi="Arial" w:cs="Arial"/>
                <w:sz w:val="20"/>
                <w:szCs w:val="20"/>
              </w:rPr>
              <w:t>20</w:t>
            </w:r>
          </w:p>
        </w:tc>
        <w:tc>
          <w:tcPr>
            <w:tcW w:w="1325" w:type="pct"/>
            <w:shd w:val="clear" w:color="auto" w:fill="auto"/>
          </w:tcPr>
          <w:p w14:paraId="1448242C">
            <w:pPr>
              <w:snapToGrid w:val="0"/>
              <w:rPr>
                <w:rFonts w:ascii="Arial" w:hAnsi="Arial" w:cs="Arial"/>
                <w:sz w:val="20"/>
                <w:szCs w:val="20"/>
              </w:rPr>
            </w:pPr>
            <w:r>
              <w:rPr>
                <w:rFonts w:ascii="Arial" w:hAnsi="Arial" w:cs="Arial"/>
                <w:sz w:val="20"/>
                <w:szCs w:val="20"/>
              </w:rPr>
              <w:t>附件3，核心原则5，要素12，vi</w:t>
            </w:r>
            <w:r>
              <w:rPr>
                <w:rFonts w:hint="eastAsia" w:ascii="Arial" w:hAnsi="Arial" w:cs="Arial"/>
                <w:sz w:val="20"/>
                <w:szCs w:val="20"/>
                <w:lang w:eastAsia="zh-CN"/>
              </w:rPr>
              <w:t>）</w:t>
            </w:r>
            <w:r>
              <w:rPr>
                <w:rFonts w:ascii="Arial" w:hAnsi="Arial" w:cs="Arial"/>
                <w:sz w:val="20"/>
                <w:szCs w:val="20"/>
              </w:rPr>
              <w:t>《中国妇女发展纲要（2011</w:t>
            </w:r>
            <w:r>
              <w:rPr>
                <w:rFonts w:hint="eastAsia" w:ascii="Arial" w:hAnsi="Arial" w:cs="Arial"/>
                <w:sz w:val="20"/>
                <w:szCs w:val="20"/>
                <w:lang w:eastAsia="zh-CN"/>
              </w:rPr>
              <w:t>—</w:t>
            </w:r>
            <w:r>
              <w:rPr>
                <w:rFonts w:ascii="Arial" w:hAnsi="Arial" w:cs="Arial"/>
                <w:sz w:val="20"/>
                <w:szCs w:val="20"/>
              </w:rPr>
              <w:t>2020年）》的时效性</w:t>
            </w:r>
          </w:p>
        </w:tc>
        <w:tc>
          <w:tcPr>
            <w:tcW w:w="1473" w:type="pct"/>
            <w:shd w:val="clear" w:color="auto" w:fill="auto"/>
          </w:tcPr>
          <w:p w14:paraId="2EA07A70">
            <w:pPr>
              <w:snapToGrid w:val="0"/>
              <w:rPr>
                <w:rFonts w:ascii="Arial" w:hAnsi="Arial" w:cs="Arial"/>
                <w:sz w:val="20"/>
                <w:szCs w:val="20"/>
              </w:rPr>
            </w:pPr>
            <w:r>
              <w:rPr>
                <w:rFonts w:ascii="Arial" w:hAnsi="Arial" w:cs="Arial"/>
                <w:sz w:val="20"/>
                <w:szCs w:val="20"/>
              </w:rPr>
              <w:t>建议改为“vi</w:t>
            </w:r>
            <w:r>
              <w:rPr>
                <w:rFonts w:hint="eastAsia" w:ascii="Arial" w:hAnsi="Arial" w:cs="Arial"/>
                <w:sz w:val="20"/>
                <w:szCs w:val="20"/>
                <w:lang w:eastAsia="zh-CN"/>
              </w:rPr>
              <w:t>）</w:t>
            </w:r>
            <w:r>
              <w:rPr>
                <w:rFonts w:ascii="Arial" w:hAnsi="Arial" w:cs="Arial"/>
                <w:sz w:val="20"/>
                <w:szCs w:val="20"/>
              </w:rPr>
              <w:t>《中国妇女发展纲要（2021</w:t>
            </w:r>
            <w:r>
              <w:rPr>
                <w:rFonts w:hint="eastAsia" w:ascii="Arial" w:hAnsi="Arial" w:cs="Arial"/>
                <w:sz w:val="20"/>
                <w:szCs w:val="20"/>
                <w:lang w:eastAsia="zh-CN"/>
              </w:rPr>
              <w:t>—</w:t>
            </w:r>
            <w:r>
              <w:rPr>
                <w:rFonts w:ascii="Arial" w:hAnsi="Arial" w:cs="Arial"/>
                <w:sz w:val="20"/>
                <w:szCs w:val="20"/>
              </w:rPr>
              <w:t>2030年）》”</w:t>
            </w:r>
          </w:p>
        </w:tc>
        <w:tc>
          <w:tcPr>
            <w:tcW w:w="735" w:type="pct"/>
            <w:shd w:val="clear" w:color="auto" w:fill="auto"/>
          </w:tcPr>
          <w:p w14:paraId="5D85D4FB">
            <w:pPr>
              <w:snapToGrid w:val="0"/>
              <w:rPr>
                <w:rFonts w:ascii="Arial" w:hAnsi="Arial" w:cs="Arial"/>
                <w:sz w:val="20"/>
                <w:szCs w:val="20"/>
              </w:rPr>
            </w:pPr>
            <w:r>
              <w:rPr>
                <w:rFonts w:ascii="Arial" w:hAnsi="Arial" w:cs="Arial"/>
                <w:sz w:val="20"/>
                <w:szCs w:val="20"/>
              </w:rPr>
              <w:t>湖南省妇联</w:t>
            </w:r>
          </w:p>
        </w:tc>
        <w:tc>
          <w:tcPr>
            <w:tcW w:w="1175" w:type="pct"/>
            <w:shd w:val="clear" w:color="auto" w:fill="auto"/>
          </w:tcPr>
          <w:p w14:paraId="72488729">
            <w:pPr>
              <w:snapToGrid w:val="0"/>
              <w:rPr>
                <w:rFonts w:ascii="Arial" w:hAnsi="Arial" w:cs="Arial"/>
                <w:sz w:val="20"/>
                <w:szCs w:val="20"/>
              </w:rPr>
            </w:pPr>
            <w:r>
              <w:rPr>
                <w:rFonts w:ascii="Arial" w:hAnsi="Arial" w:cs="Arial"/>
                <w:sz w:val="20"/>
                <w:szCs w:val="20"/>
              </w:rPr>
              <w:t>已按建议修改</w:t>
            </w:r>
          </w:p>
        </w:tc>
      </w:tr>
      <w:tr w14:paraId="7F0A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39994DF">
            <w:pPr>
              <w:snapToGrid w:val="0"/>
              <w:rPr>
                <w:rFonts w:ascii="Arial" w:hAnsi="Arial" w:cs="Arial"/>
                <w:sz w:val="20"/>
                <w:szCs w:val="20"/>
              </w:rPr>
            </w:pPr>
            <w:r>
              <w:rPr>
                <w:rFonts w:ascii="Arial" w:hAnsi="Arial" w:cs="Arial"/>
                <w:sz w:val="20"/>
                <w:szCs w:val="20"/>
              </w:rPr>
              <w:t>21</w:t>
            </w:r>
          </w:p>
        </w:tc>
        <w:tc>
          <w:tcPr>
            <w:tcW w:w="1325" w:type="pct"/>
            <w:shd w:val="clear" w:color="auto" w:fill="auto"/>
          </w:tcPr>
          <w:p w14:paraId="75F11390">
            <w:pPr>
              <w:snapToGrid w:val="0"/>
              <w:rPr>
                <w:rFonts w:ascii="Arial" w:hAnsi="Arial" w:cs="Arial"/>
                <w:sz w:val="20"/>
                <w:szCs w:val="20"/>
              </w:rPr>
            </w:pPr>
            <w:r>
              <w:rPr>
                <w:rFonts w:ascii="Arial" w:hAnsi="Arial" w:cs="Arial"/>
                <w:sz w:val="20"/>
                <w:szCs w:val="20"/>
              </w:rPr>
              <w:t>第5.1节表5</w:t>
            </w:r>
            <w:r>
              <w:rPr>
                <w:rFonts w:hint="eastAsia" w:ascii="Arial" w:hAnsi="Arial" w:cs="Arial"/>
                <w:sz w:val="20"/>
                <w:szCs w:val="20"/>
                <w:lang w:eastAsia="zh-CN"/>
              </w:rPr>
              <w:t>—</w:t>
            </w:r>
            <w:r>
              <w:rPr>
                <w:rFonts w:ascii="Arial" w:hAnsi="Arial" w:cs="Arial"/>
                <w:sz w:val="20"/>
                <w:szCs w:val="20"/>
              </w:rPr>
              <w:t>1：关于劳动者保障，引用政策不完全</w:t>
            </w:r>
          </w:p>
        </w:tc>
        <w:tc>
          <w:tcPr>
            <w:tcW w:w="1473" w:type="pct"/>
            <w:shd w:val="clear" w:color="auto" w:fill="auto"/>
          </w:tcPr>
          <w:p w14:paraId="3C887260">
            <w:pPr>
              <w:snapToGrid w:val="0"/>
              <w:rPr>
                <w:rFonts w:ascii="Arial" w:hAnsi="Arial" w:cs="Arial"/>
                <w:sz w:val="20"/>
                <w:szCs w:val="20"/>
              </w:rPr>
            </w:pPr>
            <w:r>
              <w:rPr>
                <w:rFonts w:ascii="Arial" w:hAnsi="Arial" w:cs="Arial"/>
                <w:sz w:val="20"/>
                <w:szCs w:val="20"/>
              </w:rPr>
              <w:t>建议增加《保障农民工工资支付条例》</w:t>
            </w:r>
          </w:p>
        </w:tc>
        <w:tc>
          <w:tcPr>
            <w:tcW w:w="735" w:type="pct"/>
            <w:shd w:val="clear" w:color="auto" w:fill="auto"/>
          </w:tcPr>
          <w:p w14:paraId="5998987A">
            <w:pPr>
              <w:snapToGrid w:val="0"/>
              <w:rPr>
                <w:rFonts w:ascii="Arial" w:hAnsi="Arial" w:cs="Arial"/>
                <w:sz w:val="20"/>
                <w:szCs w:val="20"/>
              </w:rPr>
            </w:pPr>
            <w:r>
              <w:rPr>
                <w:rFonts w:ascii="Arial" w:hAnsi="Arial" w:cs="Arial"/>
                <w:sz w:val="20"/>
                <w:szCs w:val="20"/>
              </w:rPr>
              <w:t>永定区人社局</w:t>
            </w:r>
          </w:p>
        </w:tc>
        <w:tc>
          <w:tcPr>
            <w:tcW w:w="1175" w:type="pct"/>
            <w:shd w:val="clear" w:color="auto" w:fill="auto"/>
          </w:tcPr>
          <w:p w14:paraId="4E1E64B9">
            <w:pPr>
              <w:snapToGrid w:val="0"/>
              <w:rPr>
                <w:rFonts w:ascii="Arial" w:hAnsi="Arial" w:cs="Arial"/>
                <w:sz w:val="20"/>
                <w:szCs w:val="20"/>
              </w:rPr>
            </w:pPr>
            <w:r>
              <w:rPr>
                <w:rFonts w:ascii="Arial" w:hAnsi="Arial" w:cs="Arial"/>
                <w:sz w:val="20"/>
                <w:szCs w:val="20"/>
              </w:rPr>
              <w:t>已按建议修改</w:t>
            </w:r>
          </w:p>
        </w:tc>
      </w:tr>
      <w:tr w14:paraId="21EE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23916E0C">
            <w:pPr>
              <w:snapToGrid w:val="0"/>
              <w:rPr>
                <w:rFonts w:ascii="Arial" w:hAnsi="Arial" w:cs="Arial"/>
                <w:sz w:val="20"/>
                <w:szCs w:val="20"/>
              </w:rPr>
            </w:pPr>
            <w:r>
              <w:rPr>
                <w:rFonts w:ascii="Arial" w:hAnsi="Arial" w:cs="Arial"/>
                <w:sz w:val="20"/>
                <w:szCs w:val="20"/>
              </w:rPr>
              <w:t>22</w:t>
            </w:r>
          </w:p>
        </w:tc>
        <w:tc>
          <w:tcPr>
            <w:tcW w:w="1325" w:type="pct"/>
            <w:shd w:val="clear" w:color="auto" w:fill="auto"/>
          </w:tcPr>
          <w:p w14:paraId="1D377636">
            <w:pPr>
              <w:snapToGrid w:val="0"/>
              <w:rPr>
                <w:rFonts w:ascii="Arial" w:hAnsi="Arial" w:cs="Arial"/>
                <w:sz w:val="20"/>
                <w:szCs w:val="20"/>
              </w:rPr>
            </w:pPr>
            <w:r>
              <w:rPr>
                <w:rFonts w:ascii="Arial" w:hAnsi="Arial" w:cs="Arial"/>
                <w:sz w:val="20"/>
                <w:szCs w:val="20"/>
              </w:rPr>
              <w:t>第5.1节表5</w:t>
            </w:r>
            <w:r>
              <w:rPr>
                <w:rFonts w:hint="eastAsia" w:ascii="Arial" w:hAnsi="Arial" w:cs="Arial"/>
                <w:sz w:val="20"/>
                <w:szCs w:val="20"/>
                <w:lang w:eastAsia="zh-CN"/>
              </w:rPr>
              <w:t>—</w:t>
            </w:r>
            <w:r>
              <w:rPr>
                <w:rFonts w:ascii="Arial" w:hAnsi="Arial" w:cs="Arial"/>
                <w:sz w:val="20"/>
                <w:szCs w:val="20"/>
              </w:rPr>
              <w:t>1：关于征地、移民和土地使用限制，引用政策不完全</w:t>
            </w:r>
          </w:p>
        </w:tc>
        <w:tc>
          <w:tcPr>
            <w:tcW w:w="1473" w:type="pct"/>
            <w:shd w:val="clear" w:color="auto" w:fill="auto"/>
          </w:tcPr>
          <w:p w14:paraId="73BEC3C4">
            <w:pPr>
              <w:snapToGrid w:val="0"/>
              <w:rPr>
                <w:rFonts w:ascii="Arial" w:hAnsi="Arial" w:cs="Arial"/>
                <w:sz w:val="20"/>
                <w:szCs w:val="20"/>
              </w:rPr>
            </w:pPr>
            <w:r>
              <w:rPr>
                <w:rFonts w:ascii="Arial" w:hAnsi="Arial" w:cs="Arial"/>
                <w:sz w:val="20"/>
                <w:szCs w:val="20"/>
              </w:rPr>
              <w:t>建议增加《中共中央办公厅 国务院办公厅关于在国土空间规划中统筹划定落实三条控制线的指导意见》（厅字</w:t>
            </w:r>
            <w:r>
              <w:rPr>
                <w:rFonts w:hint="eastAsia" w:ascii="Arial" w:hAnsi="Arial" w:cs="Arial"/>
                <w:sz w:val="20"/>
                <w:szCs w:val="20"/>
                <w:lang w:eastAsia="zh-CN"/>
              </w:rPr>
              <w:t>〔2019〕48号</w:t>
            </w:r>
            <w:r>
              <w:rPr>
                <w:rFonts w:ascii="Arial" w:hAnsi="Arial" w:cs="Arial"/>
                <w:sz w:val="20"/>
                <w:szCs w:val="20"/>
              </w:rPr>
              <w:t>）和《自然资源部 生态环境部 国家林业和草原局 关于加强生态保护红线管理的通知（试行）》（自然资发</w:t>
            </w:r>
            <w:r>
              <w:rPr>
                <w:rFonts w:hint="eastAsia" w:ascii="Arial" w:hAnsi="Arial" w:cs="Arial"/>
                <w:sz w:val="20"/>
                <w:szCs w:val="20"/>
                <w:lang w:eastAsia="zh-CN"/>
              </w:rPr>
              <w:t>〔2022〕142号</w:t>
            </w:r>
            <w:r>
              <w:rPr>
                <w:rFonts w:ascii="Arial" w:hAnsi="Arial" w:cs="Arial"/>
                <w:sz w:val="20"/>
                <w:szCs w:val="20"/>
              </w:rPr>
              <w:t>）</w:t>
            </w:r>
          </w:p>
        </w:tc>
        <w:tc>
          <w:tcPr>
            <w:tcW w:w="735" w:type="pct"/>
            <w:shd w:val="clear" w:color="auto" w:fill="auto"/>
          </w:tcPr>
          <w:p w14:paraId="78692159">
            <w:pPr>
              <w:snapToGrid w:val="0"/>
              <w:rPr>
                <w:rFonts w:ascii="Arial" w:hAnsi="Arial" w:cs="Arial"/>
                <w:sz w:val="20"/>
                <w:szCs w:val="20"/>
              </w:rPr>
            </w:pPr>
            <w:r>
              <w:rPr>
                <w:rFonts w:ascii="Arial" w:hAnsi="Arial" w:cs="Arial"/>
                <w:sz w:val="20"/>
                <w:szCs w:val="20"/>
              </w:rPr>
              <w:t>湖南省自然资源厅</w:t>
            </w:r>
          </w:p>
        </w:tc>
        <w:tc>
          <w:tcPr>
            <w:tcW w:w="1175" w:type="pct"/>
            <w:shd w:val="clear" w:color="auto" w:fill="auto"/>
          </w:tcPr>
          <w:p w14:paraId="743149F1">
            <w:pPr>
              <w:snapToGrid w:val="0"/>
              <w:rPr>
                <w:rFonts w:ascii="Arial" w:hAnsi="Arial" w:cs="Arial"/>
                <w:sz w:val="20"/>
                <w:szCs w:val="20"/>
              </w:rPr>
            </w:pPr>
            <w:r>
              <w:rPr>
                <w:rFonts w:ascii="Arial" w:hAnsi="Arial" w:cs="Arial"/>
                <w:sz w:val="20"/>
                <w:szCs w:val="20"/>
              </w:rPr>
              <w:t>已按建议修改</w:t>
            </w:r>
          </w:p>
        </w:tc>
      </w:tr>
      <w:tr w14:paraId="7714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5BEA2D84">
            <w:pPr>
              <w:snapToGrid w:val="0"/>
              <w:rPr>
                <w:rFonts w:ascii="Arial" w:hAnsi="Arial" w:cs="Arial"/>
                <w:sz w:val="20"/>
                <w:szCs w:val="20"/>
              </w:rPr>
            </w:pPr>
            <w:r>
              <w:rPr>
                <w:rFonts w:hint="eastAsia" w:ascii="Arial" w:hAnsi="Arial" w:cs="Arial"/>
                <w:sz w:val="20"/>
                <w:szCs w:val="20"/>
              </w:rPr>
              <w:t>23</w:t>
            </w:r>
          </w:p>
        </w:tc>
        <w:tc>
          <w:tcPr>
            <w:tcW w:w="1325" w:type="pct"/>
            <w:shd w:val="clear" w:color="auto" w:fill="auto"/>
          </w:tcPr>
          <w:p w14:paraId="41E0FB8B">
            <w:pPr>
              <w:snapToGrid w:val="0"/>
              <w:rPr>
                <w:rFonts w:ascii="Arial" w:hAnsi="Arial" w:cs="Arial"/>
                <w:sz w:val="20"/>
                <w:szCs w:val="20"/>
              </w:rPr>
            </w:pPr>
            <w:r>
              <w:rPr>
                <w:rFonts w:hint="eastAsia" w:ascii="Arial" w:hAnsi="Arial" w:cs="Arial"/>
                <w:sz w:val="20"/>
                <w:szCs w:val="20"/>
              </w:rPr>
              <w:t>第5.2.5节，要素12，《中华人民共和国妇女权益保障法》的时效性。</w:t>
            </w:r>
          </w:p>
        </w:tc>
        <w:tc>
          <w:tcPr>
            <w:tcW w:w="1473" w:type="pct"/>
            <w:shd w:val="clear" w:color="auto" w:fill="auto"/>
          </w:tcPr>
          <w:p w14:paraId="6F1ECE1F">
            <w:pPr>
              <w:snapToGrid w:val="0"/>
              <w:rPr>
                <w:rFonts w:ascii="Arial" w:hAnsi="Arial" w:cs="Arial"/>
                <w:sz w:val="20"/>
                <w:szCs w:val="20"/>
              </w:rPr>
            </w:pPr>
            <w:r>
              <w:rPr>
                <w:rFonts w:hint="eastAsia" w:ascii="Arial" w:hAnsi="Arial" w:cs="Arial"/>
                <w:sz w:val="20"/>
                <w:szCs w:val="20"/>
              </w:rPr>
              <w:t>建议修改为《中华人民共和国妇女权益保障法》（2023修正）</w:t>
            </w:r>
          </w:p>
        </w:tc>
        <w:tc>
          <w:tcPr>
            <w:tcW w:w="735" w:type="pct"/>
            <w:shd w:val="clear" w:color="auto" w:fill="auto"/>
          </w:tcPr>
          <w:p w14:paraId="0BD6782C">
            <w:pPr>
              <w:snapToGrid w:val="0"/>
              <w:rPr>
                <w:rFonts w:ascii="Arial" w:hAnsi="Arial" w:cs="Arial"/>
                <w:sz w:val="20"/>
                <w:szCs w:val="20"/>
              </w:rPr>
            </w:pPr>
            <w:r>
              <w:rPr>
                <w:rFonts w:hint="eastAsia" w:ascii="Arial" w:hAnsi="Arial" w:cs="Arial"/>
                <w:sz w:val="20"/>
                <w:szCs w:val="20"/>
              </w:rPr>
              <w:t>湖北省咸安区妇联</w:t>
            </w:r>
          </w:p>
        </w:tc>
        <w:tc>
          <w:tcPr>
            <w:tcW w:w="1175" w:type="pct"/>
            <w:shd w:val="clear" w:color="auto" w:fill="auto"/>
          </w:tcPr>
          <w:p w14:paraId="3DCCDBAB">
            <w:pPr>
              <w:snapToGrid w:val="0"/>
              <w:rPr>
                <w:rFonts w:ascii="Arial" w:hAnsi="Arial" w:cs="Arial"/>
                <w:sz w:val="20"/>
                <w:szCs w:val="20"/>
              </w:rPr>
            </w:pPr>
            <w:r>
              <w:rPr>
                <w:rFonts w:ascii="Arial" w:hAnsi="Arial" w:cs="Arial"/>
                <w:sz w:val="20"/>
                <w:szCs w:val="20"/>
              </w:rPr>
              <w:t>已按建议修改</w:t>
            </w:r>
          </w:p>
        </w:tc>
      </w:tr>
      <w:tr w14:paraId="2008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6298EEA6">
            <w:pPr>
              <w:snapToGrid w:val="0"/>
              <w:rPr>
                <w:rFonts w:ascii="Arial" w:hAnsi="Arial" w:cs="Arial"/>
                <w:b/>
                <w:bCs/>
                <w:sz w:val="20"/>
                <w:szCs w:val="20"/>
              </w:rPr>
            </w:pPr>
            <w:r>
              <w:rPr>
                <w:rFonts w:ascii="Arial" w:hAnsi="Arial" w:cs="Arial"/>
                <w:b/>
                <w:bCs/>
                <w:sz w:val="20"/>
                <w:szCs w:val="20"/>
              </w:rPr>
              <w:t>关于政策的分析和理解</w:t>
            </w:r>
          </w:p>
        </w:tc>
      </w:tr>
      <w:tr w14:paraId="3181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59EC7F0">
            <w:pPr>
              <w:snapToGrid w:val="0"/>
              <w:rPr>
                <w:rFonts w:ascii="Arial" w:hAnsi="Arial" w:cs="Arial"/>
                <w:sz w:val="20"/>
                <w:szCs w:val="20"/>
                <w:lang w:val="en-GB"/>
              </w:rPr>
            </w:pPr>
            <w:r>
              <w:rPr>
                <w:rFonts w:ascii="Arial" w:hAnsi="Arial" w:cs="Arial"/>
                <w:sz w:val="20"/>
                <w:szCs w:val="20"/>
              </w:rPr>
              <w:t>2</w:t>
            </w:r>
            <w:r>
              <w:rPr>
                <w:rFonts w:hint="eastAsia" w:ascii="Arial" w:hAnsi="Arial" w:cs="Arial"/>
                <w:sz w:val="20"/>
                <w:szCs w:val="20"/>
              </w:rPr>
              <w:t>4</w:t>
            </w:r>
          </w:p>
        </w:tc>
        <w:tc>
          <w:tcPr>
            <w:tcW w:w="1325" w:type="pct"/>
            <w:shd w:val="clear" w:color="auto" w:fill="auto"/>
          </w:tcPr>
          <w:p w14:paraId="6769368D">
            <w:pPr>
              <w:snapToGrid w:val="0"/>
              <w:rPr>
                <w:rFonts w:ascii="Arial" w:hAnsi="Arial" w:cs="Arial"/>
                <w:sz w:val="20"/>
                <w:szCs w:val="20"/>
              </w:rPr>
            </w:pPr>
            <w:r>
              <w:rPr>
                <w:rFonts w:ascii="Arial" w:hAnsi="Arial" w:cs="Arial"/>
                <w:sz w:val="20"/>
                <w:szCs w:val="20"/>
              </w:rPr>
              <w:t>第4.5节：农药属于危险化学品的描述</w:t>
            </w:r>
          </w:p>
        </w:tc>
        <w:tc>
          <w:tcPr>
            <w:tcW w:w="1473" w:type="pct"/>
            <w:shd w:val="clear" w:color="auto" w:fill="auto"/>
          </w:tcPr>
          <w:p w14:paraId="4A5E9C82">
            <w:pPr>
              <w:snapToGrid w:val="0"/>
              <w:rPr>
                <w:rFonts w:ascii="Arial" w:hAnsi="Arial" w:cs="Arial"/>
                <w:sz w:val="20"/>
                <w:szCs w:val="20"/>
              </w:rPr>
            </w:pPr>
            <w:r>
              <w:rPr>
                <w:rFonts w:ascii="Arial" w:hAnsi="Arial" w:cs="Arial"/>
                <w:sz w:val="20"/>
                <w:szCs w:val="20"/>
              </w:rPr>
              <w:t>建议</w:t>
            </w:r>
            <w:r>
              <w:rPr>
                <w:rFonts w:ascii="Arial" w:hAnsi="Arial" w:cs="Arial"/>
                <w:sz w:val="20"/>
                <w:szCs w:val="20"/>
                <w:lang w:val="en-GB"/>
              </w:rPr>
              <w:t>修改</w:t>
            </w:r>
            <w:r>
              <w:rPr>
                <w:rFonts w:ascii="Arial" w:hAnsi="Arial" w:cs="Arial"/>
                <w:sz w:val="20"/>
                <w:szCs w:val="20"/>
              </w:rPr>
              <w:t>“危险化学品”措辞，因为属于危险化学品的农药在中国只有很少一部分</w:t>
            </w:r>
          </w:p>
        </w:tc>
        <w:tc>
          <w:tcPr>
            <w:tcW w:w="735" w:type="pct"/>
            <w:shd w:val="clear" w:color="auto" w:fill="auto"/>
          </w:tcPr>
          <w:p w14:paraId="2AA70689">
            <w:pPr>
              <w:snapToGrid w:val="0"/>
              <w:rPr>
                <w:rFonts w:ascii="Arial" w:hAnsi="Arial" w:cs="Arial"/>
                <w:sz w:val="20"/>
                <w:szCs w:val="20"/>
              </w:rPr>
            </w:pPr>
            <w:r>
              <w:rPr>
                <w:rFonts w:ascii="Arial" w:hAnsi="Arial" w:cs="Arial"/>
                <w:sz w:val="20"/>
                <w:szCs w:val="20"/>
              </w:rPr>
              <w:t>湖北省农业农村厅</w:t>
            </w:r>
          </w:p>
        </w:tc>
        <w:tc>
          <w:tcPr>
            <w:tcW w:w="1175" w:type="pct"/>
            <w:shd w:val="clear" w:color="auto" w:fill="auto"/>
          </w:tcPr>
          <w:p w14:paraId="64B29168">
            <w:pPr>
              <w:snapToGrid w:val="0"/>
              <w:rPr>
                <w:rFonts w:ascii="Arial" w:hAnsi="Arial" w:cs="Arial"/>
                <w:sz w:val="20"/>
                <w:szCs w:val="20"/>
              </w:rPr>
            </w:pPr>
            <w:r>
              <w:rPr>
                <w:rFonts w:ascii="Arial" w:hAnsi="Arial" w:cs="Arial"/>
                <w:sz w:val="20"/>
                <w:szCs w:val="20"/>
              </w:rPr>
              <w:t>已按建议修改了相应的措辞</w:t>
            </w:r>
          </w:p>
        </w:tc>
      </w:tr>
      <w:tr w14:paraId="0A5F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20B67BC">
            <w:pPr>
              <w:snapToGrid w:val="0"/>
              <w:rPr>
                <w:rFonts w:ascii="Arial" w:hAnsi="Arial" w:cs="Arial"/>
                <w:sz w:val="20"/>
                <w:szCs w:val="20"/>
              </w:rPr>
            </w:pPr>
            <w:r>
              <w:rPr>
                <w:rFonts w:ascii="Arial" w:hAnsi="Arial" w:cs="Arial"/>
                <w:sz w:val="20"/>
                <w:szCs w:val="20"/>
              </w:rPr>
              <w:t>2</w:t>
            </w:r>
            <w:r>
              <w:rPr>
                <w:rFonts w:hint="eastAsia" w:ascii="Arial" w:hAnsi="Arial" w:cs="Arial"/>
                <w:sz w:val="20"/>
                <w:szCs w:val="20"/>
              </w:rPr>
              <w:t>5</w:t>
            </w:r>
          </w:p>
        </w:tc>
        <w:tc>
          <w:tcPr>
            <w:tcW w:w="1325" w:type="pct"/>
            <w:shd w:val="clear" w:color="auto" w:fill="auto"/>
          </w:tcPr>
          <w:p w14:paraId="4A976E83">
            <w:pPr>
              <w:snapToGrid w:val="0"/>
              <w:rPr>
                <w:rFonts w:ascii="Arial" w:hAnsi="Arial" w:cs="Arial"/>
                <w:sz w:val="20"/>
                <w:szCs w:val="20"/>
              </w:rPr>
            </w:pPr>
            <w:r>
              <w:rPr>
                <w:rFonts w:ascii="Arial" w:hAnsi="Arial" w:cs="Arial"/>
                <w:sz w:val="20"/>
                <w:szCs w:val="20"/>
              </w:rPr>
              <w:t>第4.5节：“畜牧、污水处理、环境卫生管理划为具有危险风险的职业”</w:t>
            </w:r>
          </w:p>
        </w:tc>
        <w:tc>
          <w:tcPr>
            <w:tcW w:w="1473" w:type="pct"/>
            <w:shd w:val="clear" w:color="auto" w:fill="auto"/>
          </w:tcPr>
          <w:p w14:paraId="2E7781EA">
            <w:pPr>
              <w:snapToGrid w:val="0"/>
              <w:rPr>
                <w:rFonts w:ascii="Arial" w:hAnsi="Arial" w:cs="Arial"/>
                <w:sz w:val="20"/>
                <w:szCs w:val="20"/>
              </w:rPr>
            </w:pPr>
            <w:r>
              <w:rPr>
                <w:rFonts w:ascii="Arial" w:hAnsi="Arial" w:cs="Arial"/>
                <w:sz w:val="20"/>
                <w:szCs w:val="20"/>
              </w:rPr>
              <w:t>建议改为“畜牧、污水处理、环境卫生管理在目录中作了风险分类”</w:t>
            </w:r>
          </w:p>
        </w:tc>
        <w:tc>
          <w:tcPr>
            <w:tcW w:w="735" w:type="pct"/>
            <w:shd w:val="clear" w:color="auto" w:fill="auto"/>
          </w:tcPr>
          <w:p w14:paraId="39BFBE2F">
            <w:pPr>
              <w:snapToGrid w:val="0"/>
              <w:rPr>
                <w:rFonts w:ascii="Arial" w:hAnsi="Arial" w:cs="Arial"/>
                <w:sz w:val="20"/>
                <w:szCs w:val="20"/>
              </w:rPr>
            </w:pPr>
            <w:r>
              <w:rPr>
                <w:rFonts w:ascii="Arial" w:hAnsi="Arial" w:cs="Arial"/>
                <w:sz w:val="20"/>
                <w:szCs w:val="20"/>
              </w:rPr>
              <w:t>湖北省随县乡村振兴局</w:t>
            </w:r>
          </w:p>
        </w:tc>
        <w:tc>
          <w:tcPr>
            <w:tcW w:w="1175" w:type="pct"/>
            <w:shd w:val="clear" w:color="auto" w:fill="auto"/>
          </w:tcPr>
          <w:p w14:paraId="0BEFD231">
            <w:pPr>
              <w:snapToGrid w:val="0"/>
              <w:rPr>
                <w:rFonts w:ascii="Arial" w:hAnsi="Arial" w:cs="Arial"/>
                <w:sz w:val="20"/>
                <w:szCs w:val="20"/>
              </w:rPr>
            </w:pPr>
            <w:r>
              <w:rPr>
                <w:rFonts w:ascii="Arial" w:hAnsi="Arial" w:cs="Arial"/>
                <w:sz w:val="20"/>
                <w:szCs w:val="20"/>
              </w:rPr>
              <w:t>已改为“畜牧、污水处理、环境卫生管理划为具有职业病危害一般风险的行业类别”</w:t>
            </w:r>
          </w:p>
        </w:tc>
      </w:tr>
      <w:tr w14:paraId="2C95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057440AF">
            <w:pPr>
              <w:snapToGrid w:val="0"/>
              <w:rPr>
                <w:rFonts w:ascii="Arial" w:hAnsi="Arial" w:cs="Arial"/>
                <w:sz w:val="20"/>
                <w:szCs w:val="20"/>
              </w:rPr>
            </w:pPr>
            <w:r>
              <w:rPr>
                <w:rFonts w:ascii="Arial" w:hAnsi="Arial" w:cs="Arial"/>
                <w:sz w:val="20"/>
                <w:szCs w:val="20"/>
              </w:rPr>
              <w:t>2</w:t>
            </w:r>
            <w:r>
              <w:rPr>
                <w:rFonts w:hint="eastAsia" w:ascii="Arial" w:hAnsi="Arial" w:cs="Arial"/>
                <w:sz w:val="20"/>
                <w:szCs w:val="20"/>
              </w:rPr>
              <w:t>6</w:t>
            </w:r>
          </w:p>
        </w:tc>
        <w:tc>
          <w:tcPr>
            <w:tcW w:w="1325" w:type="pct"/>
            <w:shd w:val="clear" w:color="auto" w:fill="auto"/>
          </w:tcPr>
          <w:p w14:paraId="57E23F42">
            <w:pPr>
              <w:snapToGrid w:val="0"/>
              <w:rPr>
                <w:rFonts w:ascii="Arial" w:hAnsi="Arial" w:cs="Arial"/>
                <w:sz w:val="20"/>
                <w:szCs w:val="20"/>
              </w:rPr>
            </w:pPr>
            <w:r>
              <w:rPr>
                <w:rFonts w:ascii="Arial" w:hAnsi="Arial" w:cs="Arial"/>
                <w:sz w:val="20"/>
                <w:szCs w:val="20"/>
              </w:rPr>
              <w:t>第5.3.1节：“省发改委：负责根据项目社会稳定风险情况审批、核准重大固定资产投资项目；项目核准申请报告时，应当附该项目社会稳定风险评估报告”。</w:t>
            </w:r>
          </w:p>
        </w:tc>
        <w:tc>
          <w:tcPr>
            <w:tcW w:w="1473" w:type="pct"/>
            <w:shd w:val="clear" w:color="auto" w:fill="auto"/>
          </w:tcPr>
          <w:p w14:paraId="1DA19DF9">
            <w:pPr>
              <w:snapToGrid w:val="0"/>
              <w:rPr>
                <w:rFonts w:ascii="Arial" w:hAnsi="Arial" w:cs="Arial"/>
                <w:sz w:val="20"/>
                <w:szCs w:val="20"/>
              </w:rPr>
            </w:pPr>
            <w:r>
              <w:rPr>
                <w:rFonts w:ascii="Arial" w:hAnsi="Arial" w:cs="Arial"/>
                <w:sz w:val="20"/>
                <w:szCs w:val="20"/>
              </w:rPr>
              <w:t>目前可研和核准的前置条件中无社会稳定风险评估报告，建议修改成“…同步开展社会稳定风险评估报告”。</w:t>
            </w:r>
          </w:p>
        </w:tc>
        <w:tc>
          <w:tcPr>
            <w:tcW w:w="735" w:type="pct"/>
            <w:shd w:val="clear" w:color="auto" w:fill="auto"/>
          </w:tcPr>
          <w:p w14:paraId="5C360883">
            <w:pPr>
              <w:snapToGrid w:val="0"/>
              <w:rPr>
                <w:rFonts w:ascii="Arial" w:hAnsi="Arial" w:cs="Arial"/>
                <w:sz w:val="20"/>
                <w:szCs w:val="20"/>
              </w:rPr>
            </w:pPr>
            <w:r>
              <w:rPr>
                <w:rFonts w:ascii="Arial" w:hAnsi="Arial" w:cs="Arial"/>
                <w:sz w:val="20"/>
                <w:szCs w:val="20"/>
              </w:rPr>
              <w:t>第三方机构</w:t>
            </w:r>
          </w:p>
        </w:tc>
        <w:tc>
          <w:tcPr>
            <w:tcW w:w="1175" w:type="pct"/>
            <w:shd w:val="clear" w:color="auto" w:fill="auto"/>
          </w:tcPr>
          <w:p w14:paraId="0AE7BFFB">
            <w:pPr>
              <w:spacing w:line="259" w:lineRule="auto"/>
              <w:rPr>
                <w:rFonts w:ascii="Arial" w:hAnsi="Arial" w:cs="Arial"/>
                <w:sz w:val="20"/>
                <w:szCs w:val="20"/>
              </w:rPr>
            </w:pPr>
            <w:r>
              <w:rPr>
                <w:rFonts w:ascii="Arial" w:hAnsi="Arial" w:cs="Arial"/>
                <w:sz w:val="20"/>
                <w:szCs w:val="20"/>
              </w:rPr>
              <w:t>根据《国家发展改革委重大固定资产投资项目社会稳定风险评估暂行办法》（2012）第六条，在向国家发展改革委报送项目可行性研究报告、项目申请报告的申报文件中，应当包含对该项目社会稳定风险评估报告的意见，并附社会稳定风险评估报告。因此，本条暂不修改。</w:t>
            </w:r>
          </w:p>
        </w:tc>
      </w:tr>
      <w:tr w14:paraId="010D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1DF7640D">
            <w:pPr>
              <w:snapToGrid w:val="0"/>
              <w:rPr>
                <w:rFonts w:ascii="Arial" w:hAnsi="Arial" w:cs="Arial"/>
                <w:sz w:val="20"/>
                <w:szCs w:val="20"/>
              </w:rPr>
            </w:pPr>
            <w:r>
              <w:rPr>
                <w:rFonts w:ascii="Arial" w:hAnsi="Arial" w:cs="Arial"/>
                <w:sz w:val="20"/>
                <w:szCs w:val="20"/>
              </w:rPr>
              <w:t>2</w:t>
            </w:r>
            <w:r>
              <w:rPr>
                <w:rFonts w:hint="eastAsia" w:ascii="Arial" w:hAnsi="Arial" w:cs="Arial"/>
                <w:sz w:val="20"/>
                <w:szCs w:val="20"/>
              </w:rPr>
              <w:t>7</w:t>
            </w:r>
          </w:p>
        </w:tc>
        <w:tc>
          <w:tcPr>
            <w:tcW w:w="1325" w:type="pct"/>
            <w:shd w:val="clear" w:color="auto" w:fill="auto"/>
          </w:tcPr>
          <w:p w14:paraId="36C606CA">
            <w:pPr>
              <w:snapToGrid w:val="0"/>
              <w:rPr>
                <w:rFonts w:ascii="Arial" w:hAnsi="Arial" w:cs="Arial"/>
                <w:sz w:val="20"/>
                <w:szCs w:val="20"/>
              </w:rPr>
            </w:pPr>
            <w:r>
              <w:rPr>
                <w:rFonts w:ascii="Arial" w:hAnsi="Arial" w:cs="Arial"/>
                <w:sz w:val="20"/>
                <w:szCs w:val="20"/>
              </w:rPr>
              <w:t>第5.4.4节：“城镇职工养老保险，自愿选择企业职工基本养老保险的，按缴费一年补贴一年，以现金的方式补贴给个人，鼓励个人缴费参加城镇职工养老保险，以便在达到退休年龄后领取养老金，缴费标准越高，退休时养老金越高”表述不准确</w:t>
            </w:r>
          </w:p>
        </w:tc>
        <w:tc>
          <w:tcPr>
            <w:tcW w:w="1473" w:type="pct"/>
            <w:shd w:val="clear" w:color="auto" w:fill="auto"/>
          </w:tcPr>
          <w:p w14:paraId="65FF3278">
            <w:pPr>
              <w:snapToGrid w:val="0"/>
              <w:rPr>
                <w:rFonts w:ascii="Arial" w:hAnsi="Arial" w:cs="Arial"/>
                <w:sz w:val="20"/>
                <w:szCs w:val="20"/>
              </w:rPr>
            </w:pPr>
            <w:r>
              <w:rPr>
                <w:rFonts w:ascii="Arial" w:hAnsi="Arial" w:cs="Arial"/>
                <w:sz w:val="20"/>
                <w:szCs w:val="20"/>
              </w:rPr>
              <w:t>建议：“湖北省被征地农民社保补贴一次性计入城乡居民养老保险个人账户，被征地农民参加了职工养老保险的，在其退休时，按政策进行衔接”。</w:t>
            </w:r>
          </w:p>
        </w:tc>
        <w:tc>
          <w:tcPr>
            <w:tcW w:w="735" w:type="pct"/>
            <w:shd w:val="clear" w:color="auto" w:fill="auto"/>
          </w:tcPr>
          <w:p w14:paraId="0A40238D">
            <w:pPr>
              <w:snapToGrid w:val="0"/>
              <w:rPr>
                <w:rFonts w:ascii="Arial" w:hAnsi="Arial" w:cs="Arial"/>
                <w:sz w:val="20"/>
                <w:szCs w:val="20"/>
              </w:rPr>
            </w:pPr>
            <w:r>
              <w:rPr>
                <w:rFonts w:ascii="Arial" w:hAnsi="Arial" w:cs="Arial"/>
                <w:sz w:val="20"/>
                <w:szCs w:val="20"/>
              </w:rPr>
              <w:t>湖北省</w:t>
            </w:r>
            <w:r>
              <w:rPr>
                <w:rFonts w:hint="eastAsia" w:ascii="Arial" w:hAnsi="Arial" w:cs="Arial"/>
                <w:sz w:val="20"/>
                <w:szCs w:val="20"/>
                <w:lang w:eastAsia="zh-CN"/>
              </w:rPr>
              <w:t>人力资源和社会保障</w:t>
            </w:r>
            <w:r>
              <w:rPr>
                <w:rFonts w:ascii="Arial" w:hAnsi="Arial" w:cs="Arial"/>
                <w:sz w:val="20"/>
                <w:szCs w:val="20"/>
              </w:rPr>
              <w:t>厅</w:t>
            </w:r>
          </w:p>
        </w:tc>
        <w:tc>
          <w:tcPr>
            <w:tcW w:w="1175" w:type="pct"/>
            <w:shd w:val="clear" w:color="auto" w:fill="auto"/>
          </w:tcPr>
          <w:p w14:paraId="59A098A9">
            <w:pPr>
              <w:snapToGrid w:val="0"/>
              <w:rPr>
                <w:rFonts w:ascii="Arial" w:hAnsi="Arial" w:cs="Arial"/>
                <w:sz w:val="20"/>
                <w:szCs w:val="20"/>
              </w:rPr>
            </w:pPr>
            <w:r>
              <w:rPr>
                <w:rFonts w:ascii="Arial" w:hAnsi="Arial" w:cs="Arial"/>
                <w:sz w:val="20"/>
                <w:szCs w:val="20"/>
              </w:rPr>
              <w:t>已按建议修改</w:t>
            </w:r>
          </w:p>
        </w:tc>
      </w:tr>
      <w:tr w14:paraId="448A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0DB2BB1A">
            <w:pPr>
              <w:snapToGrid w:val="0"/>
              <w:rPr>
                <w:rFonts w:ascii="Arial" w:hAnsi="Arial" w:cs="Arial"/>
                <w:sz w:val="20"/>
                <w:szCs w:val="20"/>
              </w:rPr>
            </w:pPr>
            <w:r>
              <w:rPr>
                <w:rFonts w:ascii="Arial" w:hAnsi="Arial" w:cs="Arial"/>
                <w:sz w:val="20"/>
                <w:szCs w:val="20"/>
              </w:rPr>
              <w:t>2</w:t>
            </w:r>
            <w:r>
              <w:rPr>
                <w:rFonts w:hint="eastAsia" w:ascii="Arial" w:hAnsi="Arial" w:cs="Arial"/>
                <w:sz w:val="20"/>
                <w:szCs w:val="20"/>
              </w:rPr>
              <w:t>8</w:t>
            </w:r>
          </w:p>
        </w:tc>
        <w:tc>
          <w:tcPr>
            <w:tcW w:w="1325" w:type="pct"/>
            <w:shd w:val="clear" w:color="auto" w:fill="auto"/>
          </w:tcPr>
          <w:p w14:paraId="1CC09B1B">
            <w:pPr>
              <w:snapToGrid w:val="0"/>
              <w:rPr>
                <w:rFonts w:ascii="Arial" w:hAnsi="Arial" w:cs="Arial"/>
                <w:sz w:val="20"/>
                <w:szCs w:val="20"/>
              </w:rPr>
            </w:pPr>
            <w:r>
              <w:rPr>
                <w:rFonts w:ascii="Arial" w:hAnsi="Arial" w:cs="Arial"/>
                <w:sz w:val="20"/>
                <w:szCs w:val="20"/>
              </w:rPr>
              <w:t>第5.2.3节：关于劳动者安全保障</w:t>
            </w:r>
          </w:p>
        </w:tc>
        <w:tc>
          <w:tcPr>
            <w:tcW w:w="1473" w:type="pct"/>
            <w:shd w:val="clear" w:color="auto" w:fill="auto"/>
          </w:tcPr>
          <w:p w14:paraId="240B194D">
            <w:pPr>
              <w:snapToGrid w:val="0"/>
              <w:rPr>
                <w:rFonts w:ascii="Arial" w:hAnsi="Arial" w:cs="Arial"/>
                <w:sz w:val="20"/>
                <w:szCs w:val="20"/>
              </w:rPr>
            </w:pPr>
            <w:r>
              <w:rPr>
                <w:rFonts w:ascii="Arial" w:hAnsi="Arial" w:cs="Arial"/>
                <w:sz w:val="20"/>
                <w:szCs w:val="20"/>
              </w:rPr>
              <w:t>建议增加“项目实施中实施主体要在人社工伤中心为工人购买工伤保险”</w:t>
            </w:r>
          </w:p>
        </w:tc>
        <w:tc>
          <w:tcPr>
            <w:tcW w:w="735" w:type="pct"/>
            <w:shd w:val="clear" w:color="auto" w:fill="auto"/>
          </w:tcPr>
          <w:p w14:paraId="58D6652E">
            <w:pPr>
              <w:snapToGrid w:val="0"/>
              <w:rPr>
                <w:rFonts w:ascii="Arial" w:hAnsi="Arial" w:cs="Arial"/>
                <w:sz w:val="20"/>
                <w:szCs w:val="20"/>
              </w:rPr>
            </w:pPr>
            <w:r>
              <w:rPr>
                <w:rFonts w:ascii="Arial" w:hAnsi="Arial" w:cs="Arial"/>
                <w:sz w:val="20"/>
                <w:szCs w:val="20"/>
              </w:rPr>
              <w:t>永定区人社局</w:t>
            </w:r>
          </w:p>
        </w:tc>
        <w:tc>
          <w:tcPr>
            <w:tcW w:w="1175" w:type="pct"/>
            <w:shd w:val="clear" w:color="auto" w:fill="auto"/>
          </w:tcPr>
          <w:p w14:paraId="33F4771E">
            <w:pPr>
              <w:snapToGrid w:val="0"/>
              <w:rPr>
                <w:rFonts w:ascii="Arial" w:hAnsi="Arial" w:cs="Arial"/>
                <w:sz w:val="20"/>
                <w:szCs w:val="20"/>
              </w:rPr>
            </w:pPr>
            <w:r>
              <w:rPr>
                <w:rFonts w:ascii="Arial" w:hAnsi="Arial" w:cs="Arial"/>
                <w:sz w:val="20"/>
                <w:szCs w:val="20"/>
              </w:rPr>
              <w:t>已按建议修改</w:t>
            </w:r>
          </w:p>
        </w:tc>
      </w:tr>
      <w:tr w14:paraId="68A3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0DF41A59">
            <w:pPr>
              <w:snapToGrid w:val="0"/>
              <w:rPr>
                <w:rFonts w:ascii="Arial" w:hAnsi="Arial" w:cs="Arial"/>
                <w:b/>
                <w:bCs/>
                <w:sz w:val="20"/>
                <w:szCs w:val="20"/>
              </w:rPr>
            </w:pPr>
            <w:r>
              <w:rPr>
                <w:rFonts w:ascii="Arial" w:hAnsi="Arial" w:cs="Arial"/>
                <w:b/>
                <w:bCs/>
                <w:sz w:val="20"/>
                <w:szCs w:val="20"/>
              </w:rPr>
              <w:t>关于管理系统的调查分析</w:t>
            </w:r>
          </w:p>
        </w:tc>
      </w:tr>
      <w:tr w14:paraId="2699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39ABCD1">
            <w:pPr>
              <w:snapToGrid w:val="0"/>
              <w:rPr>
                <w:rFonts w:ascii="Arial" w:hAnsi="Arial" w:cs="Arial"/>
                <w:sz w:val="20"/>
                <w:szCs w:val="20"/>
              </w:rPr>
            </w:pPr>
            <w:r>
              <w:rPr>
                <w:rFonts w:ascii="Arial" w:hAnsi="Arial" w:cs="Arial"/>
                <w:sz w:val="20"/>
                <w:szCs w:val="20"/>
              </w:rPr>
              <w:t>2</w:t>
            </w:r>
            <w:r>
              <w:rPr>
                <w:rFonts w:hint="eastAsia" w:ascii="Arial" w:hAnsi="Arial" w:cs="Arial"/>
                <w:sz w:val="20"/>
                <w:szCs w:val="20"/>
              </w:rPr>
              <w:t>9</w:t>
            </w:r>
          </w:p>
        </w:tc>
        <w:tc>
          <w:tcPr>
            <w:tcW w:w="1325" w:type="pct"/>
            <w:shd w:val="clear" w:color="auto" w:fill="auto"/>
          </w:tcPr>
          <w:p w14:paraId="424A89BF">
            <w:pPr>
              <w:snapToGrid w:val="0"/>
              <w:rPr>
                <w:rFonts w:ascii="Arial" w:hAnsi="Arial" w:cs="Arial"/>
                <w:sz w:val="20"/>
                <w:szCs w:val="20"/>
                <w:lang w:val="en-GB"/>
              </w:rPr>
            </w:pPr>
            <w:r>
              <w:rPr>
                <w:rFonts w:ascii="Arial" w:hAnsi="Arial" w:cs="Arial"/>
                <w:sz w:val="20"/>
                <w:szCs w:val="20"/>
              </w:rPr>
              <w:t>第4.3.2节：农药减量机制</w:t>
            </w:r>
          </w:p>
        </w:tc>
        <w:tc>
          <w:tcPr>
            <w:tcW w:w="1473" w:type="pct"/>
            <w:shd w:val="clear" w:color="auto" w:fill="auto"/>
          </w:tcPr>
          <w:p w14:paraId="40934CD6">
            <w:pPr>
              <w:snapToGrid w:val="0"/>
              <w:rPr>
                <w:rFonts w:ascii="Arial" w:hAnsi="Arial" w:cs="Arial"/>
                <w:sz w:val="20"/>
                <w:szCs w:val="20"/>
              </w:rPr>
            </w:pPr>
            <w:r>
              <w:rPr>
                <w:rFonts w:ascii="Arial" w:hAnsi="Arial" w:cs="Arial"/>
                <w:sz w:val="20"/>
                <w:szCs w:val="20"/>
              </w:rPr>
              <w:t>建议完善“农药减量管理”机制</w:t>
            </w:r>
          </w:p>
        </w:tc>
        <w:tc>
          <w:tcPr>
            <w:tcW w:w="735" w:type="pct"/>
            <w:shd w:val="clear" w:color="auto" w:fill="auto"/>
          </w:tcPr>
          <w:p w14:paraId="6DF78F85">
            <w:pPr>
              <w:snapToGrid w:val="0"/>
              <w:rPr>
                <w:rFonts w:ascii="Arial" w:hAnsi="Arial" w:cs="Arial"/>
                <w:sz w:val="20"/>
                <w:szCs w:val="20"/>
              </w:rPr>
            </w:pPr>
            <w:r>
              <w:rPr>
                <w:rFonts w:ascii="Arial" w:hAnsi="Arial" w:cs="Arial"/>
                <w:sz w:val="20"/>
                <w:szCs w:val="20"/>
              </w:rPr>
              <w:t>湖南、湖北省农业农村厅</w:t>
            </w:r>
          </w:p>
        </w:tc>
        <w:tc>
          <w:tcPr>
            <w:tcW w:w="1175" w:type="pct"/>
            <w:shd w:val="clear" w:color="auto" w:fill="auto"/>
          </w:tcPr>
          <w:p w14:paraId="4D49E317">
            <w:pPr>
              <w:snapToGrid w:val="0"/>
              <w:rPr>
                <w:rFonts w:ascii="Arial" w:hAnsi="Arial" w:cs="Arial"/>
                <w:sz w:val="20"/>
                <w:szCs w:val="20"/>
              </w:rPr>
            </w:pPr>
            <w:r>
              <w:rPr>
                <w:rFonts w:ascii="Arial" w:hAnsi="Arial" w:cs="Arial"/>
                <w:sz w:val="20"/>
                <w:szCs w:val="20"/>
              </w:rPr>
              <w:t>已按建议进行相应的修改</w:t>
            </w:r>
          </w:p>
        </w:tc>
      </w:tr>
      <w:tr w14:paraId="26F3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7577F00">
            <w:pPr>
              <w:snapToGrid w:val="0"/>
              <w:rPr>
                <w:rFonts w:ascii="Arial" w:hAnsi="Arial" w:cs="Arial"/>
                <w:sz w:val="20"/>
                <w:szCs w:val="20"/>
              </w:rPr>
            </w:pPr>
            <w:r>
              <w:rPr>
                <w:rFonts w:hint="eastAsia" w:ascii="Arial" w:hAnsi="Arial" w:cs="Arial"/>
                <w:sz w:val="20"/>
                <w:szCs w:val="20"/>
              </w:rPr>
              <w:t>30</w:t>
            </w:r>
          </w:p>
        </w:tc>
        <w:tc>
          <w:tcPr>
            <w:tcW w:w="1325" w:type="pct"/>
            <w:shd w:val="clear" w:color="auto" w:fill="auto"/>
          </w:tcPr>
          <w:p w14:paraId="72B01F74">
            <w:pPr>
              <w:snapToGrid w:val="0"/>
              <w:rPr>
                <w:rFonts w:ascii="Arial" w:hAnsi="Arial" w:cs="Arial"/>
                <w:sz w:val="20"/>
                <w:szCs w:val="20"/>
              </w:rPr>
            </w:pPr>
            <w:r>
              <w:rPr>
                <w:rFonts w:ascii="Arial" w:hAnsi="Arial" w:cs="Arial"/>
                <w:sz w:val="20"/>
                <w:szCs w:val="20"/>
              </w:rPr>
              <w:t>第4.3.3节：畜禽养殖污染管理机制中的减量措施</w:t>
            </w:r>
          </w:p>
        </w:tc>
        <w:tc>
          <w:tcPr>
            <w:tcW w:w="1473" w:type="pct"/>
            <w:shd w:val="clear" w:color="auto" w:fill="auto"/>
          </w:tcPr>
          <w:p w14:paraId="69B39A1A">
            <w:pPr>
              <w:snapToGrid w:val="0"/>
              <w:rPr>
                <w:rFonts w:ascii="Arial" w:hAnsi="Arial" w:cs="Arial"/>
                <w:sz w:val="20"/>
                <w:szCs w:val="20"/>
              </w:rPr>
            </w:pPr>
            <w:r>
              <w:rPr>
                <w:rFonts w:ascii="Arial" w:hAnsi="Arial" w:cs="Arial"/>
                <w:sz w:val="20"/>
                <w:szCs w:val="20"/>
              </w:rPr>
              <w:t>建议增加“干湿分离、雨污分流”等粪污处理工艺和技术</w:t>
            </w:r>
          </w:p>
        </w:tc>
        <w:tc>
          <w:tcPr>
            <w:tcW w:w="735" w:type="pct"/>
            <w:shd w:val="clear" w:color="auto" w:fill="auto"/>
          </w:tcPr>
          <w:p w14:paraId="2A2BC61E">
            <w:pPr>
              <w:snapToGrid w:val="0"/>
              <w:rPr>
                <w:rFonts w:ascii="Arial" w:hAnsi="Arial" w:cs="Arial"/>
                <w:sz w:val="20"/>
                <w:szCs w:val="20"/>
              </w:rPr>
            </w:pPr>
            <w:r>
              <w:rPr>
                <w:rFonts w:ascii="Arial" w:hAnsi="Arial" w:cs="Arial"/>
                <w:sz w:val="20"/>
                <w:szCs w:val="20"/>
              </w:rPr>
              <w:t>湖南省农业农村厅</w:t>
            </w:r>
          </w:p>
        </w:tc>
        <w:tc>
          <w:tcPr>
            <w:tcW w:w="1175" w:type="pct"/>
            <w:shd w:val="clear" w:color="auto" w:fill="auto"/>
          </w:tcPr>
          <w:p w14:paraId="6C5C2B3D">
            <w:pPr>
              <w:snapToGrid w:val="0"/>
              <w:rPr>
                <w:rFonts w:ascii="Arial" w:hAnsi="Arial" w:cs="Arial"/>
                <w:sz w:val="20"/>
                <w:szCs w:val="20"/>
              </w:rPr>
            </w:pPr>
            <w:r>
              <w:rPr>
                <w:rFonts w:ascii="Arial" w:hAnsi="Arial" w:cs="Arial"/>
                <w:sz w:val="20"/>
                <w:szCs w:val="20"/>
              </w:rPr>
              <w:t>已按建议修改</w:t>
            </w:r>
          </w:p>
        </w:tc>
      </w:tr>
      <w:tr w14:paraId="7CA2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B92D278">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1</w:t>
            </w:r>
          </w:p>
        </w:tc>
        <w:tc>
          <w:tcPr>
            <w:tcW w:w="1325" w:type="pct"/>
            <w:shd w:val="clear" w:color="auto" w:fill="auto"/>
          </w:tcPr>
          <w:p w14:paraId="7AA12ABE">
            <w:pPr>
              <w:snapToGrid w:val="0"/>
              <w:rPr>
                <w:rFonts w:ascii="Arial" w:hAnsi="Arial" w:cs="Arial"/>
                <w:sz w:val="20"/>
                <w:szCs w:val="20"/>
              </w:rPr>
            </w:pPr>
            <w:r>
              <w:rPr>
                <w:rFonts w:ascii="Arial" w:hAnsi="Arial" w:cs="Arial"/>
                <w:sz w:val="20"/>
                <w:szCs w:val="20"/>
              </w:rPr>
              <w:t>第4.4节：水保方案机制</w:t>
            </w:r>
          </w:p>
        </w:tc>
        <w:tc>
          <w:tcPr>
            <w:tcW w:w="1473" w:type="pct"/>
            <w:shd w:val="clear" w:color="auto" w:fill="auto"/>
          </w:tcPr>
          <w:p w14:paraId="13F1C39F">
            <w:pPr>
              <w:snapToGrid w:val="0"/>
              <w:rPr>
                <w:rFonts w:ascii="Arial" w:hAnsi="Arial" w:cs="Arial"/>
                <w:sz w:val="20"/>
                <w:szCs w:val="20"/>
              </w:rPr>
            </w:pPr>
            <w:r>
              <w:rPr>
                <w:rFonts w:ascii="Arial" w:hAnsi="Arial" w:cs="Arial"/>
                <w:sz w:val="20"/>
                <w:szCs w:val="20"/>
              </w:rPr>
              <w:t>建议完善水保验收机制</w:t>
            </w:r>
          </w:p>
        </w:tc>
        <w:tc>
          <w:tcPr>
            <w:tcW w:w="735" w:type="pct"/>
            <w:shd w:val="clear" w:color="auto" w:fill="auto"/>
          </w:tcPr>
          <w:p w14:paraId="3CEA6355">
            <w:pPr>
              <w:snapToGrid w:val="0"/>
              <w:rPr>
                <w:rFonts w:ascii="Arial" w:hAnsi="Arial" w:cs="Arial"/>
                <w:sz w:val="20"/>
                <w:szCs w:val="20"/>
              </w:rPr>
            </w:pPr>
            <w:r>
              <w:rPr>
                <w:rFonts w:ascii="Arial" w:hAnsi="Arial" w:cs="Arial"/>
                <w:sz w:val="20"/>
                <w:szCs w:val="20"/>
              </w:rPr>
              <w:t>湖南、湖北省水利厅</w:t>
            </w:r>
          </w:p>
        </w:tc>
        <w:tc>
          <w:tcPr>
            <w:tcW w:w="1175" w:type="pct"/>
            <w:shd w:val="clear" w:color="auto" w:fill="auto"/>
          </w:tcPr>
          <w:p w14:paraId="06F1930B">
            <w:pPr>
              <w:snapToGrid w:val="0"/>
              <w:rPr>
                <w:rFonts w:ascii="Arial" w:hAnsi="Arial" w:cs="Arial"/>
                <w:color w:val="000000" w:themeColor="text1"/>
                <w:sz w:val="20"/>
                <w:szCs w:val="20"/>
                <w14:textFill>
                  <w14:solidFill>
                    <w14:schemeClr w14:val="tx1"/>
                  </w14:solidFill>
                </w14:textFill>
              </w:rPr>
            </w:pPr>
            <w:r>
              <w:rPr>
                <w:rFonts w:ascii="Arial" w:hAnsi="Arial" w:cs="Arial"/>
                <w:sz w:val="20"/>
                <w:szCs w:val="20"/>
              </w:rPr>
              <w:t>已按建议进行相应的修改</w:t>
            </w:r>
          </w:p>
        </w:tc>
      </w:tr>
      <w:tr w14:paraId="1BD5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08ED0895">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2</w:t>
            </w:r>
          </w:p>
        </w:tc>
        <w:tc>
          <w:tcPr>
            <w:tcW w:w="1325" w:type="pct"/>
            <w:shd w:val="clear" w:color="auto" w:fill="auto"/>
          </w:tcPr>
          <w:p w14:paraId="086EFE98">
            <w:pPr>
              <w:snapToGrid w:val="0"/>
              <w:rPr>
                <w:rFonts w:ascii="Arial" w:hAnsi="Arial" w:cs="Arial"/>
                <w:sz w:val="20"/>
                <w:szCs w:val="20"/>
              </w:rPr>
            </w:pPr>
            <w:r>
              <w:rPr>
                <w:rFonts w:ascii="Arial" w:hAnsi="Arial" w:cs="Arial"/>
                <w:sz w:val="20"/>
                <w:szCs w:val="20"/>
              </w:rPr>
              <w:t>第5.2.3节：“中国《</w:t>
            </w:r>
            <w:r>
              <w:rPr>
                <w:rFonts w:hint="eastAsia" w:ascii="Arial" w:hAnsi="Arial" w:cs="Arial"/>
                <w:sz w:val="20"/>
                <w:szCs w:val="20"/>
                <w:lang w:eastAsia="zh-CN"/>
              </w:rPr>
              <w:t>中华人民共和国劳动法</w:t>
            </w:r>
            <w:r>
              <w:rPr>
                <w:rFonts w:ascii="Arial" w:hAnsi="Arial" w:cs="Arial"/>
                <w:sz w:val="20"/>
                <w:szCs w:val="20"/>
              </w:rPr>
              <w:t>》（2018年修订）、</w:t>
            </w:r>
            <w:r>
              <w:rPr>
                <w:rFonts w:hint="eastAsia" w:ascii="Arial" w:hAnsi="Arial" w:cs="Arial"/>
                <w:sz w:val="20"/>
                <w:szCs w:val="20"/>
                <w:lang w:eastAsia="zh-CN"/>
              </w:rPr>
              <w:t>《中华人民共和国民法典》</w:t>
            </w:r>
            <w:r>
              <w:rPr>
                <w:rFonts w:ascii="Arial" w:hAnsi="Arial" w:cs="Arial"/>
                <w:sz w:val="20"/>
                <w:szCs w:val="20"/>
              </w:rPr>
              <w:t>等针对童工、歧视、强迫劳动。”此处标点存在歧义，建议完善表述。</w:t>
            </w:r>
          </w:p>
        </w:tc>
        <w:tc>
          <w:tcPr>
            <w:tcW w:w="1473" w:type="pct"/>
            <w:shd w:val="clear" w:color="auto" w:fill="auto"/>
          </w:tcPr>
          <w:p w14:paraId="2529C51E">
            <w:pPr>
              <w:snapToGrid w:val="0"/>
              <w:rPr>
                <w:rFonts w:ascii="Arial" w:hAnsi="Arial" w:cs="Arial"/>
                <w:sz w:val="20"/>
                <w:szCs w:val="20"/>
              </w:rPr>
            </w:pPr>
            <w:r>
              <w:rPr>
                <w:rFonts w:ascii="Arial" w:hAnsi="Arial" w:cs="Arial"/>
                <w:sz w:val="20"/>
                <w:szCs w:val="20"/>
              </w:rPr>
              <w:t>建议完善表述</w:t>
            </w:r>
          </w:p>
        </w:tc>
        <w:tc>
          <w:tcPr>
            <w:tcW w:w="735" w:type="pct"/>
            <w:shd w:val="clear" w:color="auto" w:fill="auto"/>
          </w:tcPr>
          <w:p w14:paraId="4E7BD6B5">
            <w:pPr>
              <w:snapToGrid w:val="0"/>
              <w:rPr>
                <w:rFonts w:ascii="Arial" w:hAnsi="Arial" w:cs="Arial"/>
                <w:sz w:val="20"/>
                <w:szCs w:val="20"/>
              </w:rPr>
            </w:pPr>
            <w:r>
              <w:rPr>
                <w:rFonts w:ascii="Arial" w:hAnsi="Arial" w:cs="Arial"/>
                <w:sz w:val="20"/>
                <w:szCs w:val="20"/>
              </w:rPr>
              <w:t>湖北省</w:t>
            </w:r>
            <w:r>
              <w:rPr>
                <w:rFonts w:hint="eastAsia" w:ascii="Arial" w:hAnsi="Arial" w:cs="Arial"/>
                <w:sz w:val="20"/>
                <w:szCs w:val="20"/>
                <w:lang w:eastAsia="zh-CN"/>
              </w:rPr>
              <w:t>人力资源和社会保障</w:t>
            </w:r>
            <w:r>
              <w:rPr>
                <w:rFonts w:ascii="Arial" w:hAnsi="Arial" w:cs="Arial"/>
                <w:sz w:val="20"/>
                <w:szCs w:val="20"/>
              </w:rPr>
              <w:t>厅</w:t>
            </w:r>
          </w:p>
        </w:tc>
        <w:tc>
          <w:tcPr>
            <w:tcW w:w="1175" w:type="pct"/>
            <w:shd w:val="clear" w:color="auto" w:fill="auto"/>
          </w:tcPr>
          <w:p w14:paraId="7FE8AA2D">
            <w:pPr>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已按建议修改</w:t>
            </w:r>
          </w:p>
        </w:tc>
      </w:tr>
      <w:tr w14:paraId="191F7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A43E0DD">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3</w:t>
            </w:r>
          </w:p>
        </w:tc>
        <w:tc>
          <w:tcPr>
            <w:tcW w:w="1325" w:type="pct"/>
            <w:shd w:val="clear" w:color="auto" w:fill="auto"/>
          </w:tcPr>
          <w:p w14:paraId="49165D25">
            <w:pPr>
              <w:snapToGrid w:val="0"/>
              <w:rPr>
                <w:rFonts w:ascii="Arial" w:hAnsi="Arial" w:cs="Arial"/>
                <w:sz w:val="20"/>
                <w:szCs w:val="20"/>
              </w:rPr>
            </w:pPr>
            <w:r>
              <w:rPr>
                <w:rFonts w:ascii="Arial" w:hAnsi="Arial" w:cs="Arial"/>
                <w:sz w:val="20"/>
                <w:szCs w:val="20"/>
              </w:rPr>
              <w:t>第5.4.2节：文物资源管理体系中关于随县文物资源数量的表述不准确</w:t>
            </w:r>
          </w:p>
        </w:tc>
        <w:tc>
          <w:tcPr>
            <w:tcW w:w="1473" w:type="pct"/>
            <w:shd w:val="clear" w:color="auto" w:fill="auto"/>
          </w:tcPr>
          <w:p w14:paraId="7A002CA1">
            <w:pPr>
              <w:snapToGrid w:val="0"/>
              <w:rPr>
                <w:rFonts w:ascii="Arial" w:hAnsi="Arial" w:cs="Arial"/>
                <w:sz w:val="20"/>
                <w:szCs w:val="20"/>
              </w:rPr>
            </w:pPr>
            <w:r>
              <w:rPr>
                <w:rFonts w:ascii="Arial" w:hAnsi="Arial" w:cs="Arial"/>
                <w:sz w:val="20"/>
                <w:szCs w:val="20"/>
              </w:rPr>
              <w:t>建议修改为：“随县共有1处全国重点文物保护单位，13处省级文物保护单位”，71处市级文物保护单位，24处县级文物保护单位，824处未定级的不可移动文物</w:t>
            </w:r>
          </w:p>
        </w:tc>
        <w:tc>
          <w:tcPr>
            <w:tcW w:w="735" w:type="pct"/>
            <w:shd w:val="clear" w:color="auto" w:fill="auto"/>
          </w:tcPr>
          <w:p w14:paraId="73BD14AC">
            <w:pPr>
              <w:snapToGrid w:val="0"/>
              <w:rPr>
                <w:rFonts w:ascii="Arial" w:hAnsi="Arial" w:cs="Arial"/>
                <w:sz w:val="20"/>
                <w:szCs w:val="20"/>
              </w:rPr>
            </w:pPr>
            <w:r>
              <w:rPr>
                <w:rFonts w:ascii="Arial" w:hAnsi="Arial" w:cs="Arial"/>
                <w:sz w:val="20"/>
                <w:szCs w:val="20"/>
              </w:rPr>
              <w:t>湖北省随县乡村振兴局</w:t>
            </w:r>
          </w:p>
        </w:tc>
        <w:tc>
          <w:tcPr>
            <w:tcW w:w="1175" w:type="pct"/>
            <w:shd w:val="clear" w:color="auto" w:fill="auto"/>
          </w:tcPr>
          <w:p w14:paraId="37CEF1D0">
            <w:pPr>
              <w:snapToGrid w:val="0"/>
              <w:rPr>
                <w:rFonts w:ascii="Arial" w:hAnsi="Arial" w:cs="Arial"/>
                <w:sz w:val="20"/>
                <w:szCs w:val="20"/>
              </w:rPr>
            </w:pPr>
            <w:r>
              <w:rPr>
                <w:rFonts w:ascii="Arial" w:hAnsi="Arial" w:cs="Arial"/>
                <w:color w:val="000000" w:themeColor="text1"/>
                <w:sz w:val="20"/>
                <w:szCs w:val="20"/>
                <w14:textFill>
                  <w14:solidFill>
                    <w14:schemeClr w14:val="tx1"/>
                  </w14:solidFill>
                </w14:textFill>
              </w:rPr>
              <w:t>已按建议修改</w:t>
            </w:r>
          </w:p>
        </w:tc>
      </w:tr>
      <w:tr w14:paraId="7CF8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8496D3B">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4</w:t>
            </w:r>
          </w:p>
        </w:tc>
        <w:tc>
          <w:tcPr>
            <w:tcW w:w="1325" w:type="pct"/>
            <w:shd w:val="clear" w:color="auto" w:fill="auto"/>
          </w:tcPr>
          <w:p w14:paraId="63F0579C">
            <w:pPr>
              <w:snapToGrid w:val="0"/>
              <w:rPr>
                <w:rFonts w:ascii="Arial" w:hAnsi="Arial" w:cs="Arial"/>
                <w:sz w:val="20"/>
                <w:szCs w:val="20"/>
              </w:rPr>
            </w:pPr>
            <w:r>
              <w:rPr>
                <w:rFonts w:ascii="Arial" w:hAnsi="Arial" w:cs="Arial"/>
                <w:sz w:val="20"/>
                <w:szCs w:val="20"/>
              </w:rPr>
              <w:t>第5.4.3节：劳工纠纷解决机制主要解决渠道是劳动仲裁，表述不精确</w:t>
            </w:r>
          </w:p>
        </w:tc>
        <w:tc>
          <w:tcPr>
            <w:tcW w:w="1473" w:type="pct"/>
            <w:shd w:val="clear" w:color="auto" w:fill="auto"/>
          </w:tcPr>
          <w:p w14:paraId="165DDA16">
            <w:pPr>
              <w:snapToGrid w:val="0"/>
              <w:rPr>
                <w:rFonts w:ascii="Arial" w:hAnsi="Arial" w:cs="Arial"/>
                <w:sz w:val="20"/>
                <w:szCs w:val="20"/>
              </w:rPr>
            </w:pPr>
            <w:r>
              <w:rPr>
                <w:rFonts w:ascii="Arial" w:hAnsi="Arial" w:cs="Arial"/>
                <w:sz w:val="20"/>
                <w:szCs w:val="20"/>
              </w:rPr>
              <w:t>建议修改为“劳动纠纷解决机制既可以申请调解仲裁</w:t>
            </w:r>
            <w:r>
              <w:rPr>
                <w:rFonts w:hint="eastAsia" w:ascii="Arial" w:hAnsi="Arial" w:cs="Arial"/>
                <w:sz w:val="20"/>
                <w:szCs w:val="20"/>
                <w:lang w:eastAsia="zh-CN"/>
              </w:rPr>
              <w:t>，也</w:t>
            </w:r>
            <w:r>
              <w:rPr>
                <w:rFonts w:ascii="Arial" w:hAnsi="Arial" w:cs="Arial"/>
                <w:sz w:val="20"/>
                <w:szCs w:val="20"/>
              </w:rPr>
              <w:t>可以进行诉讼</w:t>
            </w:r>
            <w:r>
              <w:rPr>
                <w:rFonts w:hint="eastAsia" w:ascii="Arial" w:hAnsi="Arial" w:cs="Arial"/>
                <w:sz w:val="20"/>
                <w:szCs w:val="20"/>
                <w:lang w:eastAsia="zh-CN"/>
              </w:rPr>
              <w:t>，还</w:t>
            </w:r>
            <w:r>
              <w:rPr>
                <w:rFonts w:ascii="Arial" w:hAnsi="Arial" w:cs="Arial"/>
                <w:sz w:val="20"/>
                <w:szCs w:val="20"/>
              </w:rPr>
              <w:t>可以进行协商解决，是一个多层次的劳动纠纷解决机制。”</w:t>
            </w:r>
          </w:p>
        </w:tc>
        <w:tc>
          <w:tcPr>
            <w:tcW w:w="735" w:type="pct"/>
            <w:shd w:val="clear" w:color="auto" w:fill="auto"/>
          </w:tcPr>
          <w:p w14:paraId="29842C60">
            <w:pPr>
              <w:snapToGrid w:val="0"/>
              <w:rPr>
                <w:rFonts w:ascii="Arial" w:hAnsi="Arial" w:cs="Arial"/>
                <w:sz w:val="20"/>
                <w:szCs w:val="20"/>
              </w:rPr>
            </w:pPr>
            <w:r>
              <w:rPr>
                <w:rFonts w:ascii="Arial" w:hAnsi="Arial" w:cs="Arial"/>
                <w:sz w:val="20"/>
                <w:szCs w:val="20"/>
              </w:rPr>
              <w:t>湖北省</w:t>
            </w:r>
            <w:r>
              <w:rPr>
                <w:rFonts w:hint="eastAsia" w:ascii="Arial" w:hAnsi="Arial" w:cs="Arial"/>
                <w:sz w:val="20"/>
                <w:szCs w:val="20"/>
                <w:lang w:eastAsia="zh-CN"/>
              </w:rPr>
              <w:t>人力资源和社会保障</w:t>
            </w:r>
            <w:r>
              <w:rPr>
                <w:rFonts w:ascii="Arial" w:hAnsi="Arial" w:cs="Arial"/>
                <w:sz w:val="20"/>
                <w:szCs w:val="20"/>
              </w:rPr>
              <w:t>厅</w:t>
            </w:r>
          </w:p>
        </w:tc>
        <w:tc>
          <w:tcPr>
            <w:tcW w:w="1175" w:type="pct"/>
            <w:shd w:val="clear" w:color="auto" w:fill="auto"/>
          </w:tcPr>
          <w:p w14:paraId="4EA7230F">
            <w:pPr>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已按建议修改</w:t>
            </w:r>
          </w:p>
        </w:tc>
      </w:tr>
      <w:tr w14:paraId="594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20AA527">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5</w:t>
            </w:r>
          </w:p>
        </w:tc>
        <w:tc>
          <w:tcPr>
            <w:tcW w:w="1325" w:type="pct"/>
            <w:shd w:val="clear" w:color="auto" w:fill="auto"/>
          </w:tcPr>
          <w:p w14:paraId="1D6EC494">
            <w:pPr>
              <w:snapToGrid w:val="0"/>
              <w:rPr>
                <w:rFonts w:ascii="Arial" w:hAnsi="Arial" w:cs="Arial"/>
                <w:sz w:val="20"/>
                <w:szCs w:val="20"/>
              </w:rPr>
            </w:pPr>
            <w:r>
              <w:rPr>
                <w:rFonts w:ascii="Arial" w:hAnsi="Arial" w:cs="Arial"/>
                <w:sz w:val="20"/>
                <w:szCs w:val="20"/>
              </w:rPr>
              <w:t>第5.2.1节、5.3.1节和5.4.1节：“目前还缺乏有效的监测机制对风险化解措施的实施情况</w:t>
            </w:r>
            <w:r>
              <w:rPr>
                <w:rFonts w:hint="eastAsia" w:ascii="Arial" w:hAnsi="Arial" w:cs="Arial"/>
                <w:sz w:val="20"/>
                <w:szCs w:val="20"/>
                <w:lang w:eastAsia="zh-CN"/>
              </w:rPr>
              <w:t>和</w:t>
            </w:r>
            <w:r>
              <w:rPr>
                <w:rFonts w:ascii="Arial" w:hAnsi="Arial" w:cs="Arial"/>
                <w:sz w:val="20"/>
                <w:szCs w:val="20"/>
              </w:rPr>
              <w:t>效果进行跟踪和支持</w:t>
            </w:r>
            <w:r>
              <w:rPr>
                <w:rFonts w:hint="eastAsia" w:ascii="Arial" w:hAnsi="Arial" w:cs="Arial"/>
                <w:sz w:val="20"/>
                <w:szCs w:val="20"/>
                <w:lang w:eastAsia="zh-CN"/>
              </w:rPr>
              <w:t>”“</w:t>
            </w:r>
            <w:r>
              <w:rPr>
                <w:rFonts w:ascii="Arial" w:hAnsi="Arial" w:cs="Arial"/>
                <w:sz w:val="20"/>
                <w:szCs w:val="20"/>
              </w:rPr>
              <w:t>社会法律法规中</w:t>
            </w:r>
            <w:r>
              <w:rPr>
                <w:rFonts w:hint="eastAsia" w:ascii="Arial" w:hAnsi="Arial" w:cs="Arial"/>
                <w:sz w:val="20"/>
                <w:szCs w:val="20"/>
                <w:lang w:eastAsia="zh-CN"/>
              </w:rPr>
              <w:t>对</w:t>
            </w:r>
            <w:r>
              <w:rPr>
                <w:rFonts w:ascii="Arial" w:hAnsi="Arial" w:cs="Arial"/>
                <w:sz w:val="20"/>
                <w:szCs w:val="20"/>
              </w:rPr>
              <w:t>公众参与、信息发布、投诉</w:t>
            </w:r>
            <w:r>
              <w:rPr>
                <w:rFonts w:hint="eastAsia" w:ascii="Arial" w:hAnsi="Arial" w:cs="Arial"/>
                <w:sz w:val="20"/>
                <w:szCs w:val="20"/>
                <w:lang w:eastAsia="zh-CN"/>
              </w:rPr>
              <w:t>计划</w:t>
            </w:r>
            <w:r>
              <w:rPr>
                <w:rFonts w:ascii="Arial" w:hAnsi="Arial" w:cs="Arial"/>
                <w:sz w:val="20"/>
                <w:szCs w:val="20"/>
              </w:rPr>
              <w:t>运行情况等进行记录的规定不够具体”等表述不准确</w:t>
            </w:r>
          </w:p>
        </w:tc>
        <w:tc>
          <w:tcPr>
            <w:tcW w:w="1473" w:type="pct"/>
            <w:shd w:val="clear" w:color="auto" w:fill="auto"/>
          </w:tcPr>
          <w:p w14:paraId="3D781B89">
            <w:pPr>
              <w:snapToGrid w:val="0"/>
              <w:rPr>
                <w:rFonts w:ascii="Arial" w:hAnsi="Arial" w:cs="Arial"/>
                <w:sz w:val="20"/>
                <w:szCs w:val="20"/>
              </w:rPr>
            </w:pPr>
            <w:r>
              <w:rPr>
                <w:rFonts w:ascii="Arial" w:hAnsi="Arial" w:cs="Arial"/>
                <w:sz w:val="20"/>
                <w:szCs w:val="20"/>
              </w:rPr>
              <w:t>目前国内政策法规中对于风险化解措施的跟踪监测、公众参与已提出明确要求，建议修改</w:t>
            </w:r>
          </w:p>
        </w:tc>
        <w:tc>
          <w:tcPr>
            <w:tcW w:w="735" w:type="pct"/>
            <w:shd w:val="clear" w:color="auto" w:fill="auto"/>
          </w:tcPr>
          <w:p w14:paraId="43C53255">
            <w:pPr>
              <w:snapToGrid w:val="0"/>
              <w:rPr>
                <w:rFonts w:ascii="Arial" w:hAnsi="Arial" w:cs="Arial"/>
                <w:sz w:val="20"/>
                <w:szCs w:val="20"/>
              </w:rPr>
            </w:pPr>
            <w:r>
              <w:rPr>
                <w:rFonts w:ascii="Arial" w:hAnsi="Arial" w:cs="Arial"/>
                <w:sz w:val="20"/>
                <w:szCs w:val="20"/>
              </w:rPr>
              <w:t>湖北</w:t>
            </w:r>
            <w:r>
              <w:rPr>
                <w:rFonts w:hint="eastAsia" w:ascii="Arial" w:hAnsi="Arial" w:cs="Arial"/>
                <w:sz w:val="20"/>
                <w:szCs w:val="20"/>
                <w:lang w:eastAsia="zh-CN"/>
              </w:rPr>
              <w:t>省委政法委</w:t>
            </w:r>
          </w:p>
        </w:tc>
        <w:tc>
          <w:tcPr>
            <w:tcW w:w="1175" w:type="pct"/>
            <w:shd w:val="clear" w:color="auto" w:fill="auto"/>
          </w:tcPr>
          <w:p w14:paraId="7F28BF5E">
            <w:pPr>
              <w:snapToGrid w:val="0"/>
              <w:rPr>
                <w:rFonts w:ascii="Arial" w:hAnsi="Arial" w:cs="Arial"/>
                <w:sz w:val="20"/>
                <w:szCs w:val="20"/>
              </w:rPr>
            </w:pPr>
            <w:r>
              <w:rPr>
                <w:rFonts w:ascii="Arial" w:hAnsi="Arial" w:cs="Arial"/>
                <w:color w:val="000000" w:themeColor="text1"/>
                <w:sz w:val="20"/>
                <w:szCs w:val="20"/>
                <w14:textFill>
                  <w14:solidFill>
                    <w14:schemeClr w14:val="tx1"/>
                  </w14:solidFill>
                </w14:textFill>
              </w:rPr>
              <w:t>报告中相关表述已删除</w:t>
            </w:r>
          </w:p>
        </w:tc>
      </w:tr>
      <w:tr w14:paraId="68A6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370434F">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6</w:t>
            </w:r>
          </w:p>
        </w:tc>
        <w:tc>
          <w:tcPr>
            <w:tcW w:w="1325" w:type="pct"/>
            <w:shd w:val="clear" w:color="auto" w:fill="auto"/>
          </w:tcPr>
          <w:p w14:paraId="64D31B8B">
            <w:pPr>
              <w:snapToGrid w:val="0"/>
              <w:rPr>
                <w:rFonts w:ascii="Arial" w:hAnsi="Arial" w:cs="Arial"/>
                <w:sz w:val="20"/>
                <w:szCs w:val="20"/>
              </w:rPr>
            </w:pPr>
            <w:r>
              <w:rPr>
                <w:rFonts w:ascii="Arial" w:hAnsi="Arial" w:cs="Arial"/>
                <w:sz w:val="20"/>
                <w:szCs w:val="20"/>
              </w:rPr>
              <w:t>第5.3.6节：“妇女发展规划”表述不准确</w:t>
            </w:r>
          </w:p>
        </w:tc>
        <w:tc>
          <w:tcPr>
            <w:tcW w:w="1473" w:type="pct"/>
            <w:shd w:val="clear" w:color="auto" w:fill="auto"/>
          </w:tcPr>
          <w:p w14:paraId="11D48847">
            <w:pPr>
              <w:snapToGrid w:val="0"/>
              <w:rPr>
                <w:rFonts w:ascii="Arial" w:hAnsi="Arial" w:cs="Arial"/>
                <w:sz w:val="20"/>
                <w:szCs w:val="20"/>
              </w:rPr>
            </w:pPr>
            <w:r>
              <w:rPr>
                <w:rFonts w:ascii="Arial" w:hAnsi="Arial" w:cs="Arial"/>
                <w:sz w:val="20"/>
                <w:szCs w:val="20"/>
              </w:rPr>
              <w:t>建议修改为“妇女儿童发展规划”</w:t>
            </w:r>
          </w:p>
        </w:tc>
        <w:tc>
          <w:tcPr>
            <w:tcW w:w="735" w:type="pct"/>
            <w:shd w:val="clear" w:color="auto" w:fill="auto"/>
          </w:tcPr>
          <w:p w14:paraId="217CCB09">
            <w:pPr>
              <w:snapToGrid w:val="0"/>
              <w:rPr>
                <w:rFonts w:ascii="Arial" w:hAnsi="Arial" w:cs="Arial"/>
                <w:sz w:val="20"/>
                <w:szCs w:val="20"/>
              </w:rPr>
            </w:pPr>
            <w:r>
              <w:rPr>
                <w:rFonts w:ascii="Arial" w:hAnsi="Arial" w:cs="Arial"/>
                <w:sz w:val="20"/>
                <w:szCs w:val="20"/>
              </w:rPr>
              <w:t>湖南省妇联</w:t>
            </w:r>
          </w:p>
        </w:tc>
        <w:tc>
          <w:tcPr>
            <w:tcW w:w="1175" w:type="pct"/>
            <w:shd w:val="clear" w:color="auto" w:fill="auto"/>
          </w:tcPr>
          <w:p w14:paraId="4B85D76F">
            <w:pPr>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已按建议修改</w:t>
            </w:r>
          </w:p>
        </w:tc>
      </w:tr>
      <w:tr w14:paraId="3B21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2CEFC5CA">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7</w:t>
            </w:r>
          </w:p>
        </w:tc>
        <w:tc>
          <w:tcPr>
            <w:tcW w:w="1325" w:type="pct"/>
            <w:shd w:val="clear" w:color="auto" w:fill="auto"/>
          </w:tcPr>
          <w:p w14:paraId="0583AAD5">
            <w:pPr>
              <w:snapToGrid w:val="0"/>
              <w:rPr>
                <w:rFonts w:ascii="Arial" w:hAnsi="Arial" w:cs="Arial"/>
                <w:sz w:val="20"/>
                <w:szCs w:val="20"/>
              </w:rPr>
            </w:pPr>
            <w:r>
              <w:rPr>
                <w:rFonts w:ascii="Arial" w:hAnsi="Arial" w:cs="Arial"/>
                <w:sz w:val="20"/>
                <w:szCs w:val="20"/>
              </w:rPr>
              <w:t>第5.2.5节、第5.3.5节和第5.4.5节：关于乡村振兴工作表述不精确</w:t>
            </w:r>
          </w:p>
        </w:tc>
        <w:tc>
          <w:tcPr>
            <w:tcW w:w="1473" w:type="pct"/>
            <w:shd w:val="clear" w:color="auto" w:fill="auto"/>
          </w:tcPr>
          <w:p w14:paraId="273D55B1">
            <w:pPr>
              <w:snapToGrid w:val="0"/>
              <w:rPr>
                <w:rFonts w:ascii="Arial" w:hAnsi="Arial" w:cs="Arial"/>
                <w:sz w:val="20"/>
                <w:szCs w:val="20"/>
              </w:rPr>
            </w:pPr>
            <w:r>
              <w:rPr>
                <w:rFonts w:ascii="Arial" w:hAnsi="Arial" w:cs="Arial"/>
                <w:sz w:val="20"/>
                <w:szCs w:val="20"/>
              </w:rPr>
              <w:t>建议修改为“各县市巩固拓展脱贫攻坚成果同乡村振兴有效衔接工作通常由乡村振兴局负责”等</w:t>
            </w:r>
          </w:p>
        </w:tc>
        <w:tc>
          <w:tcPr>
            <w:tcW w:w="735" w:type="pct"/>
            <w:shd w:val="clear" w:color="auto" w:fill="auto"/>
          </w:tcPr>
          <w:p w14:paraId="770D367F">
            <w:pPr>
              <w:snapToGrid w:val="0"/>
              <w:rPr>
                <w:rFonts w:ascii="Arial" w:hAnsi="Arial" w:cs="Arial"/>
                <w:sz w:val="20"/>
                <w:szCs w:val="20"/>
              </w:rPr>
            </w:pPr>
            <w:r>
              <w:rPr>
                <w:rFonts w:ascii="Arial" w:hAnsi="Arial" w:cs="Arial"/>
                <w:sz w:val="20"/>
                <w:szCs w:val="20"/>
              </w:rPr>
              <w:t>湖南省乡村振兴局</w:t>
            </w:r>
          </w:p>
        </w:tc>
        <w:tc>
          <w:tcPr>
            <w:tcW w:w="1175" w:type="pct"/>
            <w:shd w:val="clear" w:color="auto" w:fill="auto"/>
          </w:tcPr>
          <w:p w14:paraId="50F0A61D">
            <w:pPr>
              <w:snapToGrid w:val="0"/>
              <w:rPr>
                <w:rFonts w:ascii="Arial" w:hAnsi="Arial" w:cs="Arial"/>
                <w:color w:val="000000" w:themeColor="text1"/>
                <w:sz w:val="20"/>
                <w:szCs w:val="20"/>
                <w14:textFill>
                  <w14:solidFill>
                    <w14:schemeClr w14:val="tx1"/>
                  </w14:solidFill>
                </w14:textFill>
              </w:rPr>
            </w:pPr>
            <w:r>
              <w:rPr>
                <w:rFonts w:ascii="Arial" w:hAnsi="Arial" w:cs="Arial"/>
                <w:color w:val="000000" w:themeColor="text1"/>
                <w:sz w:val="20"/>
                <w:szCs w:val="20"/>
                <w14:textFill>
                  <w14:solidFill>
                    <w14:schemeClr w14:val="tx1"/>
                  </w14:solidFill>
                </w14:textFill>
              </w:rPr>
              <w:t>已按建议修改</w:t>
            </w:r>
          </w:p>
        </w:tc>
      </w:tr>
      <w:tr w14:paraId="3BE5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5AB70FC8">
            <w:pPr>
              <w:snapToGrid w:val="0"/>
              <w:rPr>
                <w:rFonts w:ascii="Arial" w:hAnsi="Arial" w:cs="Arial"/>
                <w:sz w:val="20"/>
                <w:szCs w:val="20"/>
              </w:rPr>
            </w:pPr>
            <w:r>
              <w:rPr>
                <w:rFonts w:hint="eastAsia" w:ascii="Arial" w:hAnsi="Arial" w:cs="Arial"/>
                <w:b/>
                <w:bCs/>
                <w:sz w:val="20"/>
                <w:szCs w:val="20"/>
              </w:rPr>
              <w:t>关于机构设置和职责划分</w:t>
            </w:r>
          </w:p>
        </w:tc>
      </w:tr>
      <w:tr w14:paraId="70D1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66ECBC31">
            <w:pPr>
              <w:snapToGrid w:val="0"/>
              <w:rPr>
                <w:rFonts w:ascii="Arial" w:hAnsi="Arial" w:cs="Arial"/>
                <w:sz w:val="20"/>
                <w:szCs w:val="20"/>
              </w:rPr>
            </w:pPr>
            <w:r>
              <w:rPr>
                <w:rFonts w:hint="eastAsia" w:ascii="Arial" w:hAnsi="Arial" w:cs="Arial"/>
                <w:sz w:val="20"/>
                <w:szCs w:val="20"/>
              </w:rPr>
              <w:t>38</w:t>
            </w:r>
          </w:p>
        </w:tc>
        <w:tc>
          <w:tcPr>
            <w:tcW w:w="1325" w:type="pct"/>
            <w:shd w:val="clear" w:color="auto" w:fill="auto"/>
          </w:tcPr>
          <w:p w14:paraId="22FC9E3C">
            <w:pPr>
              <w:snapToGrid w:val="0"/>
              <w:rPr>
                <w:rFonts w:ascii="Arial" w:hAnsi="Arial" w:cs="Arial"/>
                <w:sz w:val="20"/>
                <w:szCs w:val="20"/>
              </w:rPr>
            </w:pPr>
          </w:p>
        </w:tc>
        <w:tc>
          <w:tcPr>
            <w:tcW w:w="1473" w:type="pct"/>
            <w:shd w:val="clear" w:color="auto" w:fill="auto"/>
          </w:tcPr>
          <w:p w14:paraId="504F35FE">
            <w:pPr>
              <w:snapToGrid w:val="0"/>
              <w:rPr>
                <w:rFonts w:ascii="Arial" w:hAnsi="Arial" w:cs="Arial"/>
                <w:sz w:val="20"/>
                <w:szCs w:val="20"/>
              </w:rPr>
            </w:pPr>
          </w:p>
        </w:tc>
        <w:tc>
          <w:tcPr>
            <w:tcW w:w="735" w:type="pct"/>
            <w:shd w:val="clear" w:color="auto" w:fill="auto"/>
          </w:tcPr>
          <w:p w14:paraId="09D73515">
            <w:pPr>
              <w:snapToGrid w:val="0"/>
              <w:rPr>
                <w:rFonts w:ascii="Arial" w:hAnsi="Arial" w:cs="Arial"/>
                <w:sz w:val="20"/>
                <w:szCs w:val="20"/>
              </w:rPr>
            </w:pPr>
          </w:p>
        </w:tc>
        <w:tc>
          <w:tcPr>
            <w:tcW w:w="1175" w:type="pct"/>
            <w:shd w:val="clear" w:color="auto" w:fill="auto"/>
          </w:tcPr>
          <w:p w14:paraId="201C1802">
            <w:pPr>
              <w:snapToGrid w:val="0"/>
              <w:rPr>
                <w:rFonts w:ascii="Arial" w:hAnsi="Arial" w:cs="Arial"/>
                <w:sz w:val="20"/>
                <w:szCs w:val="20"/>
              </w:rPr>
            </w:pPr>
          </w:p>
        </w:tc>
      </w:tr>
      <w:tr w14:paraId="59B6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3C9C6623">
            <w:pPr>
              <w:snapToGrid w:val="0"/>
              <w:rPr>
                <w:rFonts w:ascii="Arial" w:hAnsi="Arial" w:cs="Arial"/>
                <w:sz w:val="20"/>
                <w:szCs w:val="20"/>
              </w:rPr>
            </w:pPr>
            <w:r>
              <w:rPr>
                <w:rFonts w:ascii="Arial" w:hAnsi="Arial" w:cs="Arial"/>
                <w:sz w:val="20"/>
                <w:szCs w:val="20"/>
              </w:rPr>
              <w:t>3</w:t>
            </w:r>
            <w:r>
              <w:rPr>
                <w:rFonts w:hint="eastAsia" w:ascii="Arial" w:hAnsi="Arial" w:cs="Arial"/>
                <w:sz w:val="20"/>
                <w:szCs w:val="20"/>
              </w:rPr>
              <w:t>9</w:t>
            </w:r>
          </w:p>
        </w:tc>
        <w:tc>
          <w:tcPr>
            <w:tcW w:w="1325" w:type="pct"/>
            <w:shd w:val="clear" w:color="auto" w:fill="auto"/>
          </w:tcPr>
          <w:p w14:paraId="57071086">
            <w:pPr>
              <w:snapToGrid w:val="0"/>
              <w:rPr>
                <w:rFonts w:ascii="Arial" w:hAnsi="Arial" w:cs="Arial"/>
                <w:sz w:val="20"/>
                <w:szCs w:val="20"/>
              </w:rPr>
            </w:pPr>
            <w:r>
              <w:rPr>
                <w:rFonts w:ascii="Arial" w:hAnsi="Arial" w:cs="Arial"/>
                <w:sz w:val="20"/>
                <w:szCs w:val="20"/>
              </w:rPr>
              <w:t>第5.3.1节：关于社会风险评估管理机构中对市</w:t>
            </w:r>
            <w:r>
              <w:rPr>
                <w:rFonts w:hint="eastAsia" w:ascii="Arial" w:hAnsi="Arial" w:cs="Arial"/>
                <w:sz w:val="20"/>
                <w:szCs w:val="20"/>
                <w:lang w:eastAsia="zh-CN"/>
              </w:rPr>
              <w:t>县委政法委</w:t>
            </w:r>
            <w:r>
              <w:rPr>
                <w:rFonts w:ascii="Arial" w:hAnsi="Arial" w:cs="Arial"/>
                <w:sz w:val="20"/>
                <w:szCs w:val="20"/>
              </w:rPr>
              <w:t>的职能定位、人员配置及评估主体等表述不准确</w:t>
            </w:r>
          </w:p>
        </w:tc>
        <w:tc>
          <w:tcPr>
            <w:tcW w:w="1473" w:type="pct"/>
            <w:shd w:val="clear" w:color="auto" w:fill="auto"/>
          </w:tcPr>
          <w:p w14:paraId="4511CD48">
            <w:pPr>
              <w:snapToGrid w:val="0"/>
              <w:rPr>
                <w:rFonts w:ascii="Arial" w:hAnsi="Arial" w:cs="Arial"/>
                <w:sz w:val="20"/>
                <w:szCs w:val="20"/>
              </w:rPr>
            </w:pPr>
            <w:r>
              <w:rPr>
                <w:rFonts w:ascii="Arial" w:hAnsi="Arial" w:cs="Arial"/>
                <w:sz w:val="20"/>
                <w:szCs w:val="20"/>
              </w:rPr>
              <w:t>建议删除“稳评备案，并督导评估主体、实施部门开展工作”中的“实施部门”；删除“配置2名工作人员”的表述；将“各项目业主单位”改为“评估主体”；将“按制”改为“按要求”。</w:t>
            </w:r>
          </w:p>
        </w:tc>
        <w:tc>
          <w:tcPr>
            <w:tcW w:w="735" w:type="pct"/>
            <w:shd w:val="clear" w:color="auto" w:fill="auto"/>
          </w:tcPr>
          <w:p w14:paraId="56FD0C83">
            <w:pPr>
              <w:snapToGrid w:val="0"/>
              <w:rPr>
                <w:rFonts w:ascii="Arial" w:hAnsi="Arial" w:cs="Arial"/>
                <w:sz w:val="20"/>
                <w:szCs w:val="20"/>
              </w:rPr>
            </w:pPr>
            <w:r>
              <w:rPr>
                <w:rFonts w:ascii="Arial" w:hAnsi="Arial" w:cs="Arial"/>
                <w:sz w:val="20"/>
                <w:szCs w:val="20"/>
              </w:rPr>
              <w:t>湖北省仙桃</w:t>
            </w:r>
            <w:r>
              <w:rPr>
                <w:rFonts w:hint="eastAsia" w:ascii="Arial" w:hAnsi="Arial" w:cs="Arial"/>
                <w:sz w:val="20"/>
                <w:szCs w:val="20"/>
                <w:lang w:eastAsia="zh-CN"/>
              </w:rPr>
              <w:t>市委政法委</w:t>
            </w:r>
          </w:p>
        </w:tc>
        <w:tc>
          <w:tcPr>
            <w:tcW w:w="1175" w:type="pct"/>
            <w:shd w:val="clear" w:color="auto" w:fill="auto"/>
          </w:tcPr>
          <w:p w14:paraId="44D5D0C3">
            <w:pPr>
              <w:snapToGrid w:val="0"/>
              <w:rPr>
                <w:rFonts w:ascii="Arial" w:hAnsi="Arial" w:cs="Arial"/>
                <w:sz w:val="20"/>
                <w:szCs w:val="20"/>
              </w:rPr>
            </w:pPr>
            <w:r>
              <w:rPr>
                <w:rFonts w:ascii="Arial" w:hAnsi="Arial" w:cs="Arial"/>
                <w:sz w:val="20"/>
                <w:szCs w:val="20"/>
              </w:rPr>
              <w:t>已根据反馈意见修改</w:t>
            </w:r>
          </w:p>
        </w:tc>
      </w:tr>
      <w:tr w14:paraId="653E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C5E17F9">
            <w:pPr>
              <w:snapToGrid w:val="0"/>
              <w:rPr>
                <w:rFonts w:ascii="Arial" w:hAnsi="Arial" w:cs="Arial"/>
                <w:sz w:val="20"/>
                <w:szCs w:val="20"/>
              </w:rPr>
            </w:pPr>
            <w:r>
              <w:rPr>
                <w:rFonts w:hint="eastAsia" w:ascii="Arial" w:hAnsi="Arial" w:cs="Arial"/>
                <w:sz w:val="20"/>
                <w:szCs w:val="20"/>
              </w:rPr>
              <w:t>40</w:t>
            </w:r>
          </w:p>
        </w:tc>
        <w:tc>
          <w:tcPr>
            <w:tcW w:w="1325" w:type="pct"/>
            <w:shd w:val="clear" w:color="auto" w:fill="auto"/>
          </w:tcPr>
          <w:p w14:paraId="50CA7EB4">
            <w:pPr>
              <w:snapToGrid w:val="0"/>
              <w:rPr>
                <w:rFonts w:ascii="Arial" w:hAnsi="Arial" w:cs="Arial"/>
                <w:sz w:val="20"/>
                <w:szCs w:val="20"/>
              </w:rPr>
            </w:pPr>
            <w:r>
              <w:rPr>
                <w:rFonts w:ascii="Arial" w:hAnsi="Arial" w:cs="Arial"/>
                <w:sz w:val="20"/>
                <w:szCs w:val="20"/>
              </w:rPr>
              <w:t>第5.4.5节：“无论是各级政府的妇联还是企业单位的内部管理部门，每年都安排有妇女权益保护和妇女发展的项目和资金；同时各地妇联还设置了妇女权益保护部、儿童部、信访部、家调部、健康部、妇女发展部等。”表述不精确。</w:t>
            </w:r>
          </w:p>
        </w:tc>
        <w:tc>
          <w:tcPr>
            <w:tcW w:w="1473" w:type="pct"/>
            <w:shd w:val="clear" w:color="auto" w:fill="auto"/>
          </w:tcPr>
          <w:p w14:paraId="036B91AA">
            <w:pPr>
              <w:snapToGrid w:val="0"/>
              <w:rPr>
                <w:rFonts w:ascii="Arial" w:hAnsi="Arial" w:cs="Arial"/>
                <w:sz w:val="20"/>
                <w:szCs w:val="20"/>
              </w:rPr>
            </w:pPr>
            <w:r>
              <w:rPr>
                <w:rFonts w:ascii="Arial" w:hAnsi="Arial" w:cs="Arial"/>
                <w:sz w:val="20"/>
                <w:szCs w:val="20"/>
              </w:rPr>
              <w:t>改为“无论是各级政府、妇联组织还是企业单位的内部管理部门，每年都安排有妇女权益保护和妇女发展的项目和资金；同时针对妇女维权、家庭、儿童、发展、健康、男女平等宣传等工作，各地妇联还设置了权益部、家庭和家儿部、妇女发展部、组织建设和联络部、宣传部等”</w:t>
            </w:r>
          </w:p>
        </w:tc>
        <w:tc>
          <w:tcPr>
            <w:tcW w:w="735" w:type="pct"/>
            <w:shd w:val="clear" w:color="auto" w:fill="auto"/>
          </w:tcPr>
          <w:p w14:paraId="50BFEB2B">
            <w:pPr>
              <w:snapToGrid w:val="0"/>
              <w:rPr>
                <w:rFonts w:ascii="Arial" w:hAnsi="Arial" w:cs="Arial"/>
                <w:sz w:val="20"/>
                <w:szCs w:val="20"/>
              </w:rPr>
            </w:pPr>
            <w:r>
              <w:rPr>
                <w:rFonts w:ascii="Arial" w:hAnsi="Arial" w:cs="Arial"/>
                <w:sz w:val="20"/>
                <w:szCs w:val="20"/>
              </w:rPr>
              <w:t>湖北省妇联</w:t>
            </w:r>
          </w:p>
          <w:p w14:paraId="6DADA43D">
            <w:pPr>
              <w:snapToGrid w:val="0"/>
              <w:rPr>
                <w:rFonts w:ascii="Arial" w:hAnsi="Arial" w:cs="Arial"/>
                <w:sz w:val="20"/>
                <w:szCs w:val="20"/>
              </w:rPr>
            </w:pPr>
            <w:r>
              <w:rPr>
                <w:rFonts w:ascii="Arial" w:hAnsi="Arial" w:cs="Arial"/>
                <w:sz w:val="20"/>
                <w:szCs w:val="20"/>
              </w:rPr>
              <w:t>湖南省妇联</w:t>
            </w:r>
          </w:p>
        </w:tc>
        <w:tc>
          <w:tcPr>
            <w:tcW w:w="1175" w:type="pct"/>
            <w:shd w:val="clear" w:color="auto" w:fill="auto"/>
          </w:tcPr>
          <w:p w14:paraId="3982AD46">
            <w:pPr>
              <w:snapToGrid w:val="0"/>
              <w:rPr>
                <w:rFonts w:ascii="Arial" w:hAnsi="Arial" w:cs="Arial"/>
                <w:sz w:val="20"/>
                <w:szCs w:val="20"/>
              </w:rPr>
            </w:pPr>
            <w:r>
              <w:rPr>
                <w:rFonts w:ascii="Arial" w:hAnsi="Arial" w:cs="Arial"/>
                <w:sz w:val="20"/>
                <w:szCs w:val="20"/>
              </w:rPr>
              <w:t>已按建议修改</w:t>
            </w:r>
          </w:p>
        </w:tc>
      </w:tr>
      <w:tr w14:paraId="1212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1D449EF3">
            <w:pPr>
              <w:snapToGrid w:val="0"/>
              <w:rPr>
                <w:rFonts w:ascii="Arial" w:hAnsi="Arial" w:cs="Arial"/>
                <w:sz w:val="20"/>
                <w:szCs w:val="20"/>
              </w:rPr>
            </w:pPr>
            <w:r>
              <w:rPr>
                <w:rFonts w:ascii="Arial" w:hAnsi="Arial" w:cs="Arial"/>
                <w:sz w:val="20"/>
                <w:szCs w:val="20"/>
              </w:rPr>
              <w:t>4</w:t>
            </w:r>
            <w:r>
              <w:rPr>
                <w:rFonts w:hint="eastAsia" w:ascii="Arial" w:hAnsi="Arial" w:cs="Arial"/>
                <w:sz w:val="20"/>
                <w:szCs w:val="20"/>
              </w:rPr>
              <w:t>1</w:t>
            </w:r>
          </w:p>
        </w:tc>
        <w:tc>
          <w:tcPr>
            <w:tcW w:w="1325" w:type="pct"/>
            <w:shd w:val="clear" w:color="auto" w:fill="auto"/>
          </w:tcPr>
          <w:p w14:paraId="6C92894C">
            <w:pPr>
              <w:snapToGrid w:val="0"/>
              <w:rPr>
                <w:rFonts w:ascii="Arial" w:hAnsi="Arial" w:cs="Arial"/>
                <w:sz w:val="20"/>
                <w:szCs w:val="20"/>
              </w:rPr>
            </w:pPr>
            <w:r>
              <w:rPr>
                <w:rFonts w:ascii="Arial" w:hAnsi="Arial" w:cs="Arial"/>
                <w:sz w:val="20"/>
                <w:szCs w:val="20"/>
              </w:rPr>
              <w:t>第5.3.1节：社会风险评估管理机构中省级政法部门职能表述不精确</w:t>
            </w:r>
          </w:p>
        </w:tc>
        <w:tc>
          <w:tcPr>
            <w:tcW w:w="1473" w:type="pct"/>
            <w:shd w:val="clear" w:color="auto" w:fill="auto"/>
          </w:tcPr>
          <w:p w14:paraId="4CAA0B37">
            <w:pPr>
              <w:snapToGrid w:val="0"/>
              <w:rPr>
                <w:rFonts w:ascii="Arial" w:hAnsi="Arial" w:cs="Arial"/>
                <w:sz w:val="20"/>
                <w:szCs w:val="20"/>
              </w:rPr>
            </w:pPr>
            <w:r>
              <w:rPr>
                <w:rFonts w:ascii="Arial" w:hAnsi="Arial" w:cs="Arial"/>
                <w:sz w:val="20"/>
                <w:szCs w:val="20"/>
              </w:rPr>
              <w:t>建议修改成“督促、指导决策主体、评估主体对存在跨地区跨部门的项目，召集各地</w:t>
            </w:r>
            <w:r>
              <w:rPr>
                <w:rFonts w:hint="eastAsia" w:ascii="Arial" w:hAnsi="Arial" w:cs="Arial"/>
                <w:sz w:val="20"/>
                <w:szCs w:val="20"/>
                <w:lang w:eastAsia="zh-CN"/>
              </w:rPr>
              <w:t>区委政法委</w:t>
            </w:r>
            <w:r>
              <w:rPr>
                <w:rFonts w:ascii="Arial" w:hAnsi="Arial" w:cs="Arial"/>
                <w:sz w:val="20"/>
                <w:szCs w:val="20"/>
              </w:rPr>
              <w:t>和相关部门共同讨论”</w:t>
            </w:r>
          </w:p>
        </w:tc>
        <w:tc>
          <w:tcPr>
            <w:tcW w:w="735" w:type="pct"/>
            <w:shd w:val="clear" w:color="auto" w:fill="auto"/>
          </w:tcPr>
          <w:p w14:paraId="327D1852">
            <w:pPr>
              <w:snapToGrid w:val="0"/>
              <w:rPr>
                <w:rFonts w:ascii="Arial" w:hAnsi="Arial" w:cs="Arial"/>
                <w:sz w:val="20"/>
                <w:szCs w:val="20"/>
              </w:rPr>
            </w:pPr>
            <w:r>
              <w:rPr>
                <w:rFonts w:ascii="Arial" w:hAnsi="Arial" w:cs="Arial"/>
                <w:sz w:val="20"/>
                <w:szCs w:val="20"/>
              </w:rPr>
              <w:t>湖北</w:t>
            </w:r>
            <w:r>
              <w:rPr>
                <w:rFonts w:hint="eastAsia" w:ascii="Arial" w:hAnsi="Arial" w:cs="Arial"/>
                <w:sz w:val="20"/>
                <w:szCs w:val="20"/>
                <w:lang w:eastAsia="zh-CN"/>
              </w:rPr>
              <w:t>省委政法委</w:t>
            </w:r>
          </w:p>
        </w:tc>
        <w:tc>
          <w:tcPr>
            <w:tcW w:w="1175" w:type="pct"/>
            <w:shd w:val="clear" w:color="auto" w:fill="auto"/>
          </w:tcPr>
          <w:p w14:paraId="041AC561">
            <w:pPr>
              <w:snapToGrid w:val="0"/>
              <w:rPr>
                <w:rFonts w:ascii="Arial" w:hAnsi="Arial" w:cs="Arial"/>
                <w:sz w:val="20"/>
                <w:szCs w:val="20"/>
              </w:rPr>
            </w:pPr>
            <w:r>
              <w:rPr>
                <w:rFonts w:ascii="Arial" w:hAnsi="Arial" w:cs="Arial"/>
                <w:sz w:val="20"/>
                <w:szCs w:val="20"/>
              </w:rPr>
              <w:t>已按建议修改</w:t>
            </w:r>
          </w:p>
        </w:tc>
      </w:tr>
      <w:tr w14:paraId="018D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757F01C1">
            <w:pPr>
              <w:snapToGrid w:val="0"/>
              <w:rPr>
                <w:rFonts w:ascii="Arial" w:hAnsi="Arial" w:cs="Arial"/>
                <w:sz w:val="20"/>
                <w:szCs w:val="20"/>
              </w:rPr>
            </w:pPr>
            <w:r>
              <w:rPr>
                <w:rFonts w:ascii="Arial" w:hAnsi="Arial" w:cs="Arial"/>
                <w:sz w:val="20"/>
                <w:szCs w:val="20"/>
              </w:rPr>
              <w:t>4</w:t>
            </w:r>
            <w:r>
              <w:rPr>
                <w:rFonts w:hint="eastAsia" w:ascii="Arial" w:hAnsi="Arial" w:cs="Arial"/>
                <w:sz w:val="20"/>
                <w:szCs w:val="20"/>
              </w:rPr>
              <w:t>2</w:t>
            </w:r>
          </w:p>
        </w:tc>
        <w:tc>
          <w:tcPr>
            <w:tcW w:w="1325" w:type="pct"/>
            <w:shd w:val="clear" w:color="auto" w:fill="auto"/>
          </w:tcPr>
          <w:p w14:paraId="24734186">
            <w:pPr>
              <w:snapToGrid w:val="0"/>
              <w:rPr>
                <w:rFonts w:ascii="Arial" w:hAnsi="Arial" w:cs="Arial"/>
                <w:sz w:val="20"/>
                <w:szCs w:val="20"/>
              </w:rPr>
            </w:pPr>
            <w:r>
              <w:rPr>
                <w:rFonts w:ascii="Arial" w:hAnsi="Arial" w:cs="Arial"/>
                <w:sz w:val="20"/>
                <w:szCs w:val="20"/>
              </w:rPr>
              <w:t>第5.3.4节：随县中医院五职业健康体检资质，职业健康股配置人员数量不对</w:t>
            </w:r>
          </w:p>
        </w:tc>
        <w:tc>
          <w:tcPr>
            <w:tcW w:w="1473" w:type="pct"/>
            <w:shd w:val="clear" w:color="auto" w:fill="auto"/>
          </w:tcPr>
          <w:p w14:paraId="74A5879F">
            <w:pPr>
              <w:snapToGrid w:val="0"/>
              <w:rPr>
                <w:rFonts w:ascii="Arial" w:hAnsi="Arial" w:cs="Arial"/>
                <w:sz w:val="20"/>
                <w:szCs w:val="20"/>
              </w:rPr>
            </w:pPr>
            <w:r>
              <w:rPr>
                <w:rFonts w:ascii="Arial" w:hAnsi="Arial" w:cs="Arial"/>
                <w:sz w:val="20"/>
                <w:szCs w:val="20"/>
              </w:rPr>
              <w:t>建议“去掉随县中医院”，职业健康股1人改为2人，</w:t>
            </w:r>
          </w:p>
        </w:tc>
        <w:tc>
          <w:tcPr>
            <w:tcW w:w="735" w:type="pct"/>
            <w:shd w:val="clear" w:color="auto" w:fill="auto"/>
          </w:tcPr>
          <w:p w14:paraId="0D50C5B7">
            <w:pPr>
              <w:snapToGrid w:val="0"/>
              <w:rPr>
                <w:rFonts w:ascii="Arial" w:hAnsi="Arial" w:cs="Arial"/>
                <w:sz w:val="20"/>
                <w:szCs w:val="20"/>
              </w:rPr>
            </w:pPr>
            <w:r>
              <w:rPr>
                <w:rFonts w:ascii="Arial" w:hAnsi="Arial" w:cs="Arial"/>
                <w:sz w:val="20"/>
                <w:szCs w:val="20"/>
              </w:rPr>
              <w:t>湖北省随县乡村振兴局</w:t>
            </w:r>
          </w:p>
        </w:tc>
        <w:tc>
          <w:tcPr>
            <w:tcW w:w="1175" w:type="pct"/>
            <w:shd w:val="clear" w:color="auto" w:fill="auto"/>
          </w:tcPr>
          <w:p w14:paraId="6EBDC722">
            <w:pPr>
              <w:snapToGrid w:val="0"/>
              <w:rPr>
                <w:rFonts w:ascii="Arial" w:hAnsi="Arial" w:cs="Arial"/>
                <w:sz w:val="20"/>
                <w:szCs w:val="20"/>
              </w:rPr>
            </w:pPr>
            <w:r>
              <w:rPr>
                <w:rFonts w:ascii="Arial" w:hAnsi="Arial" w:cs="Arial"/>
                <w:sz w:val="20"/>
                <w:szCs w:val="20"/>
              </w:rPr>
              <w:t>已按建议修改</w:t>
            </w:r>
          </w:p>
        </w:tc>
      </w:tr>
      <w:tr w14:paraId="79B3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4D554D2C">
            <w:pPr>
              <w:snapToGrid w:val="0"/>
              <w:rPr>
                <w:rFonts w:ascii="Arial" w:hAnsi="Arial" w:cs="Arial"/>
                <w:sz w:val="20"/>
                <w:szCs w:val="20"/>
              </w:rPr>
            </w:pPr>
            <w:r>
              <w:rPr>
                <w:rFonts w:hint="eastAsia" w:ascii="Arial" w:hAnsi="Arial" w:cs="Arial"/>
                <w:sz w:val="20"/>
                <w:szCs w:val="20"/>
              </w:rPr>
              <w:t>43</w:t>
            </w:r>
          </w:p>
        </w:tc>
        <w:tc>
          <w:tcPr>
            <w:tcW w:w="1325" w:type="pct"/>
            <w:shd w:val="clear" w:color="auto" w:fill="auto"/>
          </w:tcPr>
          <w:p w14:paraId="5C7E607B">
            <w:pPr>
              <w:snapToGrid w:val="0"/>
              <w:rPr>
                <w:rFonts w:ascii="Arial" w:hAnsi="Arial" w:cs="Arial"/>
                <w:sz w:val="20"/>
                <w:szCs w:val="20"/>
              </w:rPr>
            </w:pPr>
            <w:r>
              <w:rPr>
                <w:rFonts w:hint="eastAsia" w:ascii="Arial" w:hAnsi="Arial" w:cs="Arial"/>
                <w:sz w:val="20"/>
                <w:szCs w:val="20"/>
              </w:rPr>
              <w:t>第5.3.6节：关于妇联职能表述不精确</w:t>
            </w:r>
          </w:p>
        </w:tc>
        <w:tc>
          <w:tcPr>
            <w:tcW w:w="1473" w:type="pct"/>
            <w:shd w:val="clear" w:color="auto" w:fill="auto"/>
          </w:tcPr>
          <w:p w14:paraId="7748442B">
            <w:pPr>
              <w:snapToGrid w:val="0"/>
              <w:rPr>
                <w:rFonts w:ascii="Arial" w:hAnsi="Arial" w:cs="Arial"/>
                <w:sz w:val="20"/>
                <w:szCs w:val="20"/>
              </w:rPr>
            </w:pPr>
            <w:r>
              <w:rPr>
                <w:rFonts w:hint="eastAsia" w:ascii="Arial" w:hAnsi="Arial" w:cs="Arial"/>
                <w:sz w:val="20"/>
                <w:szCs w:val="20"/>
              </w:rPr>
              <w:t>建议删掉“组织开展文明家庭创建”。</w:t>
            </w:r>
          </w:p>
        </w:tc>
        <w:tc>
          <w:tcPr>
            <w:tcW w:w="735" w:type="pct"/>
            <w:shd w:val="clear" w:color="auto" w:fill="auto"/>
          </w:tcPr>
          <w:p w14:paraId="2A6C1EA2">
            <w:pPr>
              <w:snapToGrid w:val="0"/>
              <w:rPr>
                <w:rFonts w:ascii="Arial" w:hAnsi="Arial" w:cs="Arial"/>
                <w:sz w:val="20"/>
                <w:szCs w:val="20"/>
              </w:rPr>
            </w:pPr>
            <w:r>
              <w:rPr>
                <w:rFonts w:hint="eastAsia" w:ascii="Arial" w:hAnsi="Arial" w:cs="Arial"/>
                <w:sz w:val="20"/>
                <w:szCs w:val="20"/>
              </w:rPr>
              <w:t>湖北省咸安区妇联</w:t>
            </w:r>
          </w:p>
        </w:tc>
        <w:tc>
          <w:tcPr>
            <w:tcW w:w="1175" w:type="pct"/>
            <w:shd w:val="clear" w:color="auto" w:fill="auto"/>
          </w:tcPr>
          <w:p w14:paraId="10DFEDD1">
            <w:pPr>
              <w:snapToGrid w:val="0"/>
              <w:rPr>
                <w:rFonts w:ascii="Arial" w:hAnsi="Arial" w:cs="Arial"/>
                <w:sz w:val="20"/>
                <w:szCs w:val="20"/>
              </w:rPr>
            </w:pPr>
            <w:r>
              <w:rPr>
                <w:rFonts w:ascii="Arial" w:hAnsi="Arial" w:cs="Arial"/>
                <w:sz w:val="20"/>
                <w:szCs w:val="20"/>
              </w:rPr>
              <w:t>已按建议修改</w:t>
            </w:r>
          </w:p>
        </w:tc>
      </w:tr>
      <w:tr w14:paraId="7CED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259ECE06">
            <w:pPr>
              <w:snapToGrid w:val="0"/>
              <w:rPr>
                <w:rFonts w:ascii="Arial" w:hAnsi="Arial" w:cs="Arial"/>
                <w:sz w:val="20"/>
                <w:szCs w:val="20"/>
              </w:rPr>
            </w:pPr>
            <w:r>
              <w:rPr>
                <w:rFonts w:ascii="Arial" w:hAnsi="Arial" w:cs="Arial"/>
                <w:sz w:val="20"/>
                <w:szCs w:val="20"/>
              </w:rPr>
              <w:t>4</w:t>
            </w:r>
            <w:r>
              <w:rPr>
                <w:rFonts w:hint="eastAsia" w:ascii="Arial" w:hAnsi="Arial" w:cs="Arial"/>
                <w:sz w:val="20"/>
                <w:szCs w:val="20"/>
              </w:rPr>
              <w:t>4</w:t>
            </w:r>
          </w:p>
        </w:tc>
        <w:tc>
          <w:tcPr>
            <w:tcW w:w="1325" w:type="pct"/>
            <w:shd w:val="clear" w:color="auto" w:fill="auto"/>
          </w:tcPr>
          <w:p w14:paraId="58529425">
            <w:pPr>
              <w:snapToGrid w:val="0"/>
              <w:rPr>
                <w:rFonts w:ascii="Arial" w:hAnsi="Arial" w:cs="Arial"/>
                <w:sz w:val="20"/>
                <w:szCs w:val="20"/>
              </w:rPr>
            </w:pPr>
            <w:r>
              <w:rPr>
                <w:rFonts w:ascii="Arial" w:hAnsi="Arial" w:cs="Arial"/>
                <w:sz w:val="20"/>
                <w:szCs w:val="20"/>
              </w:rPr>
              <w:t>关于信访部门的表述不统一</w:t>
            </w:r>
          </w:p>
        </w:tc>
        <w:tc>
          <w:tcPr>
            <w:tcW w:w="1473" w:type="pct"/>
            <w:shd w:val="clear" w:color="auto" w:fill="auto"/>
          </w:tcPr>
          <w:p w14:paraId="730A3E38">
            <w:pPr>
              <w:snapToGrid w:val="0"/>
              <w:rPr>
                <w:rFonts w:ascii="Arial" w:hAnsi="Arial" w:cs="Arial"/>
                <w:sz w:val="20"/>
                <w:szCs w:val="20"/>
              </w:rPr>
            </w:pPr>
            <w:r>
              <w:rPr>
                <w:rFonts w:ascii="Arial" w:hAnsi="Arial" w:cs="Arial"/>
                <w:sz w:val="20"/>
                <w:szCs w:val="20"/>
              </w:rPr>
              <w:t>建议将“信访办</w:t>
            </w:r>
            <w:r>
              <w:rPr>
                <w:rFonts w:hint="eastAsia" w:ascii="Arial" w:hAnsi="Arial" w:cs="Arial"/>
                <w:sz w:val="20"/>
                <w:szCs w:val="20"/>
                <w:lang w:eastAsia="zh-CN"/>
              </w:rPr>
              <w:t>”“</w:t>
            </w:r>
            <w:r>
              <w:rPr>
                <w:rFonts w:ascii="Arial" w:hAnsi="Arial" w:cs="Arial"/>
                <w:sz w:val="20"/>
                <w:szCs w:val="20"/>
              </w:rPr>
              <w:t>信访局”统一改为“信访部门”</w:t>
            </w:r>
          </w:p>
        </w:tc>
        <w:tc>
          <w:tcPr>
            <w:tcW w:w="735" w:type="pct"/>
            <w:shd w:val="clear" w:color="auto" w:fill="auto"/>
          </w:tcPr>
          <w:p w14:paraId="6B01ECB7">
            <w:pPr>
              <w:snapToGrid w:val="0"/>
              <w:rPr>
                <w:rFonts w:ascii="Arial" w:hAnsi="Arial" w:cs="Arial"/>
                <w:sz w:val="20"/>
                <w:szCs w:val="20"/>
              </w:rPr>
            </w:pPr>
            <w:r>
              <w:rPr>
                <w:rFonts w:ascii="Arial" w:hAnsi="Arial" w:cs="Arial"/>
                <w:sz w:val="20"/>
                <w:szCs w:val="20"/>
              </w:rPr>
              <w:t>湖南省信访局</w:t>
            </w:r>
          </w:p>
        </w:tc>
        <w:tc>
          <w:tcPr>
            <w:tcW w:w="1175" w:type="pct"/>
            <w:shd w:val="clear" w:color="auto" w:fill="auto"/>
          </w:tcPr>
          <w:p w14:paraId="43E32AC8">
            <w:pPr>
              <w:snapToGrid w:val="0"/>
              <w:rPr>
                <w:rFonts w:ascii="Arial" w:hAnsi="Arial" w:cs="Arial"/>
                <w:sz w:val="20"/>
                <w:szCs w:val="20"/>
              </w:rPr>
            </w:pPr>
            <w:r>
              <w:rPr>
                <w:rFonts w:ascii="Arial" w:hAnsi="Arial" w:cs="Arial"/>
                <w:sz w:val="20"/>
                <w:szCs w:val="20"/>
              </w:rPr>
              <w:t>已按建议修改</w:t>
            </w:r>
          </w:p>
        </w:tc>
      </w:tr>
      <w:tr w14:paraId="2841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5000" w:type="pct"/>
            <w:gridSpan w:val="5"/>
            <w:shd w:val="clear" w:color="auto" w:fill="auto"/>
          </w:tcPr>
          <w:p w14:paraId="2D802616">
            <w:pPr>
              <w:snapToGrid w:val="0"/>
              <w:rPr>
                <w:rFonts w:ascii="Arial" w:hAnsi="Arial" w:cs="Arial"/>
                <w:b/>
                <w:bCs/>
                <w:sz w:val="20"/>
                <w:szCs w:val="20"/>
              </w:rPr>
            </w:pPr>
            <w:r>
              <w:rPr>
                <w:rFonts w:ascii="Arial" w:hAnsi="Arial" w:cs="Arial"/>
                <w:b/>
                <w:bCs/>
                <w:sz w:val="20"/>
                <w:szCs w:val="20"/>
              </w:rPr>
              <w:t>关于行动建议</w:t>
            </w:r>
          </w:p>
        </w:tc>
      </w:tr>
      <w:tr w14:paraId="6886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04708CD9">
            <w:pPr>
              <w:snapToGrid w:val="0"/>
              <w:rPr>
                <w:rFonts w:ascii="Arial" w:hAnsi="Arial" w:cs="Arial"/>
                <w:sz w:val="20"/>
                <w:szCs w:val="20"/>
              </w:rPr>
            </w:pPr>
            <w:r>
              <w:rPr>
                <w:rFonts w:ascii="Arial" w:hAnsi="Arial" w:cs="Arial"/>
                <w:sz w:val="20"/>
                <w:szCs w:val="20"/>
              </w:rPr>
              <w:t>4</w:t>
            </w:r>
            <w:r>
              <w:rPr>
                <w:rFonts w:hint="eastAsia" w:ascii="Arial" w:hAnsi="Arial" w:cs="Arial"/>
                <w:sz w:val="20"/>
                <w:szCs w:val="20"/>
              </w:rPr>
              <w:t>5</w:t>
            </w:r>
          </w:p>
        </w:tc>
        <w:tc>
          <w:tcPr>
            <w:tcW w:w="1325" w:type="pct"/>
            <w:shd w:val="clear" w:color="auto" w:fill="auto"/>
          </w:tcPr>
          <w:p w14:paraId="6CD81F8B">
            <w:pPr>
              <w:snapToGrid w:val="0"/>
              <w:rPr>
                <w:rFonts w:ascii="Arial" w:hAnsi="Arial" w:cs="Arial"/>
                <w:sz w:val="20"/>
                <w:szCs w:val="20"/>
              </w:rPr>
            </w:pPr>
            <w:r>
              <w:rPr>
                <w:rFonts w:ascii="Arial" w:hAnsi="Arial" w:cs="Arial"/>
                <w:sz w:val="20"/>
                <w:szCs w:val="20"/>
              </w:rPr>
              <w:t>第7章：关于环境行动计划的完成标志，因垃圾转运站设置偏远，监测设备缺乏，较难实现臭气监测</w:t>
            </w:r>
          </w:p>
        </w:tc>
        <w:tc>
          <w:tcPr>
            <w:tcW w:w="1473" w:type="pct"/>
            <w:shd w:val="clear" w:color="auto" w:fill="auto"/>
          </w:tcPr>
          <w:p w14:paraId="3A3F18F9">
            <w:pPr>
              <w:snapToGrid w:val="0"/>
              <w:rPr>
                <w:rFonts w:ascii="Arial" w:hAnsi="Arial" w:cs="Arial"/>
                <w:sz w:val="20"/>
                <w:szCs w:val="20"/>
              </w:rPr>
            </w:pPr>
            <w:r>
              <w:rPr>
                <w:rFonts w:ascii="Arial" w:hAnsi="Arial" w:cs="Arial"/>
                <w:sz w:val="20"/>
                <w:szCs w:val="20"/>
              </w:rPr>
              <w:t>建议重新考虑该项目标是否能完成</w:t>
            </w:r>
          </w:p>
        </w:tc>
        <w:tc>
          <w:tcPr>
            <w:tcW w:w="735" w:type="pct"/>
            <w:shd w:val="clear" w:color="auto" w:fill="auto"/>
          </w:tcPr>
          <w:p w14:paraId="21ADDD81">
            <w:pPr>
              <w:snapToGrid w:val="0"/>
              <w:rPr>
                <w:rFonts w:ascii="Arial" w:hAnsi="Arial" w:cs="Arial"/>
                <w:sz w:val="20"/>
                <w:szCs w:val="20"/>
              </w:rPr>
            </w:pPr>
            <w:r>
              <w:rPr>
                <w:rFonts w:ascii="Arial" w:hAnsi="Arial" w:cs="Arial"/>
                <w:sz w:val="20"/>
                <w:szCs w:val="20"/>
              </w:rPr>
              <w:t>湖北省住房和城乡建设厅</w:t>
            </w:r>
          </w:p>
        </w:tc>
        <w:tc>
          <w:tcPr>
            <w:tcW w:w="1175" w:type="pct"/>
            <w:shd w:val="clear" w:color="auto" w:fill="auto"/>
          </w:tcPr>
          <w:p w14:paraId="2617578F">
            <w:pPr>
              <w:snapToGrid w:val="0"/>
              <w:rPr>
                <w:rFonts w:ascii="Arial" w:hAnsi="Arial" w:cs="Arial"/>
                <w:sz w:val="20"/>
                <w:szCs w:val="20"/>
              </w:rPr>
            </w:pPr>
            <w:r>
              <w:rPr>
                <w:rFonts w:ascii="Arial" w:hAnsi="Arial" w:cs="Arial"/>
                <w:sz w:val="20"/>
                <w:szCs w:val="20"/>
              </w:rPr>
              <w:t>建议根据实际情况采取自行监测、委托第三方监测等方式开展臭气监测</w:t>
            </w:r>
          </w:p>
        </w:tc>
      </w:tr>
      <w:tr w14:paraId="7915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292" w:type="pct"/>
            <w:shd w:val="clear" w:color="auto" w:fill="auto"/>
          </w:tcPr>
          <w:p w14:paraId="18EDFA1C">
            <w:pPr>
              <w:snapToGrid w:val="0"/>
              <w:rPr>
                <w:rFonts w:ascii="Arial" w:hAnsi="Arial" w:cs="Arial"/>
                <w:sz w:val="20"/>
                <w:szCs w:val="20"/>
              </w:rPr>
            </w:pPr>
            <w:r>
              <w:rPr>
                <w:rFonts w:ascii="Arial" w:hAnsi="Arial" w:cs="Arial"/>
                <w:sz w:val="20"/>
                <w:szCs w:val="20"/>
              </w:rPr>
              <w:t>4</w:t>
            </w:r>
            <w:r>
              <w:rPr>
                <w:rFonts w:hint="eastAsia" w:ascii="Arial" w:hAnsi="Arial" w:cs="Arial"/>
                <w:sz w:val="20"/>
                <w:szCs w:val="20"/>
              </w:rPr>
              <w:t>6</w:t>
            </w:r>
          </w:p>
        </w:tc>
        <w:tc>
          <w:tcPr>
            <w:tcW w:w="1325" w:type="pct"/>
            <w:shd w:val="clear" w:color="auto" w:fill="auto"/>
          </w:tcPr>
          <w:p w14:paraId="7CA0CB20">
            <w:pPr>
              <w:snapToGrid w:val="0"/>
              <w:rPr>
                <w:rFonts w:ascii="Arial" w:hAnsi="Arial" w:cs="Arial"/>
                <w:sz w:val="20"/>
                <w:szCs w:val="20"/>
              </w:rPr>
            </w:pPr>
            <w:r>
              <w:rPr>
                <w:rFonts w:ascii="Arial" w:hAnsi="Arial" w:cs="Arial"/>
                <w:sz w:val="20"/>
                <w:szCs w:val="20"/>
              </w:rPr>
              <w:t>第7章：关于风险防范化解提出的建议方面</w:t>
            </w:r>
          </w:p>
        </w:tc>
        <w:tc>
          <w:tcPr>
            <w:tcW w:w="1473" w:type="pct"/>
            <w:shd w:val="clear" w:color="auto" w:fill="auto"/>
          </w:tcPr>
          <w:p w14:paraId="3F9D8B5A">
            <w:pPr>
              <w:snapToGrid w:val="0"/>
              <w:rPr>
                <w:rFonts w:ascii="Arial" w:hAnsi="Arial" w:cs="Arial"/>
                <w:sz w:val="20"/>
                <w:szCs w:val="20"/>
              </w:rPr>
            </w:pPr>
            <w:r>
              <w:rPr>
                <w:rFonts w:ascii="Arial" w:hAnsi="Arial" w:cs="Arial"/>
                <w:sz w:val="20"/>
                <w:szCs w:val="20"/>
              </w:rPr>
              <w:t>建议改为“一是社会稳定风险评估工作作为源头，是防范化解最有效、最低成本的措施；二是风险防范化解的过程，贯彻以人民为中心，体现</w:t>
            </w:r>
            <w:r>
              <w:rPr>
                <w:rFonts w:hint="eastAsia" w:ascii="Arial" w:hAnsi="Arial" w:cs="Arial"/>
                <w:sz w:val="20"/>
                <w:szCs w:val="20"/>
                <w:lang w:eastAsia="zh-CN"/>
              </w:rPr>
              <w:t>党和</w:t>
            </w:r>
            <w:r>
              <w:rPr>
                <w:rFonts w:ascii="Arial" w:hAnsi="Arial" w:cs="Arial"/>
                <w:sz w:val="20"/>
                <w:szCs w:val="20"/>
              </w:rPr>
              <w:t>政府关心人民群众的一个过程和具体措施；三是采取有效措施，及时防范化解风险，如果发生某类问题时，要注意敏感炒作，防止产生不良的影响”</w:t>
            </w:r>
          </w:p>
        </w:tc>
        <w:tc>
          <w:tcPr>
            <w:tcW w:w="735" w:type="pct"/>
            <w:shd w:val="clear" w:color="auto" w:fill="auto"/>
          </w:tcPr>
          <w:p w14:paraId="19F7D7EF">
            <w:pPr>
              <w:snapToGrid w:val="0"/>
              <w:rPr>
                <w:rFonts w:ascii="Arial" w:hAnsi="Arial" w:cs="Arial"/>
                <w:sz w:val="20"/>
                <w:szCs w:val="20"/>
              </w:rPr>
            </w:pPr>
            <w:r>
              <w:rPr>
                <w:rFonts w:ascii="Arial" w:hAnsi="Arial" w:cs="Arial"/>
                <w:sz w:val="20"/>
                <w:szCs w:val="20"/>
              </w:rPr>
              <w:t>湖北</w:t>
            </w:r>
            <w:r>
              <w:rPr>
                <w:rFonts w:hint="eastAsia" w:ascii="Arial" w:hAnsi="Arial" w:cs="Arial"/>
                <w:sz w:val="20"/>
                <w:szCs w:val="20"/>
                <w:lang w:eastAsia="zh-CN"/>
              </w:rPr>
              <w:t>省委政法委</w:t>
            </w:r>
          </w:p>
        </w:tc>
        <w:tc>
          <w:tcPr>
            <w:tcW w:w="1175" w:type="pct"/>
            <w:shd w:val="clear" w:color="auto" w:fill="auto"/>
          </w:tcPr>
          <w:p w14:paraId="5423B64D">
            <w:pPr>
              <w:snapToGrid w:val="0"/>
              <w:rPr>
                <w:rFonts w:ascii="Arial" w:hAnsi="Arial" w:cs="Arial"/>
                <w:sz w:val="20"/>
                <w:szCs w:val="20"/>
              </w:rPr>
            </w:pPr>
            <w:r>
              <w:rPr>
                <w:rFonts w:ascii="Arial" w:hAnsi="Arial" w:cs="Arial"/>
                <w:sz w:val="20"/>
                <w:szCs w:val="20"/>
              </w:rPr>
              <w:t>结合反馈意见，国家及地方对社会稳定风险评估的识别、跟踪、监测以及公众参与已有相关规定，因此，已删除本条行动建议</w:t>
            </w:r>
          </w:p>
        </w:tc>
      </w:tr>
    </w:tbl>
    <w:p w14:paraId="4C4C75C4">
      <w:pPr>
        <w:rPr>
          <w:rFonts w:ascii="Arial" w:hAnsi="Arial" w:cs="Arial"/>
        </w:rPr>
      </w:pPr>
      <w:bookmarkStart w:id="767" w:name="_Toc106310921"/>
      <w:bookmarkStart w:id="768" w:name="_Toc112364809"/>
    </w:p>
    <w:p w14:paraId="2C4EAE5B">
      <w:pPr>
        <w:rPr>
          <w:rFonts w:ascii="Arial" w:hAnsi="Arial" w:cs="Arial"/>
          <w:b/>
          <w:bCs/>
          <w:color w:val="000000" w:themeColor="text1"/>
          <w:kern w:val="44"/>
          <w:sz w:val="28"/>
          <w:szCs w:val="28"/>
          <w14:textFill>
            <w14:solidFill>
              <w14:schemeClr w14:val="tx1"/>
            </w14:solidFill>
          </w14:textFill>
        </w:rPr>
      </w:pPr>
      <w:r>
        <w:rPr>
          <w:rFonts w:ascii="Arial" w:hAnsi="Arial" w:cs="Arial"/>
          <w:color w:val="000000" w:themeColor="text1"/>
          <w:sz w:val="28"/>
          <w:szCs w:val="28"/>
          <w14:textFill>
            <w14:solidFill>
              <w14:schemeClr w14:val="tx1"/>
            </w14:solidFill>
          </w14:textFill>
        </w:rPr>
        <w:br w:type="page"/>
      </w:r>
    </w:p>
    <w:p w14:paraId="61839DD7">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69" w:name="_Toc119937337"/>
      <w:r>
        <w:rPr>
          <w:rFonts w:ascii="Arial" w:hAnsi="Arial" w:cs="Arial"/>
          <w:color w:val="000000" w:themeColor="text1"/>
          <w:sz w:val="28"/>
          <w:szCs w:val="28"/>
          <w14:textFill>
            <w14:solidFill>
              <w14:schemeClr w14:val="tx1"/>
            </w14:solidFill>
          </w14:textFill>
        </w:rPr>
        <w:t>附件7：现场考察</w:t>
      </w:r>
      <w:bookmarkEnd w:id="766"/>
      <w:bookmarkEnd w:id="767"/>
      <w:bookmarkEnd w:id="768"/>
      <w:r>
        <w:rPr>
          <w:rFonts w:ascii="Arial" w:hAnsi="Arial" w:cs="Arial"/>
          <w:color w:val="000000" w:themeColor="text1"/>
          <w:sz w:val="28"/>
          <w:szCs w:val="28"/>
          <w14:textFill>
            <w14:solidFill>
              <w14:schemeClr w14:val="tx1"/>
            </w14:solidFill>
          </w14:textFill>
        </w:rPr>
        <w:t>照片</w:t>
      </w:r>
      <w:bookmarkEnd w:id="769"/>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1994"/>
        <w:gridCol w:w="2140"/>
        <w:gridCol w:w="2282"/>
        <w:gridCol w:w="2001"/>
        <w:gridCol w:w="1277"/>
      </w:tblGrid>
      <w:tr w14:paraId="52C17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028" w:type="pct"/>
          </w:tcPr>
          <w:p w14:paraId="114B3792">
            <w:pPr>
              <w:jc w:val="center"/>
              <w:rPr>
                <w:rFonts w:ascii="Arial" w:hAnsi="Arial" w:cs="Arial"/>
                <w:highlight w:val="cyan"/>
                <w:lang w:val="en-GB"/>
              </w:rPr>
            </w:pPr>
            <w:r>
              <w:rPr>
                <w:rFonts w:ascii="Arial" w:hAnsi="Arial" w:cs="Arial"/>
                <w:lang w:val="en-GB"/>
              </w:rPr>
              <w:drawing>
                <wp:inline distT="0" distB="0" distL="0" distR="0">
                  <wp:extent cx="1343660" cy="100774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 cstate="screen"/>
                          <a:stretch>
                            <a:fillRect/>
                          </a:stretch>
                        </pic:blipFill>
                        <pic:spPr>
                          <a:xfrm>
                            <a:off x="0" y="0"/>
                            <a:ext cx="1344183" cy="1008000"/>
                          </a:xfrm>
                          <a:prstGeom prst="rect">
                            <a:avLst/>
                          </a:prstGeom>
                        </pic:spPr>
                      </pic:pic>
                    </a:graphicData>
                  </a:graphic>
                </wp:inline>
              </w:drawing>
            </w:r>
          </w:p>
        </w:tc>
        <w:tc>
          <w:tcPr>
            <w:tcW w:w="1104" w:type="pct"/>
          </w:tcPr>
          <w:p w14:paraId="0D9F9630">
            <w:pPr>
              <w:jc w:val="center"/>
              <w:rPr>
                <w:rFonts w:ascii="Arial" w:hAnsi="Arial" w:cs="Arial"/>
                <w:highlight w:val="cyan"/>
                <w:lang w:val="en-GB"/>
              </w:rPr>
            </w:pPr>
            <w:r>
              <w:rPr>
                <w:rFonts w:ascii="Arial" w:hAnsi="Arial" w:cs="Arial"/>
                <w:lang w:val="en-GB"/>
              </w:rPr>
              <w:drawing>
                <wp:inline distT="0" distB="0" distL="0" distR="0">
                  <wp:extent cx="1343660" cy="1007745"/>
                  <wp:effectExtent l="0" t="0" r="2540" b="0"/>
                  <wp:docPr id="22" name="图片 22" descr="栏杆后面有水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栏杆后面有水面&#10;&#10;描述已自动生成"/>
                          <pic:cNvPicPr>
                            <a:picLocks noChangeAspect="1"/>
                          </pic:cNvPicPr>
                        </pic:nvPicPr>
                        <pic:blipFill>
                          <a:blip r:embed="rId12" cstate="screen"/>
                          <a:stretch>
                            <a:fillRect/>
                          </a:stretch>
                        </pic:blipFill>
                        <pic:spPr>
                          <a:xfrm>
                            <a:off x="0" y="0"/>
                            <a:ext cx="1343795" cy="1008000"/>
                          </a:xfrm>
                          <a:prstGeom prst="rect">
                            <a:avLst/>
                          </a:prstGeom>
                        </pic:spPr>
                      </pic:pic>
                    </a:graphicData>
                  </a:graphic>
                </wp:inline>
              </w:drawing>
            </w:r>
          </w:p>
        </w:tc>
        <w:tc>
          <w:tcPr>
            <w:tcW w:w="1177" w:type="pct"/>
          </w:tcPr>
          <w:p w14:paraId="3E51611E">
            <w:pPr>
              <w:ind w:left="-106"/>
              <w:jc w:val="center"/>
              <w:rPr>
                <w:rFonts w:ascii="Arial" w:hAnsi="Arial" w:cs="Arial"/>
                <w:lang w:val="en-GB"/>
              </w:rPr>
            </w:pPr>
            <w:r>
              <w:rPr>
                <w:rFonts w:ascii="Arial" w:hAnsi="Arial" w:cs="Arial"/>
                <w:lang w:val="en-GB"/>
              </w:rPr>
              <w:drawing>
                <wp:inline distT="0" distB="0" distL="0" distR="0">
                  <wp:extent cx="1315720" cy="986790"/>
                  <wp:effectExtent l="0" t="0" r="508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cstate="screen"/>
                          <a:stretch>
                            <a:fillRect/>
                          </a:stretch>
                        </pic:blipFill>
                        <pic:spPr>
                          <a:xfrm>
                            <a:off x="0" y="0"/>
                            <a:ext cx="1315720" cy="986790"/>
                          </a:xfrm>
                          <a:prstGeom prst="rect">
                            <a:avLst/>
                          </a:prstGeom>
                        </pic:spPr>
                      </pic:pic>
                    </a:graphicData>
                  </a:graphic>
                </wp:inline>
              </w:drawing>
            </w:r>
          </w:p>
        </w:tc>
        <w:tc>
          <w:tcPr>
            <w:tcW w:w="1032" w:type="pct"/>
          </w:tcPr>
          <w:p w14:paraId="53077FC8">
            <w:pPr>
              <w:ind w:left="-106"/>
              <w:jc w:val="center"/>
              <w:rPr>
                <w:rFonts w:ascii="Arial" w:hAnsi="Arial" w:cs="Arial"/>
                <w:highlight w:val="cyan"/>
                <w:lang w:val="en-GB"/>
              </w:rPr>
            </w:pPr>
            <w:r>
              <w:rPr>
                <w:rFonts w:ascii="Arial" w:hAnsi="Arial" w:cs="Arial"/>
                <w:lang w:val="en-GB"/>
              </w:rPr>
              <w:drawing>
                <wp:inline distT="0" distB="0" distL="0" distR="0">
                  <wp:extent cx="1344295" cy="1007745"/>
                  <wp:effectExtent l="0" t="0" r="1905" b="0"/>
                  <wp:docPr id="48" name="图片 48" descr="笼子旁边的围栏&#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笼子旁边的围栏&#10;&#10;低可信度描述已自动生成"/>
                          <pic:cNvPicPr>
                            <a:picLocks noChangeAspect="1"/>
                          </pic:cNvPicPr>
                        </pic:nvPicPr>
                        <pic:blipFill>
                          <a:blip r:embed="rId14" cstate="screen"/>
                          <a:stretch>
                            <a:fillRect/>
                          </a:stretch>
                        </pic:blipFill>
                        <pic:spPr>
                          <a:xfrm>
                            <a:off x="0" y="0"/>
                            <a:ext cx="1344408" cy="1008000"/>
                          </a:xfrm>
                          <a:prstGeom prst="rect">
                            <a:avLst/>
                          </a:prstGeom>
                        </pic:spPr>
                      </pic:pic>
                    </a:graphicData>
                  </a:graphic>
                </wp:inline>
              </w:drawing>
            </w:r>
          </w:p>
        </w:tc>
        <w:tc>
          <w:tcPr>
            <w:tcW w:w="659" w:type="pct"/>
          </w:tcPr>
          <w:p w14:paraId="61BE0B39">
            <w:pPr>
              <w:jc w:val="center"/>
              <w:rPr>
                <w:rFonts w:ascii="Arial" w:hAnsi="Arial" w:cs="Arial"/>
                <w:highlight w:val="cyan"/>
                <w:lang w:val="en-GB"/>
              </w:rPr>
            </w:pPr>
            <w:r>
              <w:rPr>
                <w:rFonts w:ascii="Arial" w:hAnsi="Arial" w:cs="Arial"/>
                <w:lang w:val="en-GB"/>
              </w:rPr>
              <w:drawing>
                <wp:inline distT="0" distB="0" distL="0" distR="0">
                  <wp:extent cx="1007745" cy="755650"/>
                  <wp:effectExtent l="0" t="952"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cstate="screen"/>
                          <a:stretch>
                            <a:fillRect/>
                          </a:stretch>
                        </pic:blipFill>
                        <pic:spPr>
                          <a:xfrm rot="5400000">
                            <a:off x="0" y="0"/>
                            <a:ext cx="1008000" cy="756229"/>
                          </a:xfrm>
                          <a:prstGeom prst="rect">
                            <a:avLst/>
                          </a:prstGeom>
                        </pic:spPr>
                      </pic:pic>
                    </a:graphicData>
                  </a:graphic>
                </wp:inline>
              </w:drawing>
            </w:r>
          </w:p>
        </w:tc>
      </w:tr>
      <w:tr w14:paraId="79AB4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2132" w:type="pct"/>
            <w:gridSpan w:val="2"/>
          </w:tcPr>
          <w:p w14:paraId="62BE04E1">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w:t>
            </w:r>
            <w:r>
              <w:rPr>
                <w:rFonts w:ascii="Arial" w:hAnsi="Arial" w:cs="Arial"/>
                <w:sz w:val="18"/>
                <w:szCs w:val="18"/>
                <w:lang w:val="en-GB"/>
              </w:rPr>
              <w:fldChar w:fldCharType="end"/>
            </w:r>
            <w:r>
              <w:rPr>
                <w:rFonts w:ascii="Arial" w:hAnsi="Arial" w:cs="Arial"/>
                <w:sz w:val="18"/>
                <w:szCs w:val="18"/>
                <w:lang w:val="en-GB"/>
              </w:rPr>
              <w:t>湖南•衡南•规模化养猪场粪污处理设施</w:t>
            </w:r>
          </w:p>
        </w:tc>
        <w:tc>
          <w:tcPr>
            <w:tcW w:w="1177" w:type="pct"/>
          </w:tcPr>
          <w:p w14:paraId="2ECE19E2">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2</w:t>
            </w:r>
            <w:r>
              <w:rPr>
                <w:rFonts w:ascii="Arial" w:hAnsi="Arial" w:cs="Arial"/>
                <w:sz w:val="18"/>
                <w:szCs w:val="18"/>
                <w:lang w:val="en-GB"/>
              </w:rPr>
              <w:fldChar w:fldCharType="end"/>
            </w:r>
            <w:r>
              <w:rPr>
                <w:rFonts w:ascii="Arial" w:hAnsi="Arial" w:cs="Arial"/>
                <w:sz w:val="18"/>
                <w:szCs w:val="18"/>
                <w:lang w:val="en-GB"/>
              </w:rPr>
              <w:t>湖南•慈利•养鸡场堆肥设施</w:t>
            </w:r>
          </w:p>
        </w:tc>
        <w:tc>
          <w:tcPr>
            <w:tcW w:w="1691" w:type="pct"/>
            <w:gridSpan w:val="2"/>
          </w:tcPr>
          <w:p w14:paraId="33C3CD64">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3</w:t>
            </w:r>
            <w:r>
              <w:rPr>
                <w:rFonts w:ascii="Arial" w:hAnsi="Arial" w:cs="Arial"/>
                <w:sz w:val="18"/>
                <w:szCs w:val="18"/>
                <w:lang w:val="en-GB"/>
              </w:rPr>
              <w:fldChar w:fldCharType="end"/>
            </w:r>
            <w:r>
              <w:rPr>
                <w:rFonts w:ascii="Arial" w:hAnsi="Arial" w:cs="Arial"/>
                <w:sz w:val="18"/>
                <w:szCs w:val="18"/>
                <w:lang w:val="en-GB"/>
              </w:rPr>
              <w:t>湖南•慈利•小型养牛场</w:t>
            </w:r>
          </w:p>
        </w:tc>
      </w:tr>
    </w:tbl>
    <w:p w14:paraId="3B53DE71">
      <w:pPr>
        <w:pStyle w:val="11"/>
        <w:rPr>
          <w:rFonts w:ascii="Arial" w:hAnsi="Arial" w:eastAsia="宋体" w:cs="Arial"/>
          <w:b/>
          <w:bCs/>
          <w:highlight w:val="cyan"/>
        </w:rPr>
      </w:pP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70"/>
        <w:gridCol w:w="2312"/>
        <w:gridCol w:w="2465"/>
        <w:gridCol w:w="2607"/>
      </w:tblGrid>
      <w:tr w14:paraId="5FBD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3" w:type="pct"/>
          </w:tcPr>
          <w:p w14:paraId="1B89659A">
            <w:pPr>
              <w:jc w:val="center"/>
              <w:rPr>
                <w:rFonts w:ascii="Arial" w:hAnsi="Arial" w:cs="Arial"/>
                <w:highlight w:val="cyan"/>
                <w:lang w:val="en-GB"/>
              </w:rPr>
            </w:pPr>
            <w:r>
              <w:rPr>
                <w:rFonts w:ascii="Arial" w:hAnsi="Arial" w:cs="Arial"/>
                <w:lang w:val="en-GB"/>
              </w:rPr>
              <w:drawing>
                <wp:inline distT="0" distB="0" distL="0" distR="0">
                  <wp:extent cx="1392555" cy="1044575"/>
                  <wp:effectExtent l="0" t="0" r="4445" b="0"/>
                  <wp:docPr id="45" name="图片 45" descr="河边的草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河边的草地&#10;&#10;描述已自动生成"/>
                          <pic:cNvPicPr>
                            <a:picLocks noChangeAspect="1"/>
                          </pic:cNvPicPr>
                        </pic:nvPicPr>
                        <pic:blipFill>
                          <a:blip r:embed="rId16" cstate="screen"/>
                          <a:stretch>
                            <a:fillRect/>
                          </a:stretch>
                        </pic:blipFill>
                        <pic:spPr>
                          <a:xfrm>
                            <a:off x="0" y="0"/>
                            <a:ext cx="1392555" cy="1044575"/>
                          </a:xfrm>
                          <a:prstGeom prst="rect">
                            <a:avLst/>
                          </a:prstGeom>
                        </pic:spPr>
                      </pic:pic>
                    </a:graphicData>
                  </a:graphic>
                </wp:inline>
              </w:drawing>
            </w:r>
          </w:p>
        </w:tc>
        <w:tc>
          <w:tcPr>
            <w:tcW w:w="1173" w:type="pct"/>
          </w:tcPr>
          <w:p w14:paraId="010B828A">
            <w:pPr>
              <w:ind w:left="-106"/>
              <w:jc w:val="center"/>
              <w:rPr>
                <w:rFonts w:ascii="Arial" w:hAnsi="Arial" w:cs="Arial"/>
                <w:highlight w:val="cyan"/>
                <w:lang w:val="en-GB"/>
              </w:rPr>
            </w:pPr>
            <w:r>
              <w:rPr>
                <w:rFonts w:ascii="Arial" w:hAnsi="Arial" w:cs="Arial"/>
                <w:lang w:val="en-GB"/>
              </w:rPr>
              <w:drawing>
                <wp:inline distT="0" distB="0" distL="0" distR="0">
                  <wp:extent cx="1448435" cy="10299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cstate="screen"/>
                          <a:srcRect/>
                          <a:stretch>
                            <a:fillRect/>
                          </a:stretch>
                        </pic:blipFill>
                        <pic:spPr>
                          <a:xfrm>
                            <a:off x="0" y="0"/>
                            <a:ext cx="1462797" cy="1039989"/>
                          </a:xfrm>
                          <a:prstGeom prst="rect">
                            <a:avLst/>
                          </a:prstGeom>
                          <a:ln>
                            <a:noFill/>
                          </a:ln>
                        </pic:spPr>
                      </pic:pic>
                    </a:graphicData>
                  </a:graphic>
                </wp:inline>
              </w:drawing>
            </w:r>
          </w:p>
        </w:tc>
        <w:tc>
          <w:tcPr>
            <w:tcW w:w="1250" w:type="pct"/>
          </w:tcPr>
          <w:p w14:paraId="319BA773">
            <w:pPr>
              <w:jc w:val="center"/>
              <w:rPr>
                <w:rFonts w:ascii="Arial" w:hAnsi="Arial" w:cs="Arial"/>
                <w:highlight w:val="cyan"/>
                <w:lang w:val="en-GB"/>
              </w:rPr>
            </w:pPr>
            <w:r>
              <w:rPr>
                <w:rFonts w:ascii="Arial" w:hAnsi="Arial" w:cs="Arial"/>
                <w:lang w:val="en-GB"/>
              </w:rPr>
              <w:drawing>
                <wp:inline distT="0" distB="0" distL="0" distR="0">
                  <wp:extent cx="1393190" cy="1045210"/>
                  <wp:effectExtent l="0" t="0" r="3810" b="0"/>
                  <wp:docPr id="40" name="图片 40" descr="河边的草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河边的草地上&#10;&#10;描述已自动生成"/>
                          <pic:cNvPicPr>
                            <a:picLocks noChangeAspect="1"/>
                          </pic:cNvPicPr>
                        </pic:nvPicPr>
                        <pic:blipFill>
                          <a:blip r:embed="rId18" cstate="screen"/>
                          <a:stretch>
                            <a:fillRect/>
                          </a:stretch>
                        </pic:blipFill>
                        <pic:spPr>
                          <a:xfrm>
                            <a:off x="0" y="0"/>
                            <a:ext cx="1393190" cy="1045210"/>
                          </a:xfrm>
                          <a:prstGeom prst="rect">
                            <a:avLst/>
                          </a:prstGeom>
                        </pic:spPr>
                      </pic:pic>
                    </a:graphicData>
                  </a:graphic>
                </wp:inline>
              </w:drawing>
            </w:r>
          </w:p>
        </w:tc>
        <w:tc>
          <w:tcPr>
            <w:tcW w:w="1323" w:type="pct"/>
          </w:tcPr>
          <w:p w14:paraId="3B73ACE9">
            <w:pPr>
              <w:jc w:val="center"/>
              <w:rPr>
                <w:rFonts w:ascii="Arial" w:hAnsi="Arial" w:cs="Arial"/>
                <w:lang w:val="en-GB"/>
              </w:rPr>
            </w:pPr>
            <w:r>
              <w:rPr>
                <w:rFonts w:ascii="Arial" w:hAnsi="Arial" w:cs="Arial"/>
                <w:lang w:val="en-GB"/>
              </w:rPr>
              <w:drawing>
                <wp:inline distT="0" distB="0" distL="0" distR="0">
                  <wp:extent cx="1372870" cy="1029970"/>
                  <wp:effectExtent l="0" t="0" r="0" b="0"/>
                  <wp:docPr id="46" name="图片 46" descr="湖边有草地和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湖边有草地和树&#10;&#10;描述已自动生成"/>
                          <pic:cNvPicPr>
                            <a:picLocks noChangeAspect="1"/>
                          </pic:cNvPicPr>
                        </pic:nvPicPr>
                        <pic:blipFill>
                          <a:blip r:embed="rId19" cstate="screen"/>
                          <a:stretch>
                            <a:fillRect/>
                          </a:stretch>
                        </pic:blipFill>
                        <pic:spPr>
                          <a:xfrm>
                            <a:off x="0" y="0"/>
                            <a:ext cx="1377616" cy="1033212"/>
                          </a:xfrm>
                          <a:prstGeom prst="rect">
                            <a:avLst/>
                          </a:prstGeom>
                        </pic:spPr>
                      </pic:pic>
                    </a:graphicData>
                  </a:graphic>
                </wp:inline>
              </w:drawing>
            </w:r>
          </w:p>
        </w:tc>
      </w:tr>
      <w:tr w14:paraId="4C68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3" w:type="pct"/>
          </w:tcPr>
          <w:p w14:paraId="7C2FE1DE">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4</w:t>
            </w:r>
            <w:r>
              <w:rPr>
                <w:rFonts w:ascii="Arial" w:hAnsi="Arial" w:cs="Arial"/>
                <w:sz w:val="18"/>
                <w:szCs w:val="18"/>
                <w:lang w:val="en-GB"/>
              </w:rPr>
              <w:fldChar w:fldCharType="end"/>
            </w:r>
            <w:r>
              <w:rPr>
                <w:rFonts w:ascii="Arial" w:hAnsi="Arial" w:cs="Arial"/>
                <w:sz w:val="18"/>
                <w:szCs w:val="18"/>
                <w:lang w:val="en-GB"/>
              </w:rPr>
              <w:t>湖北•仙桃•水产养殖</w:t>
            </w:r>
          </w:p>
        </w:tc>
        <w:tc>
          <w:tcPr>
            <w:tcW w:w="2424" w:type="pct"/>
            <w:gridSpan w:val="2"/>
          </w:tcPr>
          <w:p w14:paraId="53F8F782">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5</w:t>
            </w:r>
            <w:r>
              <w:rPr>
                <w:rFonts w:ascii="Arial" w:hAnsi="Arial" w:cs="Arial"/>
                <w:sz w:val="18"/>
                <w:szCs w:val="18"/>
                <w:lang w:val="en-GB"/>
              </w:rPr>
              <w:fldChar w:fldCharType="end"/>
            </w:r>
            <w:r>
              <w:rPr>
                <w:rFonts w:ascii="Arial" w:hAnsi="Arial" w:cs="Arial"/>
                <w:sz w:val="18"/>
                <w:szCs w:val="18"/>
                <w:lang w:val="en-GB"/>
              </w:rPr>
              <w:t>湖北•洪湖•水产养殖</w:t>
            </w:r>
          </w:p>
        </w:tc>
        <w:tc>
          <w:tcPr>
            <w:tcW w:w="1323" w:type="pct"/>
          </w:tcPr>
          <w:p w14:paraId="113C2BCB">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6</w:t>
            </w:r>
            <w:r>
              <w:rPr>
                <w:rFonts w:ascii="Arial" w:hAnsi="Arial" w:cs="Arial"/>
                <w:sz w:val="18"/>
                <w:szCs w:val="18"/>
                <w:lang w:val="en-GB"/>
              </w:rPr>
              <w:fldChar w:fldCharType="end"/>
            </w:r>
            <w:r>
              <w:rPr>
                <w:rFonts w:ascii="Arial" w:hAnsi="Arial" w:cs="Arial"/>
                <w:sz w:val="18"/>
                <w:szCs w:val="18"/>
                <w:lang w:val="en-GB"/>
              </w:rPr>
              <w:t>湖北•洪湖•水产养殖尾水治理</w:t>
            </w:r>
          </w:p>
        </w:tc>
      </w:tr>
    </w:tbl>
    <w:p w14:paraId="694DC2C4">
      <w:pPr>
        <w:pStyle w:val="11"/>
        <w:rPr>
          <w:rFonts w:ascii="Arial" w:hAnsi="Arial" w:eastAsia="宋体" w:cs="Arial"/>
          <w:b/>
          <w:bCs/>
          <w:highlight w:val="cyan"/>
        </w:rPr>
      </w:pPr>
    </w:p>
    <w:tbl>
      <w:tblPr>
        <w:tblStyle w:val="40"/>
        <w:tblW w:w="5000" w:type="pct"/>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278"/>
        <w:gridCol w:w="1427"/>
        <w:gridCol w:w="2400"/>
        <w:gridCol w:w="1256"/>
        <w:gridCol w:w="2332"/>
      </w:tblGrid>
      <w:tr w14:paraId="4D8C5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right"/>
        </w:trPr>
        <w:tc>
          <w:tcPr>
            <w:tcW w:w="1175" w:type="pct"/>
          </w:tcPr>
          <w:p w14:paraId="6735BEF4">
            <w:pPr>
              <w:rPr>
                <w:rFonts w:ascii="Arial" w:hAnsi="Arial" w:cs="Arial"/>
                <w:highlight w:val="cyan"/>
                <w:lang w:val="en-GB"/>
              </w:rPr>
            </w:pPr>
            <w:r>
              <w:rPr>
                <w:rFonts w:ascii="Arial" w:hAnsi="Arial" w:cs="Arial"/>
                <w:lang w:val="en-GB"/>
              </w:rPr>
              <w:drawing>
                <wp:inline distT="0" distB="0" distL="0" distR="0">
                  <wp:extent cx="1494155" cy="1120775"/>
                  <wp:effectExtent l="0" t="0" r="444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cstate="screen"/>
                          <a:stretch>
                            <a:fillRect/>
                          </a:stretch>
                        </pic:blipFill>
                        <pic:spPr>
                          <a:xfrm>
                            <a:off x="0" y="0"/>
                            <a:ext cx="1494155" cy="1120775"/>
                          </a:xfrm>
                          <a:prstGeom prst="rect">
                            <a:avLst/>
                          </a:prstGeom>
                        </pic:spPr>
                      </pic:pic>
                    </a:graphicData>
                  </a:graphic>
                </wp:inline>
              </w:drawing>
            </w:r>
          </w:p>
        </w:tc>
        <w:tc>
          <w:tcPr>
            <w:tcW w:w="736" w:type="pct"/>
          </w:tcPr>
          <w:p w14:paraId="13EB8A1C">
            <w:pPr>
              <w:rPr>
                <w:rFonts w:ascii="Arial" w:hAnsi="Arial" w:cs="Arial"/>
                <w:lang w:val="en-GB"/>
              </w:rPr>
            </w:pPr>
            <w:r>
              <w:rPr>
                <w:rFonts w:ascii="Arial" w:hAnsi="Arial" w:cs="Arial"/>
                <w:lang w:val="en-GB"/>
              </w:rPr>
              <w:drawing>
                <wp:inline distT="0" distB="0" distL="0" distR="0">
                  <wp:extent cx="955040" cy="1120775"/>
                  <wp:effectExtent l="0" t="0" r="0" b="0"/>
                  <wp:docPr id="42" name="图片 42" descr="房间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房间的摆设布局&#10;&#10;中度可信度描述已自动生成"/>
                          <pic:cNvPicPr>
                            <a:picLocks noChangeAspect="1"/>
                          </pic:cNvPicPr>
                        </pic:nvPicPr>
                        <pic:blipFill>
                          <a:blip r:embed="rId21" cstate="screen"/>
                          <a:srcRect/>
                          <a:stretch>
                            <a:fillRect/>
                          </a:stretch>
                        </pic:blipFill>
                        <pic:spPr>
                          <a:xfrm>
                            <a:off x="0" y="0"/>
                            <a:ext cx="955675" cy="1120962"/>
                          </a:xfrm>
                          <a:prstGeom prst="rect">
                            <a:avLst/>
                          </a:prstGeom>
                          <a:ln>
                            <a:noFill/>
                          </a:ln>
                        </pic:spPr>
                      </pic:pic>
                    </a:graphicData>
                  </a:graphic>
                </wp:inline>
              </w:drawing>
            </w:r>
          </w:p>
        </w:tc>
        <w:tc>
          <w:tcPr>
            <w:tcW w:w="1238" w:type="pct"/>
          </w:tcPr>
          <w:p w14:paraId="4E1E0420">
            <w:pPr>
              <w:rPr>
                <w:rFonts w:ascii="Arial" w:hAnsi="Arial" w:cs="Arial"/>
                <w:highlight w:val="cyan"/>
                <w:lang w:val="en-GB"/>
              </w:rPr>
            </w:pPr>
            <w:r>
              <w:rPr>
                <w:rFonts w:ascii="Arial" w:hAnsi="Arial" w:cs="Arial"/>
                <w:lang w:val="en-GB"/>
              </w:rPr>
              <w:drawing>
                <wp:inline distT="0" distB="0" distL="0" distR="0">
                  <wp:extent cx="1466850" cy="1100455"/>
                  <wp:effectExtent l="0" t="0" r="0" b="4445"/>
                  <wp:docPr id="44" name="图片 44" descr="图片包含 地板, 室内, 天花板,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包含 地板, 室内, 天花板, 男人&#10;&#10;描述已自动生成"/>
                          <pic:cNvPicPr>
                            <a:picLocks noChangeAspect="1"/>
                          </pic:cNvPicPr>
                        </pic:nvPicPr>
                        <pic:blipFill>
                          <a:blip r:embed="rId22" cstate="screen"/>
                          <a:stretch>
                            <a:fillRect/>
                          </a:stretch>
                        </pic:blipFill>
                        <pic:spPr>
                          <a:xfrm>
                            <a:off x="0" y="0"/>
                            <a:ext cx="1474175" cy="1106005"/>
                          </a:xfrm>
                          <a:prstGeom prst="rect">
                            <a:avLst/>
                          </a:prstGeom>
                        </pic:spPr>
                      </pic:pic>
                    </a:graphicData>
                  </a:graphic>
                </wp:inline>
              </w:drawing>
            </w:r>
          </w:p>
        </w:tc>
        <w:tc>
          <w:tcPr>
            <w:tcW w:w="648" w:type="pct"/>
          </w:tcPr>
          <w:p w14:paraId="7091230D">
            <w:pPr>
              <w:rPr>
                <w:rFonts w:ascii="Arial" w:hAnsi="Arial" w:cs="Arial"/>
                <w:highlight w:val="cyan"/>
                <w:lang w:val="en-GB"/>
              </w:rPr>
            </w:pPr>
            <w:r>
              <w:rPr>
                <w:rFonts w:ascii="Arial" w:hAnsi="Arial" w:cs="Arial"/>
                <w:lang w:val="en-GB"/>
              </w:rPr>
              <w:drawing>
                <wp:inline distT="0" distB="0" distL="0" distR="0">
                  <wp:extent cx="865505" cy="10833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cstate="screen"/>
                          <a:srcRect/>
                          <a:stretch>
                            <a:fillRect/>
                          </a:stretch>
                        </pic:blipFill>
                        <pic:spPr>
                          <a:xfrm>
                            <a:off x="0" y="0"/>
                            <a:ext cx="865505" cy="1083457"/>
                          </a:xfrm>
                          <a:prstGeom prst="rect">
                            <a:avLst/>
                          </a:prstGeom>
                          <a:ln>
                            <a:noFill/>
                          </a:ln>
                        </pic:spPr>
                      </pic:pic>
                    </a:graphicData>
                  </a:graphic>
                </wp:inline>
              </w:drawing>
            </w:r>
          </w:p>
        </w:tc>
        <w:tc>
          <w:tcPr>
            <w:tcW w:w="1203" w:type="pct"/>
          </w:tcPr>
          <w:p w14:paraId="0AFAAB5A">
            <w:pPr>
              <w:rPr>
                <w:rFonts w:ascii="Arial" w:hAnsi="Arial" w:cs="Arial"/>
                <w:highlight w:val="cyan"/>
                <w:lang w:val="en-GB"/>
              </w:rPr>
            </w:pPr>
            <w:r>
              <w:rPr>
                <w:rFonts w:ascii="Arial" w:hAnsi="Arial" w:cs="Arial"/>
                <w:lang w:val="en-GB"/>
              </w:rPr>
              <w:drawing>
                <wp:inline distT="0" distB="0" distL="0" distR="0">
                  <wp:extent cx="1487805" cy="1115695"/>
                  <wp:effectExtent l="0" t="0" r="0" b="1905"/>
                  <wp:docPr id="5" name="图片 5" descr="房间里有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房间里有门&#10;&#10;中度可信度描述已自动生成"/>
                          <pic:cNvPicPr>
                            <a:picLocks noChangeAspect="1"/>
                          </pic:cNvPicPr>
                        </pic:nvPicPr>
                        <pic:blipFill>
                          <a:blip r:embed="rId24" cstate="screen"/>
                          <a:stretch>
                            <a:fillRect/>
                          </a:stretch>
                        </pic:blipFill>
                        <pic:spPr>
                          <a:xfrm>
                            <a:off x="0" y="0"/>
                            <a:ext cx="1510175" cy="1132354"/>
                          </a:xfrm>
                          <a:prstGeom prst="rect">
                            <a:avLst/>
                          </a:prstGeom>
                        </pic:spPr>
                      </pic:pic>
                    </a:graphicData>
                  </a:graphic>
                </wp:inline>
              </w:drawing>
            </w:r>
          </w:p>
        </w:tc>
      </w:tr>
      <w:tr w14:paraId="6200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right"/>
        </w:trPr>
        <w:tc>
          <w:tcPr>
            <w:tcW w:w="3149" w:type="pct"/>
            <w:gridSpan w:val="3"/>
          </w:tcPr>
          <w:p w14:paraId="1C2A8C9F">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7</w:t>
            </w:r>
            <w:r>
              <w:rPr>
                <w:rFonts w:ascii="Arial" w:hAnsi="Arial" w:cs="Arial"/>
                <w:sz w:val="18"/>
                <w:szCs w:val="18"/>
                <w:lang w:val="en-GB"/>
              </w:rPr>
              <w:fldChar w:fldCharType="end"/>
            </w:r>
            <w:r>
              <w:rPr>
                <w:rFonts w:ascii="Arial" w:hAnsi="Arial" w:cs="Arial"/>
                <w:sz w:val="18"/>
                <w:szCs w:val="18"/>
                <w:lang w:val="en-GB"/>
              </w:rPr>
              <w:t>湖北•仙桃•乡镇垃圾中转站</w:t>
            </w:r>
          </w:p>
        </w:tc>
        <w:tc>
          <w:tcPr>
            <w:tcW w:w="1851" w:type="pct"/>
            <w:gridSpan w:val="2"/>
          </w:tcPr>
          <w:p w14:paraId="27617CDD">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8</w:t>
            </w:r>
            <w:r>
              <w:rPr>
                <w:rFonts w:ascii="Arial" w:hAnsi="Arial" w:cs="Arial"/>
                <w:sz w:val="18"/>
                <w:szCs w:val="18"/>
                <w:lang w:val="en-GB"/>
              </w:rPr>
              <w:fldChar w:fldCharType="end"/>
            </w:r>
            <w:r>
              <w:rPr>
                <w:rFonts w:ascii="Arial" w:hAnsi="Arial" w:cs="Arial"/>
                <w:sz w:val="18"/>
                <w:szCs w:val="18"/>
                <w:lang w:val="en-GB"/>
              </w:rPr>
              <w:t>湖南•慈利•高桥镇垃圾中转站</w:t>
            </w:r>
          </w:p>
        </w:tc>
      </w:tr>
    </w:tbl>
    <w:p w14:paraId="3523F760">
      <w:pPr>
        <w:pStyle w:val="11"/>
        <w:rPr>
          <w:rFonts w:ascii="Arial" w:hAnsi="Arial" w:eastAsia="宋体" w:cs="Arial"/>
          <w:sz w:val="18"/>
          <w:szCs w:val="18"/>
          <w:highlight w:val="cyan"/>
          <w:lang w:val="en-GB"/>
        </w:rPr>
      </w:pP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3"/>
        <w:gridCol w:w="2463"/>
        <w:gridCol w:w="2464"/>
        <w:gridCol w:w="2464"/>
      </w:tblGrid>
      <w:tr w14:paraId="4CFE2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Pr>
          <w:p w14:paraId="3FD5F923">
            <w:pPr>
              <w:jc w:val="center"/>
              <w:rPr>
                <w:rFonts w:ascii="Arial" w:hAnsi="Arial" w:cs="Arial"/>
                <w:highlight w:val="cyan"/>
                <w:lang w:val="en-GB"/>
              </w:rPr>
            </w:pPr>
            <w:r>
              <w:rPr>
                <w:rFonts w:ascii="Arial" w:hAnsi="Arial" w:cs="Arial"/>
                <w:lang w:val="en-GB"/>
              </w:rPr>
              <w:drawing>
                <wp:inline distT="0" distB="0" distL="0" distR="0">
                  <wp:extent cx="1392555" cy="104457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cstate="screen"/>
                          <a:stretch>
                            <a:fillRect/>
                          </a:stretch>
                        </pic:blipFill>
                        <pic:spPr>
                          <a:xfrm>
                            <a:off x="0" y="0"/>
                            <a:ext cx="1392555" cy="1044575"/>
                          </a:xfrm>
                          <a:prstGeom prst="rect">
                            <a:avLst/>
                          </a:prstGeom>
                        </pic:spPr>
                      </pic:pic>
                    </a:graphicData>
                  </a:graphic>
                </wp:inline>
              </w:drawing>
            </w:r>
          </w:p>
        </w:tc>
        <w:tc>
          <w:tcPr>
            <w:tcW w:w="1250" w:type="pct"/>
          </w:tcPr>
          <w:p w14:paraId="0EC396B3">
            <w:pPr>
              <w:jc w:val="center"/>
              <w:rPr>
                <w:rFonts w:ascii="Arial" w:hAnsi="Arial" w:cs="Arial"/>
                <w:highlight w:val="cyan"/>
                <w:lang w:val="en-GB"/>
              </w:rPr>
            </w:pPr>
            <w:r>
              <w:rPr>
                <w:rFonts w:ascii="Arial" w:hAnsi="Arial" w:cs="Arial"/>
                <w:lang w:val="en-GB"/>
              </w:rPr>
              <w:drawing>
                <wp:inline distT="0" distB="0" distL="0" distR="0">
                  <wp:extent cx="1392555" cy="1044575"/>
                  <wp:effectExtent l="0" t="0" r="444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cstate="screen"/>
                          <a:stretch>
                            <a:fillRect/>
                          </a:stretch>
                        </pic:blipFill>
                        <pic:spPr>
                          <a:xfrm>
                            <a:off x="0" y="0"/>
                            <a:ext cx="1392555" cy="1044575"/>
                          </a:xfrm>
                          <a:prstGeom prst="rect">
                            <a:avLst/>
                          </a:prstGeom>
                        </pic:spPr>
                      </pic:pic>
                    </a:graphicData>
                  </a:graphic>
                </wp:inline>
              </w:drawing>
            </w:r>
          </w:p>
        </w:tc>
        <w:tc>
          <w:tcPr>
            <w:tcW w:w="1250" w:type="pct"/>
          </w:tcPr>
          <w:p w14:paraId="0079027C">
            <w:pPr>
              <w:ind w:left="-106"/>
              <w:jc w:val="center"/>
              <w:rPr>
                <w:rFonts w:ascii="Arial" w:hAnsi="Arial" w:cs="Arial"/>
                <w:highlight w:val="cyan"/>
                <w:lang w:val="en-GB"/>
              </w:rPr>
            </w:pPr>
            <w:r>
              <w:rPr>
                <w:rFonts w:ascii="Arial" w:hAnsi="Arial" w:cs="Arial"/>
                <w:lang w:val="en-GB"/>
              </w:rPr>
              <w:drawing>
                <wp:inline distT="0" distB="0" distL="0" distR="0">
                  <wp:extent cx="1393190" cy="1044575"/>
                  <wp:effectExtent l="0" t="0" r="381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cstate="screen"/>
                          <a:stretch>
                            <a:fillRect/>
                          </a:stretch>
                        </pic:blipFill>
                        <pic:spPr>
                          <a:xfrm>
                            <a:off x="0" y="0"/>
                            <a:ext cx="1393190" cy="1044575"/>
                          </a:xfrm>
                          <a:prstGeom prst="rect">
                            <a:avLst/>
                          </a:prstGeom>
                        </pic:spPr>
                      </pic:pic>
                    </a:graphicData>
                  </a:graphic>
                </wp:inline>
              </w:drawing>
            </w:r>
          </w:p>
        </w:tc>
        <w:tc>
          <w:tcPr>
            <w:tcW w:w="1250" w:type="pct"/>
          </w:tcPr>
          <w:p w14:paraId="3D60FE07">
            <w:pPr>
              <w:jc w:val="center"/>
              <w:rPr>
                <w:rFonts w:ascii="Arial" w:hAnsi="Arial" w:cs="Arial"/>
                <w:highlight w:val="cyan"/>
                <w:lang w:val="en-GB"/>
              </w:rPr>
            </w:pPr>
            <w:r>
              <w:rPr>
                <w:rFonts w:ascii="Arial" w:hAnsi="Arial" w:cs="Arial"/>
                <w:lang w:val="en-GB"/>
              </w:rPr>
              <w:drawing>
                <wp:inline distT="0" distB="0" distL="0" distR="0">
                  <wp:extent cx="1393190" cy="1045210"/>
                  <wp:effectExtent l="0" t="0" r="3810" b="0"/>
                  <wp:docPr id="60" name="图片 60" descr="房间里有柜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房间里有柜子&#10;&#10;低可信度描述已自动生成"/>
                          <pic:cNvPicPr>
                            <a:picLocks noChangeAspect="1"/>
                          </pic:cNvPicPr>
                        </pic:nvPicPr>
                        <pic:blipFill>
                          <a:blip r:embed="rId28" cstate="screen"/>
                          <a:stretch>
                            <a:fillRect/>
                          </a:stretch>
                        </pic:blipFill>
                        <pic:spPr>
                          <a:xfrm>
                            <a:off x="0" y="0"/>
                            <a:ext cx="1393190" cy="1045210"/>
                          </a:xfrm>
                          <a:prstGeom prst="rect">
                            <a:avLst/>
                          </a:prstGeom>
                        </pic:spPr>
                      </pic:pic>
                    </a:graphicData>
                  </a:graphic>
                </wp:inline>
              </w:drawing>
            </w:r>
          </w:p>
        </w:tc>
      </w:tr>
      <w:tr w14:paraId="42AE1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gridSpan w:val="2"/>
          </w:tcPr>
          <w:p w14:paraId="4D55B01C">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9</w:t>
            </w:r>
            <w:r>
              <w:rPr>
                <w:rFonts w:ascii="Arial" w:hAnsi="Arial" w:cs="Arial"/>
                <w:sz w:val="18"/>
                <w:szCs w:val="18"/>
                <w:lang w:val="en-GB"/>
              </w:rPr>
              <w:fldChar w:fldCharType="end"/>
            </w:r>
            <w:r>
              <w:rPr>
                <w:rFonts w:ascii="Arial" w:hAnsi="Arial" w:cs="Arial"/>
                <w:sz w:val="18"/>
                <w:szCs w:val="18"/>
                <w:lang w:val="en-GB"/>
              </w:rPr>
              <w:t>湖北•仙桃•垃圾焚烧发电厂</w:t>
            </w:r>
          </w:p>
        </w:tc>
        <w:tc>
          <w:tcPr>
            <w:tcW w:w="2500" w:type="pct"/>
            <w:gridSpan w:val="2"/>
          </w:tcPr>
          <w:p w14:paraId="6B51F843">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10</w:t>
            </w:r>
            <w:r>
              <w:rPr>
                <w:rFonts w:ascii="Arial" w:hAnsi="Arial" w:cs="Arial"/>
                <w:sz w:val="18"/>
                <w:szCs w:val="18"/>
                <w:lang w:val="en-GB"/>
              </w:rPr>
              <w:fldChar w:fldCharType="end"/>
            </w:r>
            <w:r>
              <w:rPr>
                <w:rFonts w:ascii="Arial" w:hAnsi="Arial" w:cs="Arial"/>
                <w:sz w:val="18"/>
                <w:szCs w:val="18"/>
                <w:lang w:val="en-GB"/>
              </w:rPr>
              <w:t>湖北•仙桃•垃圾分类</w:t>
            </w:r>
          </w:p>
        </w:tc>
      </w:tr>
    </w:tbl>
    <w:p w14:paraId="2BBDF3B3">
      <w:pPr>
        <w:pStyle w:val="11"/>
        <w:rPr>
          <w:rFonts w:ascii="Arial" w:hAnsi="Arial" w:eastAsia="宋体" w:cs="Arial"/>
          <w:b/>
          <w:bCs/>
          <w:highlight w:val="cyan"/>
        </w:rPr>
      </w:pPr>
    </w:p>
    <w:tbl>
      <w:tblPr>
        <w:tblStyle w:val="40"/>
        <w:tblW w:w="515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281"/>
        <w:gridCol w:w="2858"/>
        <w:gridCol w:w="2570"/>
        <w:gridCol w:w="2284"/>
      </w:tblGrid>
      <w:tr w14:paraId="47DF0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1141" w:type="pct"/>
          </w:tcPr>
          <w:p w14:paraId="313AD586">
            <w:pPr>
              <w:adjustRightInd w:val="0"/>
              <w:snapToGrid w:val="0"/>
              <w:rPr>
                <w:rFonts w:ascii="Arial" w:hAnsi="Arial" w:cs="Arial"/>
                <w:lang w:val="en-GB"/>
              </w:rPr>
            </w:pPr>
            <w:r>
              <w:rPr>
                <w:rFonts w:ascii="Arial" w:hAnsi="Arial" w:cs="Arial"/>
                <w:lang w:val="en-GB"/>
              </w:rPr>
              <w:drawing>
                <wp:inline distT="0" distB="0" distL="0" distR="0">
                  <wp:extent cx="1344930" cy="1072515"/>
                  <wp:effectExtent l="0" t="0" r="1270" b="0"/>
                  <wp:docPr id="73" name="图片 73" descr="图片包含 男人, 站, 前, 厨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包含 男人, 站, 前, 厨房&#10;&#10;描述已自动生成"/>
                          <pic:cNvPicPr>
                            <a:picLocks noChangeAspect="1"/>
                          </pic:cNvPicPr>
                        </pic:nvPicPr>
                        <pic:blipFill>
                          <a:blip r:embed="rId29" cstate="screen"/>
                          <a:srcRect/>
                          <a:stretch>
                            <a:fillRect/>
                          </a:stretch>
                        </pic:blipFill>
                        <pic:spPr>
                          <a:xfrm>
                            <a:off x="0" y="0"/>
                            <a:ext cx="1346622" cy="1074078"/>
                          </a:xfrm>
                          <a:prstGeom prst="rect">
                            <a:avLst/>
                          </a:prstGeom>
                          <a:ln>
                            <a:noFill/>
                          </a:ln>
                        </pic:spPr>
                      </pic:pic>
                    </a:graphicData>
                  </a:graphic>
                </wp:inline>
              </w:drawing>
            </w:r>
          </w:p>
        </w:tc>
        <w:tc>
          <w:tcPr>
            <w:tcW w:w="1430" w:type="pct"/>
          </w:tcPr>
          <w:p w14:paraId="391E31B3">
            <w:pPr>
              <w:adjustRightInd w:val="0"/>
              <w:snapToGrid w:val="0"/>
              <w:rPr>
                <w:rFonts w:ascii="Arial" w:hAnsi="Arial" w:cs="Arial"/>
                <w:lang w:val="en-GB"/>
              </w:rPr>
            </w:pPr>
            <w:r>
              <w:rPr>
                <w:rFonts w:ascii="Arial" w:hAnsi="Arial" w:cs="Arial"/>
                <w:lang w:val="en-GB"/>
              </w:rPr>
              <w:drawing>
                <wp:inline distT="0" distB="0" distL="0" distR="0">
                  <wp:extent cx="1609090" cy="1071880"/>
                  <wp:effectExtent l="0" t="0" r="381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0" cstate="screen"/>
                          <a:stretch>
                            <a:fillRect/>
                          </a:stretch>
                        </pic:blipFill>
                        <pic:spPr>
                          <a:xfrm>
                            <a:off x="0" y="0"/>
                            <a:ext cx="1615732" cy="1076179"/>
                          </a:xfrm>
                          <a:prstGeom prst="rect">
                            <a:avLst/>
                          </a:prstGeom>
                        </pic:spPr>
                      </pic:pic>
                    </a:graphicData>
                  </a:graphic>
                </wp:inline>
              </w:drawing>
            </w:r>
          </w:p>
        </w:tc>
        <w:tc>
          <w:tcPr>
            <w:tcW w:w="1286" w:type="pct"/>
          </w:tcPr>
          <w:p w14:paraId="56656675">
            <w:pPr>
              <w:adjustRightInd w:val="0"/>
              <w:snapToGrid w:val="0"/>
              <w:rPr>
                <w:rFonts w:ascii="Arial" w:hAnsi="Arial" w:cs="Arial"/>
                <w:lang w:val="en-GB"/>
              </w:rPr>
            </w:pPr>
            <w:r>
              <w:rPr>
                <w:rFonts w:ascii="Arial" w:hAnsi="Arial" w:cs="Arial"/>
                <w:lang w:val="en-GB"/>
              </w:rPr>
              <w:drawing>
                <wp:inline distT="0" distB="0" distL="0" distR="0">
                  <wp:extent cx="1400810" cy="1050290"/>
                  <wp:effectExtent l="0" t="0" r="0" b="3810"/>
                  <wp:docPr id="1" name="图片 1" descr="花园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花园的摆设布局&#10;&#10;中度可信度描述已自动生成"/>
                          <pic:cNvPicPr>
                            <a:picLocks noChangeAspect="1"/>
                          </pic:cNvPicPr>
                        </pic:nvPicPr>
                        <pic:blipFill>
                          <a:blip r:embed="rId31" cstate="screen"/>
                          <a:stretch>
                            <a:fillRect/>
                          </a:stretch>
                        </pic:blipFill>
                        <pic:spPr>
                          <a:xfrm>
                            <a:off x="0" y="0"/>
                            <a:ext cx="1416329" cy="1062105"/>
                          </a:xfrm>
                          <a:prstGeom prst="rect">
                            <a:avLst/>
                          </a:prstGeom>
                        </pic:spPr>
                      </pic:pic>
                    </a:graphicData>
                  </a:graphic>
                </wp:inline>
              </w:drawing>
            </w:r>
          </w:p>
        </w:tc>
        <w:tc>
          <w:tcPr>
            <w:tcW w:w="1143" w:type="pct"/>
          </w:tcPr>
          <w:p w14:paraId="0B188CD2">
            <w:pPr>
              <w:adjustRightInd w:val="0"/>
              <w:snapToGrid w:val="0"/>
              <w:rPr>
                <w:rFonts w:ascii="Arial" w:hAnsi="Arial" w:cs="Arial"/>
                <w:lang w:val="en-GB"/>
              </w:rPr>
            </w:pPr>
            <w:r>
              <w:rPr>
                <w:rFonts w:ascii="Arial" w:hAnsi="Arial" w:cs="Arial"/>
                <w:lang w:val="en-GB"/>
              </w:rPr>
              <w:drawing>
                <wp:inline distT="0" distB="0" distL="0" distR="0">
                  <wp:extent cx="1406525" cy="1054735"/>
                  <wp:effectExtent l="0" t="0" r="3175" b="0"/>
                  <wp:docPr id="8" name="图片 8" descr="房子前的路上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房子前的路上走&#10;&#10;描述已自动生成"/>
                          <pic:cNvPicPr>
                            <a:picLocks noChangeAspect="1"/>
                          </pic:cNvPicPr>
                        </pic:nvPicPr>
                        <pic:blipFill>
                          <a:blip r:embed="rId32" cstate="screen"/>
                          <a:stretch>
                            <a:fillRect/>
                          </a:stretch>
                        </pic:blipFill>
                        <pic:spPr>
                          <a:xfrm>
                            <a:off x="0" y="0"/>
                            <a:ext cx="1406525" cy="1054735"/>
                          </a:xfrm>
                          <a:prstGeom prst="rect">
                            <a:avLst/>
                          </a:prstGeom>
                        </pic:spPr>
                      </pic:pic>
                    </a:graphicData>
                  </a:graphic>
                </wp:inline>
              </w:drawing>
            </w:r>
          </w:p>
        </w:tc>
      </w:tr>
      <w:tr w14:paraId="7CE13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1141" w:type="pct"/>
          </w:tcPr>
          <w:p w14:paraId="5122E86B">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11</w:t>
            </w:r>
            <w:r>
              <w:rPr>
                <w:rFonts w:ascii="Arial" w:hAnsi="Arial" w:cs="Arial"/>
                <w:sz w:val="18"/>
                <w:szCs w:val="18"/>
                <w:lang w:val="en-GB"/>
              </w:rPr>
              <w:fldChar w:fldCharType="end"/>
            </w:r>
            <w:r>
              <w:rPr>
                <w:rFonts w:ascii="Arial" w:hAnsi="Arial" w:cs="Arial"/>
                <w:sz w:val="18"/>
                <w:szCs w:val="18"/>
                <w:lang w:val="en-GB"/>
              </w:rPr>
              <w:t>湖南•衡南•三格化粪池</w:t>
            </w:r>
          </w:p>
        </w:tc>
        <w:tc>
          <w:tcPr>
            <w:tcW w:w="1430" w:type="pct"/>
          </w:tcPr>
          <w:p w14:paraId="433B3A5F">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12</w:t>
            </w:r>
            <w:r>
              <w:rPr>
                <w:rFonts w:ascii="Arial" w:hAnsi="Arial" w:cs="Arial"/>
                <w:sz w:val="18"/>
                <w:szCs w:val="18"/>
                <w:lang w:val="en-GB"/>
              </w:rPr>
              <w:fldChar w:fldCharType="end"/>
            </w:r>
            <w:r>
              <w:rPr>
                <w:rFonts w:ascii="Arial" w:hAnsi="Arial" w:cs="Arial"/>
                <w:sz w:val="18"/>
                <w:szCs w:val="18"/>
                <w:lang w:val="en-GB"/>
              </w:rPr>
              <w:t>湖北•洪湖•农村污水处理设施，80吨/天，第三方运维</w:t>
            </w:r>
          </w:p>
        </w:tc>
        <w:tc>
          <w:tcPr>
            <w:tcW w:w="1286" w:type="pct"/>
          </w:tcPr>
          <w:p w14:paraId="523B1EC2">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13</w:t>
            </w:r>
            <w:r>
              <w:rPr>
                <w:rFonts w:ascii="Arial" w:hAnsi="Arial" w:cs="Arial"/>
                <w:sz w:val="18"/>
                <w:szCs w:val="18"/>
                <w:lang w:val="en-GB"/>
              </w:rPr>
              <w:fldChar w:fldCharType="end"/>
            </w:r>
            <w:r>
              <w:rPr>
                <w:rFonts w:ascii="Arial" w:hAnsi="Arial" w:cs="Arial"/>
                <w:sz w:val="18"/>
                <w:szCs w:val="18"/>
                <w:lang w:val="en-GB"/>
              </w:rPr>
              <w:t>湖南•澧县•乡镇污水处理厂，300吨/天，第三方运维</w:t>
            </w:r>
          </w:p>
        </w:tc>
        <w:tc>
          <w:tcPr>
            <w:tcW w:w="1143" w:type="pct"/>
          </w:tcPr>
          <w:p w14:paraId="4117E6EC">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14</w:t>
            </w:r>
            <w:r>
              <w:rPr>
                <w:rFonts w:ascii="Arial" w:hAnsi="Arial" w:cs="Arial"/>
                <w:sz w:val="18"/>
                <w:szCs w:val="18"/>
                <w:lang w:val="en-GB"/>
              </w:rPr>
              <w:fldChar w:fldCharType="end"/>
            </w:r>
            <w:r>
              <w:rPr>
                <w:rFonts w:ascii="Arial" w:hAnsi="Arial" w:cs="Arial"/>
                <w:sz w:val="18"/>
                <w:szCs w:val="18"/>
                <w:lang w:val="en-GB"/>
              </w:rPr>
              <w:t>湖南•慈利•高桥镇污水处理厂，400吨/天，</w:t>
            </w:r>
          </w:p>
          <w:p w14:paraId="4D02BB88">
            <w:pPr>
              <w:jc w:val="center"/>
              <w:rPr>
                <w:rFonts w:ascii="Arial" w:hAnsi="Arial" w:cs="Arial"/>
                <w:sz w:val="18"/>
                <w:szCs w:val="18"/>
                <w:lang w:val="en-GB"/>
              </w:rPr>
            </w:pPr>
            <w:r>
              <w:rPr>
                <w:rFonts w:ascii="Arial" w:hAnsi="Arial" w:cs="Arial"/>
                <w:sz w:val="18"/>
                <w:szCs w:val="18"/>
                <w:lang w:val="en-GB"/>
              </w:rPr>
              <w:t>第三方运维</w:t>
            </w:r>
          </w:p>
        </w:tc>
      </w:tr>
    </w:tbl>
    <w:p w14:paraId="67B0C6F1">
      <w:pPr>
        <w:pStyle w:val="11"/>
        <w:rPr>
          <w:rFonts w:ascii="Arial" w:hAnsi="Arial" w:eastAsia="宋体" w:cs="Arial"/>
          <w:b/>
          <w:bCs/>
          <w:highlight w:val="cyan"/>
        </w:rPr>
      </w:pP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278"/>
        <w:gridCol w:w="2427"/>
        <w:gridCol w:w="2284"/>
        <w:gridCol w:w="2705"/>
      </w:tblGrid>
      <w:tr w14:paraId="170F1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1175" w:type="pct"/>
          </w:tcPr>
          <w:p w14:paraId="03CCF461">
            <w:pPr>
              <w:jc w:val="center"/>
              <w:rPr>
                <w:rFonts w:ascii="Arial" w:hAnsi="Arial" w:cs="Arial"/>
                <w:highlight w:val="cyan"/>
                <w:lang w:val="en-GB"/>
              </w:rPr>
            </w:pPr>
            <w:r>
              <w:rPr>
                <w:rFonts w:ascii="Arial" w:hAnsi="Arial" w:cs="Arial"/>
                <w:lang w:val="en-GB"/>
              </w:rPr>
              <w:drawing>
                <wp:inline distT="0" distB="0" distL="0" distR="0">
                  <wp:extent cx="1392555" cy="104457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3" cstate="screen"/>
                          <a:stretch>
                            <a:fillRect/>
                          </a:stretch>
                        </pic:blipFill>
                        <pic:spPr>
                          <a:xfrm>
                            <a:off x="0" y="0"/>
                            <a:ext cx="1392555" cy="1044575"/>
                          </a:xfrm>
                          <a:prstGeom prst="rect">
                            <a:avLst/>
                          </a:prstGeom>
                        </pic:spPr>
                      </pic:pic>
                    </a:graphicData>
                  </a:graphic>
                </wp:inline>
              </w:drawing>
            </w:r>
          </w:p>
        </w:tc>
        <w:tc>
          <w:tcPr>
            <w:tcW w:w="1252" w:type="pct"/>
          </w:tcPr>
          <w:p w14:paraId="68C7E522">
            <w:pPr>
              <w:jc w:val="center"/>
              <w:rPr>
                <w:rFonts w:ascii="Arial" w:hAnsi="Arial" w:cs="Arial"/>
                <w:highlight w:val="cyan"/>
                <w:lang w:val="en-GB"/>
              </w:rPr>
            </w:pPr>
            <w:r>
              <w:rPr>
                <w:rFonts w:ascii="Arial" w:hAnsi="Arial" w:cs="Arial"/>
                <w:lang w:val="en-GB"/>
              </w:rPr>
              <w:drawing>
                <wp:inline distT="0" distB="0" distL="0" distR="0">
                  <wp:extent cx="1392555" cy="1044575"/>
                  <wp:effectExtent l="0" t="0" r="444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4" cstate="screen"/>
                          <a:stretch>
                            <a:fillRect/>
                          </a:stretch>
                        </pic:blipFill>
                        <pic:spPr>
                          <a:xfrm>
                            <a:off x="0" y="0"/>
                            <a:ext cx="1392555" cy="1044575"/>
                          </a:xfrm>
                          <a:prstGeom prst="rect">
                            <a:avLst/>
                          </a:prstGeom>
                        </pic:spPr>
                      </pic:pic>
                    </a:graphicData>
                  </a:graphic>
                </wp:inline>
              </w:drawing>
            </w:r>
          </w:p>
        </w:tc>
        <w:tc>
          <w:tcPr>
            <w:tcW w:w="1178" w:type="pct"/>
          </w:tcPr>
          <w:p w14:paraId="57AE3685">
            <w:pPr>
              <w:ind w:left="-106"/>
              <w:jc w:val="center"/>
              <w:rPr>
                <w:rFonts w:ascii="Arial" w:hAnsi="Arial" w:cs="Arial"/>
                <w:highlight w:val="cyan"/>
                <w:lang w:val="en-GB"/>
              </w:rPr>
            </w:pPr>
            <w:r>
              <w:rPr>
                <w:rFonts w:ascii="Arial" w:hAnsi="Arial" w:cs="Arial"/>
                <w:lang w:val="en-GB"/>
              </w:rPr>
              <w:drawing>
                <wp:inline distT="0" distB="0" distL="0" distR="0">
                  <wp:extent cx="1393190" cy="1045210"/>
                  <wp:effectExtent l="0" t="0" r="3810" b="0"/>
                  <wp:docPr id="56" name="图片 56" descr="草地上有许多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草地上有许多树&#10;&#10;描述已自动生成"/>
                          <pic:cNvPicPr>
                            <a:picLocks noChangeAspect="1"/>
                          </pic:cNvPicPr>
                        </pic:nvPicPr>
                        <pic:blipFill>
                          <a:blip r:embed="rId35" cstate="screen"/>
                          <a:stretch>
                            <a:fillRect/>
                          </a:stretch>
                        </pic:blipFill>
                        <pic:spPr>
                          <a:xfrm>
                            <a:off x="0" y="0"/>
                            <a:ext cx="1393190" cy="1045210"/>
                          </a:xfrm>
                          <a:prstGeom prst="rect">
                            <a:avLst/>
                          </a:prstGeom>
                        </pic:spPr>
                      </pic:pic>
                    </a:graphicData>
                  </a:graphic>
                </wp:inline>
              </w:drawing>
            </w:r>
          </w:p>
        </w:tc>
        <w:tc>
          <w:tcPr>
            <w:tcW w:w="1395" w:type="pct"/>
          </w:tcPr>
          <w:p w14:paraId="516E7F1B">
            <w:pPr>
              <w:jc w:val="center"/>
              <w:rPr>
                <w:rFonts w:ascii="Arial" w:hAnsi="Arial" w:cs="Arial"/>
                <w:highlight w:val="cyan"/>
                <w:lang w:val="en-GB"/>
              </w:rPr>
            </w:pPr>
            <w:r>
              <w:rPr>
                <w:rFonts w:ascii="Arial" w:hAnsi="Arial" w:cs="Arial"/>
                <w:lang w:val="en-GB"/>
              </w:rPr>
              <w:drawing>
                <wp:inline distT="0" distB="0" distL="0" distR="0">
                  <wp:extent cx="1043940" cy="782955"/>
                  <wp:effectExtent l="3492" t="0" r="953" b="952"/>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6" cstate="screen"/>
                          <a:stretch>
                            <a:fillRect/>
                          </a:stretch>
                        </pic:blipFill>
                        <pic:spPr>
                          <a:xfrm rot="5400000">
                            <a:off x="0" y="0"/>
                            <a:ext cx="1044000" cy="783237"/>
                          </a:xfrm>
                          <a:prstGeom prst="rect">
                            <a:avLst/>
                          </a:prstGeom>
                        </pic:spPr>
                      </pic:pic>
                    </a:graphicData>
                  </a:graphic>
                </wp:inline>
              </w:drawing>
            </w:r>
            <w:r>
              <w:rPr>
                <w:rFonts w:ascii="Arial" w:hAnsi="Arial" w:cs="Arial"/>
                <w:lang w:val="en-GB"/>
              </w:rPr>
              <w:t xml:space="preserve"> </w:t>
            </w:r>
            <w:r>
              <w:rPr>
                <w:rFonts w:ascii="Arial" w:hAnsi="Arial" w:cs="Arial"/>
                <w:lang w:val="en-GB"/>
              </w:rPr>
              <w:drawing>
                <wp:inline distT="0" distB="0" distL="0" distR="0">
                  <wp:extent cx="1043940" cy="782955"/>
                  <wp:effectExtent l="3492" t="0" r="953" b="952"/>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cstate="screen"/>
                          <a:stretch>
                            <a:fillRect/>
                          </a:stretch>
                        </pic:blipFill>
                        <pic:spPr>
                          <a:xfrm rot="5400000">
                            <a:off x="0" y="0"/>
                            <a:ext cx="1044000" cy="783237"/>
                          </a:xfrm>
                          <a:prstGeom prst="rect">
                            <a:avLst/>
                          </a:prstGeom>
                        </pic:spPr>
                      </pic:pic>
                    </a:graphicData>
                  </a:graphic>
                </wp:inline>
              </w:drawing>
            </w:r>
            <w:r>
              <w:rPr>
                <w:rFonts w:ascii="Arial" w:hAnsi="Arial" w:cs="Arial"/>
                <w:highlight w:val="cyan"/>
                <w:lang w:val="en-GB"/>
              </w:rPr>
              <w:t xml:space="preserve"> </w:t>
            </w:r>
          </w:p>
        </w:tc>
      </w:tr>
      <w:tr w14:paraId="3EC7F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center"/>
        </w:trPr>
        <w:tc>
          <w:tcPr>
            <w:tcW w:w="2427" w:type="pct"/>
            <w:gridSpan w:val="2"/>
          </w:tcPr>
          <w:p w14:paraId="385E07DF">
            <w:pPr>
              <w:jc w:val="center"/>
              <w:rPr>
                <w:rFonts w:ascii="Arial" w:hAnsi="Arial" w:cs="Arial"/>
                <w:sz w:val="18"/>
                <w:szCs w:val="18"/>
                <w:lang w:val="en-GB"/>
              </w:rPr>
            </w:pPr>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15</w:t>
            </w:r>
            <w:r>
              <w:rPr>
                <w:rFonts w:ascii="Arial" w:hAnsi="Arial" w:cs="Arial"/>
                <w:sz w:val="18"/>
                <w:szCs w:val="18"/>
                <w:lang w:val="en-GB"/>
              </w:rPr>
              <w:fldChar w:fldCharType="end"/>
            </w:r>
            <w:r>
              <w:rPr>
                <w:rFonts w:ascii="Arial" w:hAnsi="Arial" w:cs="Arial"/>
                <w:sz w:val="18"/>
                <w:szCs w:val="18"/>
                <w:lang w:val="en-GB"/>
              </w:rPr>
              <w:t>湖北•仙桃•水肥一体化</w:t>
            </w:r>
          </w:p>
        </w:tc>
        <w:tc>
          <w:tcPr>
            <w:tcW w:w="2573" w:type="pct"/>
            <w:gridSpan w:val="2"/>
          </w:tcPr>
          <w:p w14:paraId="0A60CDE8">
            <w:pPr>
              <w:jc w:val="center"/>
              <w:rPr>
                <w:rFonts w:ascii="Arial" w:hAnsi="Arial" w:cs="Arial"/>
                <w:sz w:val="18"/>
                <w:szCs w:val="18"/>
                <w:lang w:val="en-GB"/>
              </w:rPr>
            </w:pPr>
            <w:bookmarkStart w:id="770" w:name="_Ref114588666"/>
            <w:bookmarkStart w:id="771" w:name="_Ref114588616"/>
            <w:r>
              <w:rPr>
                <w:rFonts w:ascii="Arial" w:hAnsi="Arial" w:cs="Arial"/>
                <w:sz w:val="18"/>
                <w:szCs w:val="18"/>
                <w:lang w:val="en-GB"/>
              </w:rPr>
              <w:t xml:space="preserve">图 </w:t>
            </w:r>
            <w:r>
              <w:rPr>
                <w:rFonts w:ascii="Arial" w:hAnsi="Arial" w:cs="Arial"/>
                <w:sz w:val="18"/>
                <w:szCs w:val="18"/>
                <w:lang w:val="en-GB"/>
              </w:rPr>
              <w:fldChar w:fldCharType="begin"/>
            </w:r>
            <w:r>
              <w:rPr>
                <w:rFonts w:ascii="Arial" w:hAnsi="Arial" w:cs="Arial"/>
                <w:sz w:val="18"/>
                <w:szCs w:val="18"/>
                <w:lang w:val="en-GB"/>
              </w:rPr>
              <w:instrText xml:space="preserve"> SEQ 图 \* ARABIC </w:instrText>
            </w:r>
            <w:r>
              <w:rPr>
                <w:rFonts w:ascii="Arial" w:hAnsi="Arial" w:cs="Arial"/>
                <w:sz w:val="18"/>
                <w:szCs w:val="18"/>
                <w:lang w:val="en-GB"/>
              </w:rPr>
              <w:fldChar w:fldCharType="separate"/>
            </w:r>
            <w:r>
              <w:rPr>
                <w:rFonts w:ascii="Arial" w:hAnsi="Arial" w:cs="Arial"/>
                <w:sz w:val="18"/>
                <w:szCs w:val="18"/>
                <w:lang w:val="en-GB"/>
              </w:rPr>
              <w:t>16</w:t>
            </w:r>
            <w:r>
              <w:rPr>
                <w:rFonts w:ascii="Arial" w:hAnsi="Arial" w:cs="Arial"/>
                <w:sz w:val="18"/>
                <w:szCs w:val="18"/>
                <w:lang w:val="en-GB"/>
              </w:rPr>
              <w:fldChar w:fldCharType="end"/>
            </w:r>
            <w:bookmarkEnd w:id="770"/>
            <w:r>
              <w:rPr>
                <w:rFonts w:ascii="Arial" w:hAnsi="Arial" w:cs="Arial"/>
                <w:sz w:val="18"/>
                <w:szCs w:val="18"/>
                <w:lang w:val="en-GB"/>
              </w:rPr>
              <w:t>湖北•仙桃•病虫害绿色防控</w:t>
            </w:r>
            <w:bookmarkEnd w:id="771"/>
          </w:p>
        </w:tc>
      </w:tr>
    </w:tbl>
    <w:p w14:paraId="17CAEFE2">
      <w:pPr>
        <w:pStyle w:val="11"/>
        <w:adjustRightInd w:val="0"/>
        <w:snapToGrid w:val="0"/>
        <w:rPr>
          <w:rFonts w:ascii="Arial" w:hAnsi="Arial" w:eastAsia="宋体" w:cs="Arial"/>
          <w:b/>
          <w:bCs/>
          <w:sz w:val="10"/>
          <w:szCs w:val="10"/>
        </w:rPr>
      </w:pPr>
      <w:r>
        <w:rPr>
          <w:rFonts w:ascii="Arial" w:hAnsi="Arial" w:eastAsia="宋体" w:cs="Arial"/>
          <w:b/>
          <w:bCs/>
          <w:sz w:val="10"/>
          <w:szCs w:val="10"/>
        </w:rPr>
        <w:t xml:space="preserve"> </w:t>
      </w: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3"/>
        <w:gridCol w:w="2463"/>
        <w:gridCol w:w="2464"/>
        <w:gridCol w:w="2464"/>
      </w:tblGrid>
      <w:tr w14:paraId="4B6D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Pr>
          <w:p w14:paraId="5F617596">
            <w:pPr>
              <w:adjustRightInd w:val="0"/>
              <w:snapToGrid w:val="0"/>
              <w:jc w:val="center"/>
              <w:rPr>
                <w:rFonts w:ascii="Arial" w:hAnsi="Arial" w:cs="Arial"/>
                <w:lang w:val="en-GB"/>
              </w:rPr>
            </w:pPr>
            <w:r>
              <w:rPr>
                <w:rFonts w:ascii="Arial" w:hAnsi="Arial" w:cs="Arial"/>
                <w:lang w:val="en-GB"/>
              </w:rPr>
              <w:drawing>
                <wp:inline distT="0" distB="0" distL="0" distR="0">
                  <wp:extent cx="1391285" cy="10433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8" cstate="screen"/>
                          <a:stretch>
                            <a:fillRect/>
                          </a:stretch>
                        </pic:blipFill>
                        <pic:spPr>
                          <a:xfrm>
                            <a:off x="0" y="0"/>
                            <a:ext cx="1391896" cy="1043513"/>
                          </a:xfrm>
                          <a:prstGeom prst="rect">
                            <a:avLst/>
                          </a:prstGeom>
                        </pic:spPr>
                      </pic:pic>
                    </a:graphicData>
                  </a:graphic>
                </wp:inline>
              </w:drawing>
            </w:r>
          </w:p>
        </w:tc>
        <w:tc>
          <w:tcPr>
            <w:tcW w:w="1250" w:type="pct"/>
          </w:tcPr>
          <w:p w14:paraId="38E8D615">
            <w:pPr>
              <w:adjustRightInd w:val="0"/>
              <w:snapToGrid w:val="0"/>
              <w:jc w:val="center"/>
              <w:rPr>
                <w:rFonts w:ascii="Arial" w:hAnsi="Arial" w:cs="Arial"/>
                <w:lang w:val="en-GB"/>
              </w:rPr>
            </w:pPr>
            <w:r>
              <w:rPr>
                <w:rFonts w:ascii="Arial" w:hAnsi="Arial" w:cs="Arial"/>
                <w:lang w:val="en-GB"/>
              </w:rPr>
              <w:drawing>
                <wp:inline distT="0" distB="0" distL="0" distR="0">
                  <wp:extent cx="1391285" cy="1043305"/>
                  <wp:effectExtent l="0" t="0" r="0" b="4445"/>
                  <wp:docPr id="19" name="Picture 19" descr="石头地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石头地上&#10;&#10;描述已自动生成"/>
                          <pic:cNvPicPr>
                            <a:picLocks noChangeAspect="1"/>
                          </pic:cNvPicPr>
                        </pic:nvPicPr>
                        <pic:blipFill>
                          <a:blip r:embed="rId39" cstate="screen"/>
                          <a:stretch>
                            <a:fillRect/>
                          </a:stretch>
                        </pic:blipFill>
                        <pic:spPr>
                          <a:xfrm>
                            <a:off x="0" y="0"/>
                            <a:ext cx="1391896" cy="1043513"/>
                          </a:xfrm>
                          <a:prstGeom prst="rect">
                            <a:avLst/>
                          </a:prstGeom>
                        </pic:spPr>
                      </pic:pic>
                    </a:graphicData>
                  </a:graphic>
                </wp:inline>
              </w:drawing>
            </w:r>
          </w:p>
        </w:tc>
        <w:tc>
          <w:tcPr>
            <w:tcW w:w="1250" w:type="pct"/>
          </w:tcPr>
          <w:p w14:paraId="5769AE42">
            <w:pPr>
              <w:adjustRightInd w:val="0"/>
              <w:snapToGrid w:val="0"/>
              <w:ind w:left="-106"/>
              <w:jc w:val="center"/>
              <w:rPr>
                <w:rFonts w:ascii="Arial" w:hAnsi="Arial" w:cs="Arial"/>
                <w:lang w:val="en-GB"/>
              </w:rPr>
            </w:pPr>
            <w:r>
              <w:rPr>
                <w:rFonts w:ascii="Arial" w:hAnsi="Arial" w:cs="Arial"/>
                <w:lang w:val="en-GB"/>
              </w:rPr>
              <w:drawing>
                <wp:inline distT="0" distB="0" distL="0" distR="0">
                  <wp:extent cx="1389380" cy="1042035"/>
                  <wp:effectExtent l="0" t="0" r="1270" b="5715"/>
                  <wp:docPr id="2" name="Picture 2" descr="草地上的火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草地上的火车&#10;&#10;中度可信度描述已自动生成"/>
                          <pic:cNvPicPr>
                            <a:picLocks noChangeAspect="1"/>
                          </pic:cNvPicPr>
                        </pic:nvPicPr>
                        <pic:blipFill>
                          <a:blip r:embed="rId40" cstate="screen"/>
                          <a:stretch>
                            <a:fillRect/>
                          </a:stretch>
                        </pic:blipFill>
                        <pic:spPr>
                          <a:xfrm>
                            <a:off x="0" y="0"/>
                            <a:ext cx="1399507" cy="1049219"/>
                          </a:xfrm>
                          <a:prstGeom prst="rect">
                            <a:avLst/>
                          </a:prstGeom>
                        </pic:spPr>
                      </pic:pic>
                    </a:graphicData>
                  </a:graphic>
                </wp:inline>
              </w:drawing>
            </w:r>
          </w:p>
        </w:tc>
        <w:tc>
          <w:tcPr>
            <w:tcW w:w="1250" w:type="pct"/>
          </w:tcPr>
          <w:p w14:paraId="0C4EF086">
            <w:pPr>
              <w:adjustRightInd w:val="0"/>
              <w:snapToGrid w:val="0"/>
              <w:jc w:val="center"/>
              <w:rPr>
                <w:rFonts w:ascii="Arial" w:hAnsi="Arial" w:cs="Arial"/>
                <w:lang w:val="en-GB"/>
              </w:rPr>
            </w:pPr>
            <w:r>
              <w:rPr>
                <w:rFonts w:ascii="Arial" w:hAnsi="Arial" w:cs="Arial"/>
                <w:lang w:val="en-GB"/>
              </w:rPr>
              <w:drawing>
                <wp:inline distT="0" distB="0" distL="0" distR="0">
                  <wp:extent cx="1388745" cy="1042035"/>
                  <wp:effectExtent l="0" t="0" r="1905" b="5715"/>
                  <wp:docPr id="18" name="Picture 18" descr="河边有一座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河边有一座桥&#10;&#10;描述已自动生成"/>
                          <pic:cNvPicPr>
                            <a:picLocks noChangeAspect="1"/>
                          </pic:cNvPicPr>
                        </pic:nvPicPr>
                        <pic:blipFill>
                          <a:blip r:embed="rId41" cstate="screen"/>
                          <a:stretch>
                            <a:fillRect/>
                          </a:stretch>
                        </pic:blipFill>
                        <pic:spPr>
                          <a:xfrm>
                            <a:off x="0" y="0"/>
                            <a:ext cx="1400083" cy="1050471"/>
                          </a:xfrm>
                          <a:prstGeom prst="rect">
                            <a:avLst/>
                          </a:prstGeom>
                        </pic:spPr>
                      </pic:pic>
                    </a:graphicData>
                  </a:graphic>
                </wp:inline>
              </w:drawing>
            </w:r>
          </w:p>
        </w:tc>
      </w:tr>
      <w:tr w14:paraId="47DD6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gridSpan w:val="2"/>
          </w:tcPr>
          <w:p w14:paraId="53A815C8">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17</w:t>
            </w:r>
            <w:r>
              <w:rPr>
                <w:rFonts w:ascii="Arial" w:hAnsi="Arial" w:cs="Arial"/>
                <w:sz w:val="15"/>
                <w:szCs w:val="15"/>
                <w:lang w:val="en-GB"/>
              </w:rPr>
              <w:fldChar w:fldCharType="end"/>
            </w:r>
            <w:r>
              <w:rPr>
                <w:rFonts w:ascii="Arial" w:hAnsi="Arial" w:cs="Arial"/>
                <w:sz w:val="15"/>
                <w:szCs w:val="15"/>
                <w:lang w:val="en-GB"/>
              </w:rPr>
              <w:t>湖南•慈利•小规模养猪场粪污简单处理</w:t>
            </w:r>
          </w:p>
        </w:tc>
        <w:tc>
          <w:tcPr>
            <w:tcW w:w="2500" w:type="pct"/>
            <w:gridSpan w:val="2"/>
          </w:tcPr>
          <w:p w14:paraId="72587DC2">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18</w:t>
            </w:r>
            <w:r>
              <w:rPr>
                <w:rFonts w:ascii="Arial" w:hAnsi="Arial" w:cs="Arial"/>
                <w:sz w:val="15"/>
                <w:szCs w:val="15"/>
                <w:lang w:val="en-GB"/>
              </w:rPr>
              <w:fldChar w:fldCharType="end"/>
            </w:r>
            <w:r>
              <w:rPr>
                <w:rFonts w:ascii="Arial" w:hAnsi="Arial" w:cs="Arial"/>
                <w:sz w:val="15"/>
                <w:szCs w:val="15"/>
                <w:lang w:val="en-GB"/>
              </w:rPr>
              <w:t>湖北•洪湖•水产养殖基地尾水处理</w:t>
            </w:r>
          </w:p>
        </w:tc>
      </w:tr>
    </w:tbl>
    <w:p w14:paraId="14FBA9B0">
      <w:pPr>
        <w:pStyle w:val="11"/>
        <w:adjustRightInd w:val="0"/>
        <w:snapToGrid w:val="0"/>
        <w:rPr>
          <w:rFonts w:ascii="Arial" w:hAnsi="Arial" w:eastAsia="宋体" w:cs="Arial"/>
          <w:b/>
          <w:bCs/>
          <w:sz w:val="15"/>
          <w:szCs w:val="15"/>
        </w:rPr>
      </w:pPr>
    </w:p>
    <w:tbl>
      <w:tblPr>
        <w:tblStyle w:val="40"/>
        <w:tblW w:w="5000" w:type="pct"/>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425"/>
        <w:gridCol w:w="2425"/>
        <w:gridCol w:w="2424"/>
        <w:gridCol w:w="2420"/>
      </w:tblGrid>
      <w:tr w14:paraId="111F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right"/>
        </w:trPr>
        <w:tc>
          <w:tcPr>
            <w:tcW w:w="1251" w:type="pct"/>
          </w:tcPr>
          <w:p w14:paraId="15A980BC">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87170" cy="11150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2" cstate="screen"/>
                          <a:stretch>
                            <a:fillRect/>
                          </a:stretch>
                        </pic:blipFill>
                        <pic:spPr>
                          <a:xfrm>
                            <a:off x="0" y="0"/>
                            <a:ext cx="1487691" cy="1115331"/>
                          </a:xfrm>
                          <a:prstGeom prst="rect">
                            <a:avLst/>
                          </a:prstGeom>
                        </pic:spPr>
                      </pic:pic>
                    </a:graphicData>
                  </a:graphic>
                </wp:inline>
              </w:drawing>
            </w:r>
          </w:p>
        </w:tc>
        <w:tc>
          <w:tcPr>
            <w:tcW w:w="1251" w:type="pct"/>
          </w:tcPr>
          <w:p w14:paraId="22BC5DD4">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87170" cy="11150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3" cstate="screen"/>
                          <a:stretch>
                            <a:fillRect/>
                          </a:stretch>
                        </pic:blipFill>
                        <pic:spPr>
                          <a:xfrm>
                            <a:off x="0" y="0"/>
                            <a:ext cx="1487425" cy="1115131"/>
                          </a:xfrm>
                          <a:prstGeom prst="rect">
                            <a:avLst/>
                          </a:prstGeom>
                        </pic:spPr>
                      </pic:pic>
                    </a:graphicData>
                  </a:graphic>
                </wp:inline>
              </w:drawing>
            </w:r>
          </w:p>
        </w:tc>
        <w:tc>
          <w:tcPr>
            <w:tcW w:w="1249" w:type="pct"/>
          </w:tcPr>
          <w:p w14:paraId="2F6843F7">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74470" cy="1070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4" cstate="screen"/>
                          <a:stretch>
                            <a:fillRect/>
                          </a:stretch>
                        </pic:blipFill>
                        <pic:spPr>
                          <a:xfrm>
                            <a:off x="0" y="0"/>
                            <a:ext cx="1535683" cy="1115363"/>
                          </a:xfrm>
                          <a:prstGeom prst="rect">
                            <a:avLst/>
                          </a:prstGeom>
                        </pic:spPr>
                      </pic:pic>
                    </a:graphicData>
                  </a:graphic>
                </wp:inline>
              </w:drawing>
            </w:r>
            <w:r>
              <w:rPr>
                <w:rFonts w:ascii="Arial" w:hAnsi="Arial" w:cs="Arial"/>
                <w:sz w:val="15"/>
                <w:szCs w:val="15"/>
                <w:lang w:val="en-GB"/>
              </w:rPr>
              <w:t xml:space="preserve"> </w:t>
            </w:r>
          </w:p>
        </w:tc>
        <w:tc>
          <w:tcPr>
            <w:tcW w:w="1249" w:type="pct"/>
          </w:tcPr>
          <w:p w14:paraId="4E042C2D">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47800" cy="1076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5" cstate="screen"/>
                          <a:srcRect/>
                          <a:stretch>
                            <a:fillRect/>
                          </a:stretch>
                        </pic:blipFill>
                        <pic:spPr>
                          <a:xfrm>
                            <a:off x="0" y="0"/>
                            <a:ext cx="1539197" cy="1145059"/>
                          </a:xfrm>
                          <a:prstGeom prst="rect">
                            <a:avLst/>
                          </a:prstGeom>
                          <a:ln>
                            <a:noFill/>
                          </a:ln>
                        </pic:spPr>
                      </pic:pic>
                    </a:graphicData>
                  </a:graphic>
                </wp:inline>
              </w:drawing>
            </w:r>
          </w:p>
        </w:tc>
      </w:tr>
      <w:tr w14:paraId="03B8B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jc w:val="right"/>
        </w:trPr>
        <w:tc>
          <w:tcPr>
            <w:tcW w:w="2502" w:type="pct"/>
            <w:gridSpan w:val="2"/>
          </w:tcPr>
          <w:p w14:paraId="061149C2">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19</w:t>
            </w:r>
            <w:r>
              <w:rPr>
                <w:rFonts w:ascii="Arial" w:hAnsi="Arial" w:cs="Arial"/>
                <w:sz w:val="15"/>
                <w:szCs w:val="15"/>
                <w:lang w:val="en-GB"/>
              </w:rPr>
              <w:fldChar w:fldCharType="end"/>
            </w:r>
            <w:r>
              <w:rPr>
                <w:rFonts w:ascii="Arial" w:hAnsi="Arial" w:cs="Arial"/>
                <w:sz w:val="15"/>
                <w:szCs w:val="15"/>
                <w:lang w:val="en-GB"/>
              </w:rPr>
              <w:t>湖南•慈利•乡镇垃圾压缩站</w:t>
            </w:r>
          </w:p>
          <w:p w14:paraId="60473BBD">
            <w:pPr>
              <w:adjustRightInd w:val="0"/>
              <w:snapToGrid w:val="0"/>
              <w:jc w:val="center"/>
              <w:rPr>
                <w:rFonts w:ascii="Arial" w:hAnsi="Arial" w:cs="Arial"/>
                <w:sz w:val="15"/>
                <w:szCs w:val="15"/>
                <w:lang w:val="en-GB"/>
              </w:rPr>
            </w:pPr>
            <w:r>
              <w:rPr>
                <w:rFonts w:ascii="Arial" w:hAnsi="Arial" w:cs="Arial"/>
                <w:sz w:val="15"/>
                <w:szCs w:val="15"/>
                <w:lang w:val="en-GB"/>
              </w:rPr>
              <w:t>（压缩设施及渗滤液收集池）</w:t>
            </w:r>
          </w:p>
        </w:tc>
        <w:tc>
          <w:tcPr>
            <w:tcW w:w="2498" w:type="pct"/>
            <w:gridSpan w:val="2"/>
          </w:tcPr>
          <w:p w14:paraId="27CBBE91">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20</w:t>
            </w:r>
            <w:r>
              <w:rPr>
                <w:rFonts w:ascii="Arial" w:hAnsi="Arial" w:cs="Arial"/>
                <w:sz w:val="15"/>
                <w:szCs w:val="15"/>
                <w:lang w:val="en-GB"/>
              </w:rPr>
              <w:fldChar w:fldCharType="end"/>
            </w:r>
            <w:r>
              <w:rPr>
                <w:rFonts w:ascii="Arial" w:hAnsi="Arial" w:cs="Arial"/>
                <w:sz w:val="15"/>
                <w:szCs w:val="15"/>
                <w:lang w:val="en-GB"/>
              </w:rPr>
              <w:t>湖北•随县•乡镇垃圾管理中心</w:t>
            </w:r>
          </w:p>
          <w:p w14:paraId="4E5A92A6">
            <w:pPr>
              <w:adjustRightInd w:val="0"/>
              <w:snapToGrid w:val="0"/>
              <w:jc w:val="center"/>
              <w:rPr>
                <w:rFonts w:ascii="Arial" w:hAnsi="Arial" w:cs="Arial"/>
                <w:sz w:val="15"/>
                <w:szCs w:val="15"/>
                <w:lang w:val="en-GB"/>
              </w:rPr>
            </w:pPr>
            <w:r>
              <w:rPr>
                <w:rFonts w:ascii="Arial" w:hAnsi="Arial" w:cs="Arial"/>
                <w:sz w:val="15"/>
                <w:szCs w:val="15"/>
                <w:lang w:val="en-GB"/>
              </w:rPr>
              <w:t>（厨余垃圾处理车间、积分兑换物品等）</w:t>
            </w:r>
          </w:p>
        </w:tc>
      </w:tr>
      <w:tr w14:paraId="6B488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1" w:type="pct"/>
          </w:tcPr>
          <w:p w14:paraId="60A5E3FE">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488440" cy="11156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6" cstate="screen"/>
                          <a:stretch>
                            <a:fillRect/>
                          </a:stretch>
                        </pic:blipFill>
                        <pic:spPr>
                          <a:xfrm>
                            <a:off x="0" y="0"/>
                            <a:ext cx="1488583" cy="1116000"/>
                          </a:xfrm>
                          <a:prstGeom prst="rect">
                            <a:avLst/>
                          </a:prstGeom>
                        </pic:spPr>
                      </pic:pic>
                    </a:graphicData>
                  </a:graphic>
                </wp:inline>
              </w:drawing>
            </w:r>
          </w:p>
        </w:tc>
        <w:tc>
          <w:tcPr>
            <w:tcW w:w="1251" w:type="pct"/>
          </w:tcPr>
          <w:p w14:paraId="57287AE3">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383030" cy="1115695"/>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7" cstate="screen"/>
                          <a:srcRect/>
                          <a:stretch>
                            <a:fillRect/>
                          </a:stretch>
                        </pic:blipFill>
                        <pic:spPr>
                          <a:xfrm>
                            <a:off x="0" y="0"/>
                            <a:ext cx="1383268" cy="1116000"/>
                          </a:xfrm>
                          <a:prstGeom prst="rect">
                            <a:avLst/>
                          </a:prstGeom>
                          <a:ln>
                            <a:noFill/>
                          </a:ln>
                        </pic:spPr>
                      </pic:pic>
                    </a:graphicData>
                  </a:graphic>
                </wp:inline>
              </w:drawing>
            </w:r>
          </w:p>
        </w:tc>
        <w:tc>
          <w:tcPr>
            <w:tcW w:w="1250" w:type="pct"/>
          </w:tcPr>
          <w:p w14:paraId="46FF3AB8">
            <w:pPr>
              <w:adjustRightInd w:val="0"/>
              <w:snapToGrid w:val="0"/>
              <w:ind w:left="-106"/>
              <w:jc w:val="center"/>
              <w:rPr>
                <w:rFonts w:ascii="Arial" w:hAnsi="Arial" w:cs="Arial"/>
                <w:sz w:val="15"/>
                <w:szCs w:val="15"/>
                <w:lang w:val="en-GB"/>
              </w:rPr>
            </w:pPr>
            <w:r>
              <w:rPr>
                <w:rFonts w:ascii="Arial" w:hAnsi="Arial" w:cs="Arial"/>
                <w:sz w:val="15"/>
                <w:szCs w:val="15"/>
                <w:lang w:val="en-GB"/>
              </w:rPr>
              <w:drawing>
                <wp:inline distT="0" distB="0" distL="0" distR="0">
                  <wp:extent cx="1487805" cy="11150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8" cstate="screen"/>
                          <a:stretch>
                            <a:fillRect/>
                          </a:stretch>
                        </pic:blipFill>
                        <pic:spPr>
                          <a:xfrm>
                            <a:off x="0" y="0"/>
                            <a:ext cx="1488000" cy="1115562"/>
                          </a:xfrm>
                          <a:prstGeom prst="rect">
                            <a:avLst/>
                          </a:prstGeom>
                        </pic:spPr>
                      </pic:pic>
                    </a:graphicData>
                  </a:graphic>
                </wp:inline>
              </w:drawing>
            </w:r>
          </w:p>
        </w:tc>
        <w:tc>
          <w:tcPr>
            <w:tcW w:w="1248" w:type="pct"/>
          </w:tcPr>
          <w:p w14:paraId="487C8008">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487805" cy="1115060"/>
                  <wp:effectExtent l="0" t="0" r="0" b="8890"/>
                  <wp:docPr id="4" name="Picture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文本&#10;&#10;描述已自动生成"/>
                          <pic:cNvPicPr>
                            <a:picLocks noChangeAspect="1"/>
                          </pic:cNvPicPr>
                        </pic:nvPicPr>
                        <pic:blipFill>
                          <a:blip r:embed="rId49" cstate="screen"/>
                          <a:stretch>
                            <a:fillRect/>
                          </a:stretch>
                        </pic:blipFill>
                        <pic:spPr>
                          <a:xfrm>
                            <a:off x="0" y="0"/>
                            <a:ext cx="1488000" cy="1115128"/>
                          </a:xfrm>
                          <a:prstGeom prst="rect">
                            <a:avLst/>
                          </a:prstGeom>
                        </pic:spPr>
                      </pic:pic>
                    </a:graphicData>
                  </a:graphic>
                </wp:inline>
              </w:drawing>
            </w:r>
          </w:p>
        </w:tc>
      </w:tr>
      <w:tr w14:paraId="71A22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2" w:type="pct"/>
            <w:gridSpan w:val="2"/>
          </w:tcPr>
          <w:p w14:paraId="599FA94F">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21</w:t>
            </w:r>
            <w:r>
              <w:rPr>
                <w:rFonts w:ascii="Arial" w:hAnsi="Arial" w:cs="Arial"/>
                <w:sz w:val="15"/>
                <w:szCs w:val="15"/>
                <w:lang w:val="en-GB"/>
              </w:rPr>
              <w:fldChar w:fldCharType="end"/>
            </w:r>
            <w:r>
              <w:rPr>
                <w:rFonts w:ascii="Arial" w:hAnsi="Arial" w:cs="Arial"/>
                <w:sz w:val="15"/>
                <w:szCs w:val="15"/>
                <w:lang w:val="en-GB"/>
              </w:rPr>
              <w:t>湖南•衡南•垃圾焚烧发电厂（垃圾池、中控室）</w:t>
            </w:r>
          </w:p>
        </w:tc>
        <w:tc>
          <w:tcPr>
            <w:tcW w:w="2498" w:type="pct"/>
            <w:gridSpan w:val="2"/>
          </w:tcPr>
          <w:p w14:paraId="5D2F10BE">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22</w:t>
            </w:r>
            <w:r>
              <w:rPr>
                <w:rFonts w:ascii="Arial" w:hAnsi="Arial" w:cs="Arial"/>
                <w:sz w:val="15"/>
                <w:szCs w:val="15"/>
                <w:lang w:val="en-GB"/>
              </w:rPr>
              <w:fldChar w:fldCharType="end"/>
            </w:r>
            <w:r>
              <w:rPr>
                <w:rFonts w:ascii="Arial" w:hAnsi="Arial" w:cs="Arial"/>
                <w:sz w:val="15"/>
                <w:szCs w:val="15"/>
                <w:lang w:val="en-GB"/>
              </w:rPr>
              <w:t>湖北•洪湖•稻田化肥减量增效示范片区</w:t>
            </w:r>
          </w:p>
        </w:tc>
      </w:tr>
    </w:tbl>
    <w:p w14:paraId="750EDF38">
      <w:pPr>
        <w:pStyle w:val="11"/>
        <w:adjustRightInd w:val="0"/>
        <w:snapToGrid w:val="0"/>
        <w:rPr>
          <w:rFonts w:ascii="Arial" w:hAnsi="Arial" w:eastAsia="宋体" w:cs="Arial"/>
          <w:b/>
          <w:bCs/>
          <w:sz w:val="15"/>
          <w:szCs w:val="15"/>
        </w:rPr>
      </w:pPr>
    </w:p>
    <w:tbl>
      <w:tblPr>
        <w:tblStyle w:val="40"/>
        <w:tblW w:w="507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2"/>
        <w:gridCol w:w="2462"/>
        <w:gridCol w:w="2466"/>
        <w:gridCol w:w="2610"/>
      </w:tblGrid>
      <w:tr w14:paraId="2B747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31" w:type="pct"/>
          </w:tcPr>
          <w:p w14:paraId="56966A64">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75740" cy="1106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50" cstate="screen"/>
                          <a:stretch>
                            <a:fillRect/>
                          </a:stretch>
                        </pic:blipFill>
                        <pic:spPr>
                          <a:xfrm>
                            <a:off x="0" y="0"/>
                            <a:ext cx="1476000" cy="1106566"/>
                          </a:xfrm>
                          <a:prstGeom prst="rect">
                            <a:avLst/>
                          </a:prstGeom>
                        </pic:spPr>
                      </pic:pic>
                    </a:graphicData>
                  </a:graphic>
                </wp:inline>
              </w:drawing>
            </w:r>
          </w:p>
        </w:tc>
        <w:tc>
          <w:tcPr>
            <w:tcW w:w="1231" w:type="pct"/>
          </w:tcPr>
          <w:p w14:paraId="637C72B1">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74470" cy="11061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51" cstate="screen"/>
                          <a:stretch>
                            <a:fillRect/>
                          </a:stretch>
                        </pic:blipFill>
                        <pic:spPr>
                          <a:xfrm>
                            <a:off x="0" y="0"/>
                            <a:ext cx="1475102" cy="1106327"/>
                          </a:xfrm>
                          <a:prstGeom prst="rect">
                            <a:avLst/>
                          </a:prstGeom>
                        </pic:spPr>
                      </pic:pic>
                    </a:graphicData>
                  </a:graphic>
                </wp:inline>
              </w:drawing>
            </w:r>
          </w:p>
        </w:tc>
        <w:tc>
          <w:tcPr>
            <w:tcW w:w="1232" w:type="pct"/>
          </w:tcPr>
          <w:p w14:paraId="3848CD83">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474470" cy="1106170"/>
                  <wp:effectExtent l="0" t="0" r="0" b="0"/>
                  <wp:docPr id="34" name="Picture 34" descr="围栏后面有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围栏后面有树&#10;&#10;中度可信度描述已自动生成"/>
                          <pic:cNvPicPr>
                            <a:picLocks noChangeAspect="1"/>
                          </pic:cNvPicPr>
                        </pic:nvPicPr>
                        <pic:blipFill>
                          <a:blip r:embed="rId52" cstate="screen"/>
                          <a:stretch>
                            <a:fillRect/>
                          </a:stretch>
                        </pic:blipFill>
                        <pic:spPr>
                          <a:xfrm>
                            <a:off x="0" y="0"/>
                            <a:ext cx="1475102" cy="1106327"/>
                          </a:xfrm>
                          <a:prstGeom prst="rect">
                            <a:avLst/>
                          </a:prstGeom>
                        </pic:spPr>
                      </pic:pic>
                    </a:graphicData>
                  </a:graphic>
                </wp:inline>
              </w:drawing>
            </w:r>
          </w:p>
        </w:tc>
        <w:tc>
          <w:tcPr>
            <w:tcW w:w="1305" w:type="pct"/>
          </w:tcPr>
          <w:p w14:paraId="5C00F2EE">
            <w:pPr>
              <w:adjustRightInd w:val="0"/>
              <w:snapToGrid w:val="0"/>
              <w:rPr>
                <w:rFonts w:ascii="Arial" w:hAnsi="Arial" w:cs="Arial"/>
                <w:sz w:val="15"/>
                <w:szCs w:val="15"/>
                <w:lang w:val="en-GB"/>
              </w:rPr>
            </w:pPr>
            <w:r>
              <w:rPr>
                <w:rFonts w:ascii="Arial" w:hAnsi="Arial" w:cs="Arial"/>
                <w:sz w:val="15"/>
                <w:szCs w:val="15"/>
                <w:lang w:val="en-GB"/>
              </w:rPr>
              <w:drawing>
                <wp:inline distT="0" distB="0" distL="0" distR="0">
                  <wp:extent cx="1390650" cy="10420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53" cstate="screen"/>
                          <a:stretch>
                            <a:fillRect/>
                          </a:stretch>
                        </pic:blipFill>
                        <pic:spPr>
                          <a:xfrm>
                            <a:off x="0" y="0"/>
                            <a:ext cx="1390650" cy="1042578"/>
                          </a:xfrm>
                          <a:prstGeom prst="rect">
                            <a:avLst/>
                          </a:prstGeom>
                        </pic:spPr>
                      </pic:pic>
                    </a:graphicData>
                  </a:graphic>
                </wp:inline>
              </w:drawing>
            </w:r>
          </w:p>
        </w:tc>
      </w:tr>
      <w:tr w14:paraId="2FA3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5" w:type="pct"/>
            <w:gridSpan w:val="3"/>
          </w:tcPr>
          <w:p w14:paraId="2D9B676E">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23</w:t>
            </w:r>
            <w:r>
              <w:rPr>
                <w:rFonts w:ascii="Arial" w:hAnsi="Arial" w:cs="Arial"/>
                <w:sz w:val="15"/>
                <w:szCs w:val="15"/>
                <w:lang w:val="en-GB"/>
              </w:rPr>
              <w:fldChar w:fldCharType="end"/>
            </w:r>
            <w:r>
              <w:rPr>
                <w:rFonts w:ascii="Arial" w:hAnsi="Arial" w:cs="Arial"/>
                <w:sz w:val="15"/>
                <w:szCs w:val="15"/>
                <w:lang w:val="en-GB"/>
              </w:rPr>
              <w:t>湖北•洪湖•农村污水处理站（地埋设施、公示牌）</w:t>
            </w:r>
          </w:p>
        </w:tc>
        <w:tc>
          <w:tcPr>
            <w:tcW w:w="1305" w:type="pct"/>
          </w:tcPr>
          <w:p w14:paraId="3DDBADB2">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24</w:t>
            </w:r>
            <w:r>
              <w:rPr>
                <w:rFonts w:ascii="Arial" w:hAnsi="Arial" w:cs="Arial"/>
                <w:sz w:val="15"/>
                <w:szCs w:val="15"/>
                <w:lang w:val="en-GB"/>
              </w:rPr>
              <w:fldChar w:fldCharType="end"/>
            </w:r>
            <w:r>
              <w:rPr>
                <w:rFonts w:ascii="Arial" w:hAnsi="Arial" w:cs="Arial"/>
                <w:sz w:val="15"/>
                <w:szCs w:val="15"/>
                <w:lang w:val="en-GB"/>
              </w:rPr>
              <w:t>湖南•衡南•农村污水尾水湿地</w:t>
            </w:r>
          </w:p>
        </w:tc>
      </w:tr>
    </w:tbl>
    <w:p w14:paraId="2685CCB7">
      <w:pPr>
        <w:pStyle w:val="11"/>
        <w:adjustRightInd w:val="0"/>
        <w:snapToGrid w:val="0"/>
        <w:rPr>
          <w:rFonts w:ascii="Arial" w:hAnsi="Arial" w:eastAsia="宋体" w:cs="Arial"/>
          <w:b/>
          <w:bCs/>
          <w:sz w:val="15"/>
          <w:szCs w:val="15"/>
        </w:rPr>
      </w:pP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3"/>
        <w:gridCol w:w="2463"/>
        <w:gridCol w:w="2464"/>
        <w:gridCol w:w="2464"/>
      </w:tblGrid>
      <w:tr w14:paraId="34590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pct"/>
          </w:tcPr>
          <w:p w14:paraId="760B43E5">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433195" cy="10401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4" cstate="screen"/>
                          <a:srcRect/>
                          <a:stretch>
                            <a:fillRect/>
                          </a:stretch>
                        </pic:blipFill>
                        <pic:spPr>
                          <a:xfrm>
                            <a:off x="0" y="0"/>
                            <a:ext cx="1472132" cy="1068151"/>
                          </a:xfrm>
                          <a:prstGeom prst="rect">
                            <a:avLst/>
                          </a:prstGeom>
                          <a:ln>
                            <a:noFill/>
                          </a:ln>
                        </pic:spPr>
                      </pic:pic>
                    </a:graphicData>
                  </a:graphic>
                </wp:inline>
              </w:drawing>
            </w:r>
          </w:p>
        </w:tc>
        <w:tc>
          <w:tcPr>
            <w:tcW w:w="1250" w:type="pct"/>
          </w:tcPr>
          <w:p w14:paraId="2938A9F8">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391285" cy="10433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5" cstate="screen"/>
                          <a:stretch>
                            <a:fillRect/>
                          </a:stretch>
                        </pic:blipFill>
                        <pic:spPr>
                          <a:xfrm>
                            <a:off x="0" y="0"/>
                            <a:ext cx="1391285" cy="1043305"/>
                          </a:xfrm>
                          <a:prstGeom prst="rect">
                            <a:avLst/>
                          </a:prstGeom>
                        </pic:spPr>
                      </pic:pic>
                    </a:graphicData>
                  </a:graphic>
                </wp:inline>
              </w:drawing>
            </w:r>
          </w:p>
        </w:tc>
        <w:tc>
          <w:tcPr>
            <w:tcW w:w="1250" w:type="pct"/>
          </w:tcPr>
          <w:p w14:paraId="7DDD59A5">
            <w:pPr>
              <w:adjustRightInd w:val="0"/>
              <w:snapToGrid w:val="0"/>
              <w:ind w:left="-106"/>
              <w:jc w:val="center"/>
              <w:rPr>
                <w:rFonts w:ascii="Arial" w:hAnsi="Arial" w:cs="Arial"/>
                <w:sz w:val="15"/>
                <w:szCs w:val="15"/>
                <w:lang w:val="en-GB"/>
              </w:rPr>
            </w:pPr>
            <w:r>
              <w:rPr>
                <w:rFonts w:ascii="Arial" w:hAnsi="Arial" w:cs="Arial"/>
                <w:sz w:val="15"/>
                <w:szCs w:val="15"/>
                <w:lang w:val="en-GB"/>
              </w:rPr>
              <w:drawing>
                <wp:inline distT="0" distB="0" distL="0" distR="0">
                  <wp:extent cx="1390015" cy="1043305"/>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56" cstate="screen"/>
                          <a:stretch>
                            <a:fillRect/>
                          </a:stretch>
                        </pic:blipFill>
                        <pic:spPr>
                          <a:xfrm>
                            <a:off x="0" y="0"/>
                            <a:ext cx="1390529" cy="1043305"/>
                          </a:xfrm>
                          <a:prstGeom prst="rect">
                            <a:avLst/>
                          </a:prstGeom>
                        </pic:spPr>
                      </pic:pic>
                    </a:graphicData>
                  </a:graphic>
                </wp:inline>
              </w:drawing>
            </w:r>
          </w:p>
        </w:tc>
        <w:tc>
          <w:tcPr>
            <w:tcW w:w="1250" w:type="pct"/>
          </w:tcPr>
          <w:p w14:paraId="2FC504E1">
            <w:pPr>
              <w:adjustRightInd w:val="0"/>
              <w:snapToGrid w:val="0"/>
              <w:jc w:val="center"/>
              <w:rPr>
                <w:rFonts w:ascii="Arial" w:hAnsi="Arial" w:cs="Arial"/>
                <w:sz w:val="15"/>
                <w:szCs w:val="15"/>
                <w:lang w:val="en-GB"/>
              </w:rPr>
            </w:pPr>
            <w:r>
              <w:rPr>
                <w:rFonts w:ascii="Arial" w:hAnsi="Arial" w:cs="Arial"/>
                <w:sz w:val="15"/>
                <w:szCs w:val="15"/>
                <w:lang w:val="en-GB"/>
              </w:rPr>
              <w:drawing>
                <wp:inline distT="0" distB="0" distL="0" distR="0">
                  <wp:extent cx="1390015" cy="1043305"/>
                  <wp:effectExtent l="0" t="0" r="63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7" cstate="screen"/>
                          <a:stretch>
                            <a:fillRect/>
                          </a:stretch>
                        </pic:blipFill>
                        <pic:spPr>
                          <a:xfrm>
                            <a:off x="0" y="0"/>
                            <a:ext cx="1390529" cy="1043305"/>
                          </a:xfrm>
                          <a:prstGeom prst="rect">
                            <a:avLst/>
                          </a:prstGeom>
                        </pic:spPr>
                      </pic:pic>
                    </a:graphicData>
                  </a:graphic>
                </wp:inline>
              </w:drawing>
            </w:r>
          </w:p>
        </w:tc>
      </w:tr>
      <w:tr w14:paraId="52F2E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99" w:type="pct"/>
            <w:gridSpan w:val="2"/>
          </w:tcPr>
          <w:p w14:paraId="55ADD6A5">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25</w:t>
            </w:r>
            <w:r>
              <w:rPr>
                <w:rFonts w:ascii="Arial" w:hAnsi="Arial" w:cs="Arial"/>
                <w:sz w:val="15"/>
                <w:szCs w:val="15"/>
                <w:lang w:val="en-GB"/>
              </w:rPr>
              <w:fldChar w:fldCharType="end"/>
            </w:r>
            <w:r>
              <w:rPr>
                <w:rFonts w:ascii="Arial" w:hAnsi="Arial" w:cs="Arial"/>
                <w:sz w:val="15"/>
                <w:szCs w:val="15"/>
                <w:lang w:val="en-GB"/>
              </w:rPr>
              <w:t xml:space="preserve"> 湖南•慈利•秸秆资源化利用（饲草、生物质燃料）</w:t>
            </w:r>
          </w:p>
        </w:tc>
        <w:tc>
          <w:tcPr>
            <w:tcW w:w="2501" w:type="pct"/>
            <w:gridSpan w:val="2"/>
          </w:tcPr>
          <w:p w14:paraId="09105754">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26</w:t>
            </w:r>
            <w:r>
              <w:rPr>
                <w:rFonts w:ascii="Arial" w:hAnsi="Arial" w:cs="Arial"/>
                <w:sz w:val="15"/>
                <w:szCs w:val="15"/>
                <w:lang w:val="en-GB"/>
              </w:rPr>
              <w:fldChar w:fldCharType="end"/>
            </w:r>
            <w:r>
              <w:rPr>
                <w:rFonts w:ascii="Arial" w:hAnsi="Arial" w:cs="Arial"/>
                <w:sz w:val="15"/>
                <w:szCs w:val="15"/>
                <w:lang w:val="en-GB"/>
              </w:rPr>
              <w:t xml:space="preserve"> 湖北•随县•秸秆资源化利用（饲草）</w:t>
            </w:r>
          </w:p>
        </w:tc>
      </w:tr>
    </w:tbl>
    <w:p w14:paraId="4C9806D0">
      <w:pPr>
        <w:pStyle w:val="11"/>
        <w:adjustRightInd w:val="0"/>
        <w:snapToGrid w:val="0"/>
        <w:rPr>
          <w:rFonts w:ascii="Arial" w:hAnsi="Arial" w:eastAsia="宋体" w:cs="Arial"/>
          <w:b/>
          <w:bCs/>
          <w:sz w:val="15"/>
          <w:szCs w:val="15"/>
        </w:rPr>
      </w:pPr>
    </w:p>
    <w:tbl>
      <w:tblPr>
        <w:tblStyle w:val="4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28" w:type="dxa"/>
          <w:bottom w:w="0" w:type="dxa"/>
          <w:right w:w="28" w:type="dxa"/>
        </w:tblCellMar>
      </w:tblPr>
      <w:tblGrid>
        <w:gridCol w:w="2948"/>
        <w:gridCol w:w="2576"/>
        <w:gridCol w:w="283"/>
        <w:gridCol w:w="3821"/>
      </w:tblGrid>
      <w:tr w14:paraId="41C7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7F4A4382">
            <w:pPr>
              <w:adjustRightInd w:val="0"/>
              <w:snapToGrid w:val="0"/>
              <w:jc w:val="center"/>
              <w:rPr>
                <w:rFonts w:ascii="Arial" w:hAnsi="Arial" w:cs="Arial"/>
                <w:sz w:val="15"/>
                <w:szCs w:val="15"/>
              </w:rPr>
            </w:pPr>
            <w:r>
              <w:rPr>
                <w:rFonts w:ascii="Arial" w:hAnsi="Arial" w:cs="Arial"/>
                <w:sz w:val="15"/>
                <w:szCs w:val="15"/>
              </w:rPr>
              <w:drawing>
                <wp:inline distT="0" distB="0" distL="0" distR="0">
                  <wp:extent cx="1348740" cy="1799590"/>
                  <wp:effectExtent l="0" t="0" r="0" b="38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58" cstate="screen">
                            <a:extLst>
                              <a:ext uri="{BEBA8EAE-BF5A-486C-A8C5-ECC9F3942E4B}">
                                <a14:imgProps xmlns:a14="http://schemas.microsoft.com/office/drawing/2010/main">
                                  <a14:imgLayer r:embed="rId59">
                                    <a14:imgEffect>
                                      <a14:brightnessContrast bright="20000" contrast="20000"/>
                                    </a14:imgEffect>
                                  </a14:imgLayer>
                                </a14:imgProps>
                              </a:ext>
                            </a:extLst>
                          </a:blip>
                          <a:srcRect/>
                          <a:stretch>
                            <a:fillRect/>
                          </a:stretch>
                        </pic:blipFill>
                        <pic:spPr>
                          <a:xfrm>
                            <a:off x="0" y="0"/>
                            <a:ext cx="1349125" cy="1800000"/>
                          </a:xfrm>
                          <a:prstGeom prst="rect">
                            <a:avLst/>
                          </a:prstGeom>
                          <a:noFill/>
                          <a:ln>
                            <a:noFill/>
                          </a:ln>
                        </pic:spPr>
                      </pic:pic>
                    </a:graphicData>
                  </a:graphic>
                </wp:inline>
              </w:drawing>
            </w:r>
          </w:p>
        </w:tc>
        <w:tc>
          <w:tcPr>
            <w:tcW w:w="2576" w:type="dxa"/>
          </w:tcPr>
          <w:p w14:paraId="5F0CCC48">
            <w:pPr>
              <w:adjustRightInd w:val="0"/>
              <w:snapToGrid w:val="0"/>
              <w:jc w:val="right"/>
              <w:rPr>
                <w:rFonts w:ascii="Arial" w:hAnsi="Arial" w:cs="Arial"/>
                <w:sz w:val="15"/>
                <w:szCs w:val="15"/>
              </w:rPr>
            </w:pPr>
            <w:r>
              <w:rPr>
                <w:rFonts w:ascii="Arial" w:hAnsi="Arial" w:cs="Arial"/>
                <w:sz w:val="15"/>
                <w:szCs w:val="15"/>
              </w:rPr>
              <w:drawing>
                <wp:inline distT="0" distB="0" distL="0" distR="0">
                  <wp:extent cx="1348740" cy="17995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60" cstate="screen"/>
                          <a:srcRect/>
                          <a:stretch>
                            <a:fillRect/>
                          </a:stretch>
                        </pic:blipFill>
                        <pic:spPr>
                          <a:xfrm>
                            <a:off x="0" y="0"/>
                            <a:ext cx="1349125" cy="1800000"/>
                          </a:xfrm>
                          <a:prstGeom prst="rect">
                            <a:avLst/>
                          </a:prstGeom>
                          <a:noFill/>
                          <a:ln>
                            <a:noFill/>
                          </a:ln>
                        </pic:spPr>
                      </pic:pic>
                    </a:graphicData>
                  </a:graphic>
                </wp:inline>
              </w:drawing>
            </w:r>
          </w:p>
        </w:tc>
        <w:tc>
          <w:tcPr>
            <w:tcW w:w="4104" w:type="dxa"/>
            <w:gridSpan w:val="2"/>
          </w:tcPr>
          <w:p w14:paraId="0905E251">
            <w:pPr>
              <w:adjustRightInd w:val="0"/>
              <w:snapToGrid w:val="0"/>
              <w:jc w:val="center"/>
              <w:rPr>
                <w:rFonts w:ascii="Arial" w:hAnsi="Arial" w:cs="Arial"/>
                <w:sz w:val="15"/>
                <w:szCs w:val="15"/>
              </w:rPr>
            </w:pPr>
            <w:r>
              <w:rPr>
                <w:rFonts w:ascii="Arial" w:hAnsi="Arial" w:cs="Arial"/>
                <w:sz w:val="15"/>
                <w:szCs w:val="15"/>
              </w:rPr>
              <w:drawing>
                <wp:inline distT="0" distB="0" distL="0" distR="0">
                  <wp:extent cx="1348740" cy="1799590"/>
                  <wp:effectExtent l="0" t="0" r="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61" cstate="screen"/>
                          <a:srcRect/>
                          <a:stretch>
                            <a:fillRect/>
                          </a:stretch>
                        </pic:blipFill>
                        <pic:spPr>
                          <a:xfrm>
                            <a:off x="0" y="0"/>
                            <a:ext cx="1349125" cy="1800000"/>
                          </a:xfrm>
                          <a:prstGeom prst="rect">
                            <a:avLst/>
                          </a:prstGeom>
                          <a:noFill/>
                          <a:ln>
                            <a:noFill/>
                          </a:ln>
                        </pic:spPr>
                      </pic:pic>
                    </a:graphicData>
                  </a:graphic>
                </wp:inline>
              </w:drawing>
            </w:r>
          </w:p>
        </w:tc>
      </w:tr>
      <w:tr w14:paraId="1166F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2E520104">
            <w:pPr>
              <w:adjustRightInd w:val="0"/>
              <w:snapToGrid w:val="0"/>
              <w:jc w:val="center"/>
              <w:rPr>
                <w:rFonts w:ascii="Arial" w:hAnsi="Arial" w:cs="Arial"/>
                <w:sz w:val="15"/>
                <w:szCs w:val="15"/>
                <w:lang w:val="en-GB"/>
              </w:rPr>
            </w:pPr>
            <w:bookmarkStart w:id="772" w:name="_Ref114588649"/>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27</w:t>
            </w:r>
            <w:r>
              <w:rPr>
                <w:rFonts w:ascii="Arial" w:hAnsi="Arial" w:cs="Arial"/>
                <w:sz w:val="15"/>
                <w:szCs w:val="15"/>
                <w:lang w:val="en-GB"/>
              </w:rPr>
              <w:fldChar w:fldCharType="end"/>
            </w:r>
            <w:bookmarkEnd w:id="772"/>
            <w:r>
              <w:rPr>
                <w:rFonts w:ascii="Arial" w:hAnsi="Arial" w:cs="Arial"/>
                <w:sz w:val="15"/>
                <w:szCs w:val="15"/>
                <w:lang w:val="en-GB"/>
              </w:rPr>
              <w:t>湖北省随县天夏农业科技专业合作社农作物秸秆收集村级合作协议（样本）</w:t>
            </w:r>
          </w:p>
        </w:tc>
        <w:tc>
          <w:tcPr>
            <w:tcW w:w="6680" w:type="dxa"/>
            <w:gridSpan w:val="3"/>
          </w:tcPr>
          <w:p w14:paraId="1AFDB073">
            <w:pPr>
              <w:adjustRightInd w:val="0"/>
              <w:snapToGrid w:val="0"/>
              <w:jc w:val="center"/>
              <w:rPr>
                <w:rFonts w:ascii="Arial" w:hAnsi="Arial" w:cs="Arial"/>
                <w:sz w:val="15"/>
                <w:szCs w:val="15"/>
                <w:lang w:val="en-GB"/>
              </w:rPr>
            </w:pPr>
            <w:bookmarkStart w:id="773" w:name="_Ref114588682"/>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28</w:t>
            </w:r>
            <w:r>
              <w:rPr>
                <w:rFonts w:ascii="Arial" w:hAnsi="Arial" w:cs="Arial"/>
                <w:sz w:val="15"/>
                <w:szCs w:val="15"/>
                <w:lang w:val="en-GB"/>
              </w:rPr>
              <w:fldChar w:fldCharType="end"/>
            </w:r>
            <w:bookmarkEnd w:id="773"/>
            <w:r>
              <w:rPr>
                <w:rFonts w:ascii="Arial" w:hAnsi="Arial" w:cs="Arial"/>
                <w:sz w:val="15"/>
                <w:szCs w:val="15"/>
                <w:lang w:val="en-GB"/>
              </w:rPr>
              <w:t>湖北省随县安居镇垃圾分类和回收利用设施和社区居民积分记录</w:t>
            </w:r>
          </w:p>
        </w:tc>
      </w:tr>
      <w:tr w14:paraId="2B81C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35F3AB3B">
            <w:pPr>
              <w:adjustRightInd w:val="0"/>
              <w:snapToGrid w:val="0"/>
              <w:jc w:val="center"/>
              <w:rPr>
                <w:rFonts w:ascii="Arial" w:hAnsi="Arial" w:cs="Arial"/>
                <w:sz w:val="15"/>
                <w:szCs w:val="15"/>
              </w:rPr>
            </w:pPr>
            <w:r>
              <w:rPr>
                <w:rFonts w:ascii="Arial" w:hAnsi="Arial" w:cs="Arial"/>
                <w:sz w:val="15"/>
                <w:szCs w:val="15"/>
              </w:rPr>
              <w:drawing>
                <wp:inline distT="0" distB="0" distL="0" distR="0">
                  <wp:extent cx="1372870" cy="9144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62" cstate="screen"/>
                          <a:srcRect/>
                          <a:stretch>
                            <a:fillRect/>
                          </a:stretch>
                        </pic:blipFill>
                        <pic:spPr>
                          <a:xfrm>
                            <a:off x="0" y="0"/>
                            <a:ext cx="1422359" cy="947064"/>
                          </a:xfrm>
                          <a:prstGeom prst="rect">
                            <a:avLst/>
                          </a:prstGeom>
                          <a:noFill/>
                          <a:ln>
                            <a:noFill/>
                          </a:ln>
                        </pic:spPr>
                      </pic:pic>
                    </a:graphicData>
                  </a:graphic>
                </wp:inline>
              </w:drawing>
            </w:r>
            <w:r>
              <w:rPr>
                <w:rFonts w:ascii="Arial" w:hAnsi="Arial" w:cs="Arial"/>
                <w:sz w:val="15"/>
                <w:szCs w:val="15"/>
              </w:rPr>
              <w:drawing>
                <wp:inline distT="0" distB="0" distL="0" distR="0">
                  <wp:extent cx="1394460" cy="9207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63" cstate="screen"/>
                          <a:srcRect/>
                          <a:stretch>
                            <a:fillRect/>
                          </a:stretch>
                        </pic:blipFill>
                        <pic:spPr>
                          <a:xfrm>
                            <a:off x="0" y="0"/>
                            <a:ext cx="1412143" cy="932426"/>
                          </a:xfrm>
                          <a:prstGeom prst="rect">
                            <a:avLst/>
                          </a:prstGeom>
                          <a:noFill/>
                          <a:ln>
                            <a:noFill/>
                          </a:ln>
                        </pic:spPr>
                      </pic:pic>
                    </a:graphicData>
                  </a:graphic>
                </wp:inline>
              </w:drawing>
            </w:r>
          </w:p>
        </w:tc>
        <w:tc>
          <w:tcPr>
            <w:tcW w:w="2859" w:type="dxa"/>
            <w:gridSpan w:val="2"/>
          </w:tcPr>
          <w:p w14:paraId="5FFCBEE3">
            <w:pPr>
              <w:adjustRightInd w:val="0"/>
              <w:snapToGrid w:val="0"/>
              <w:jc w:val="center"/>
              <w:rPr>
                <w:rFonts w:ascii="Arial" w:hAnsi="Arial" w:cs="Arial"/>
                <w:sz w:val="15"/>
                <w:szCs w:val="15"/>
              </w:rPr>
            </w:pPr>
            <w:r>
              <w:rPr>
                <w:rFonts w:ascii="Arial" w:hAnsi="Arial" w:cs="Arial"/>
                <w:sz w:val="15"/>
                <w:szCs w:val="15"/>
              </w:rPr>
              <w:drawing>
                <wp:inline distT="0" distB="0" distL="0" distR="0">
                  <wp:extent cx="1491615" cy="18351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64" cstate="screen"/>
                          <a:srcRect/>
                          <a:stretch>
                            <a:fillRect/>
                          </a:stretch>
                        </pic:blipFill>
                        <pic:spPr>
                          <a:xfrm>
                            <a:off x="0" y="0"/>
                            <a:ext cx="1497485" cy="1842372"/>
                          </a:xfrm>
                          <a:prstGeom prst="rect">
                            <a:avLst/>
                          </a:prstGeom>
                          <a:noFill/>
                          <a:ln>
                            <a:noFill/>
                          </a:ln>
                        </pic:spPr>
                      </pic:pic>
                    </a:graphicData>
                  </a:graphic>
                </wp:inline>
              </w:drawing>
            </w:r>
          </w:p>
        </w:tc>
        <w:tc>
          <w:tcPr>
            <w:tcW w:w="3821" w:type="dxa"/>
          </w:tcPr>
          <w:p w14:paraId="7E33FD1A">
            <w:pPr>
              <w:adjustRightInd w:val="0"/>
              <w:snapToGrid w:val="0"/>
              <w:jc w:val="center"/>
              <w:rPr>
                <w:rFonts w:ascii="Arial" w:hAnsi="Arial" w:cs="Arial"/>
                <w:sz w:val="15"/>
                <w:szCs w:val="15"/>
              </w:rPr>
            </w:pPr>
            <w:r>
              <w:rPr>
                <w:rFonts w:ascii="Arial" w:hAnsi="Arial" w:cs="Arial"/>
                <w:sz w:val="15"/>
                <w:szCs w:val="15"/>
              </w:rPr>
              <w:drawing>
                <wp:inline distT="0" distB="0" distL="0" distR="0">
                  <wp:extent cx="1844040" cy="1382395"/>
                  <wp:effectExtent l="2222" t="0" r="6033" b="6032"/>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65" cstate="screen"/>
                          <a:srcRect/>
                          <a:stretch>
                            <a:fillRect/>
                          </a:stretch>
                        </pic:blipFill>
                        <pic:spPr>
                          <a:xfrm rot="16200000">
                            <a:off x="0" y="0"/>
                            <a:ext cx="1848885" cy="1386047"/>
                          </a:xfrm>
                          <a:prstGeom prst="rect">
                            <a:avLst/>
                          </a:prstGeom>
                          <a:noFill/>
                          <a:ln>
                            <a:noFill/>
                          </a:ln>
                        </pic:spPr>
                      </pic:pic>
                    </a:graphicData>
                  </a:graphic>
                </wp:inline>
              </w:drawing>
            </w:r>
          </w:p>
        </w:tc>
      </w:tr>
      <w:tr w14:paraId="0A89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2D5D4E00">
            <w:pPr>
              <w:adjustRightInd w:val="0"/>
              <w:snapToGrid w:val="0"/>
              <w:jc w:val="center"/>
              <w:rPr>
                <w:rFonts w:ascii="Arial" w:hAnsi="Arial" w:cs="Arial"/>
                <w:sz w:val="15"/>
                <w:szCs w:val="15"/>
                <w:lang w:val="en-GB"/>
              </w:rPr>
            </w:pPr>
            <w:bookmarkStart w:id="774" w:name="_Ref114588689"/>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29</w:t>
            </w:r>
            <w:r>
              <w:rPr>
                <w:rFonts w:ascii="Arial" w:hAnsi="Arial" w:cs="Arial"/>
                <w:sz w:val="15"/>
                <w:szCs w:val="15"/>
                <w:lang w:val="en-GB"/>
              </w:rPr>
              <w:fldChar w:fldCharType="end"/>
            </w:r>
            <w:bookmarkEnd w:id="774"/>
            <w:r>
              <w:rPr>
                <w:rFonts w:ascii="Arial" w:hAnsi="Arial" w:cs="Arial"/>
                <w:sz w:val="15"/>
                <w:szCs w:val="15"/>
                <w:lang w:val="en-GB"/>
              </w:rPr>
              <w:t>湖南省澧县沈南村垃圾分类和回收利用设施和社区居民积分记录、可兑换的物品</w:t>
            </w:r>
          </w:p>
        </w:tc>
        <w:tc>
          <w:tcPr>
            <w:tcW w:w="6680" w:type="dxa"/>
            <w:gridSpan w:val="3"/>
          </w:tcPr>
          <w:p w14:paraId="6F86341B">
            <w:pPr>
              <w:adjustRightInd w:val="0"/>
              <w:snapToGrid w:val="0"/>
              <w:jc w:val="center"/>
              <w:rPr>
                <w:rFonts w:ascii="Arial" w:hAnsi="Arial" w:cs="Arial"/>
                <w:sz w:val="15"/>
                <w:szCs w:val="15"/>
                <w:lang w:val="en-GB"/>
              </w:rPr>
            </w:pPr>
            <w:bookmarkStart w:id="775" w:name="_Ref114588728"/>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30</w:t>
            </w:r>
            <w:r>
              <w:rPr>
                <w:rFonts w:ascii="Arial" w:hAnsi="Arial" w:cs="Arial"/>
                <w:sz w:val="15"/>
                <w:szCs w:val="15"/>
                <w:lang w:val="en-GB"/>
              </w:rPr>
              <w:fldChar w:fldCharType="end"/>
            </w:r>
            <w:bookmarkEnd w:id="775"/>
            <w:r>
              <w:rPr>
                <w:rFonts w:ascii="Arial" w:hAnsi="Arial" w:cs="Arial"/>
                <w:sz w:val="15"/>
                <w:szCs w:val="15"/>
                <w:lang w:val="en-GB"/>
              </w:rPr>
              <w:t>湖北省随县天夏农业科技专业合作社的秸秆回收处理设施的设施农业用地备案表</w:t>
            </w:r>
          </w:p>
        </w:tc>
      </w:tr>
      <w:tr w14:paraId="64EB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69986B86">
            <w:pPr>
              <w:adjustRightInd w:val="0"/>
              <w:snapToGrid w:val="0"/>
              <w:rPr>
                <w:rFonts w:ascii="Arial" w:hAnsi="Arial" w:cs="Arial"/>
                <w:sz w:val="15"/>
                <w:szCs w:val="15"/>
              </w:rPr>
            </w:pPr>
            <w:r>
              <w:rPr>
                <w:rFonts w:ascii="Arial" w:hAnsi="Arial" w:cs="Arial"/>
                <w:sz w:val="15"/>
                <w:szCs w:val="15"/>
              </w:rPr>
              <w:drawing>
                <wp:anchor distT="0" distB="0" distL="114300" distR="114300" simplePos="0" relativeHeight="251660288" behindDoc="0" locked="0" layoutInCell="1" allowOverlap="1">
                  <wp:simplePos x="0" y="0"/>
                  <wp:positionH relativeFrom="column">
                    <wp:posOffset>375920</wp:posOffset>
                  </wp:positionH>
                  <wp:positionV relativeFrom="paragraph">
                    <wp:posOffset>0</wp:posOffset>
                  </wp:positionV>
                  <wp:extent cx="1151255" cy="1583690"/>
                  <wp:effectExtent l="0" t="0" r="4445" b="3810"/>
                  <wp:wrapTopAndBottom/>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66" cstate="screen"/>
                          <a:srcRect/>
                          <a:stretch>
                            <a:fillRect/>
                          </a:stretch>
                        </pic:blipFill>
                        <pic:spPr>
                          <a:xfrm rot="10800000">
                            <a:off x="0" y="0"/>
                            <a:ext cx="1151255" cy="1583690"/>
                          </a:xfrm>
                          <a:prstGeom prst="rect">
                            <a:avLst/>
                          </a:prstGeom>
                          <a:noFill/>
                          <a:ln>
                            <a:noFill/>
                          </a:ln>
                        </pic:spPr>
                      </pic:pic>
                    </a:graphicData>
                  </a:graphic>
                </wp:anchor>
              </w:drawing>
            </w:r>
          </w:p>
        </w:tc>
        <w:tc>
          <w:tcPr>
            <w:tcW w:w="2859" w:type="dxa"/>
            <w:gridSpan w:val="2"/>
          </w:tcPr>
          <w:p w14:paraId="1761DE3B">
            <w:pPr>
              <w:adjustRightInd w:val="0"/>
              <w:snapToGrid w:val="0"/>
              <w:rPr>
                <w:rFonts w:ascii="Arial" w:hAnsi="Arial" w:cs="Arial"/>
                <w:sz w:val="15"/>
                <w:szCs w:val="15"/>
              </w:rPr>
            </w:pPr>
            <w:r>
              <w:rPr>
                <w:rFonts w:ascii="Arial" w:hAnsi="Arial" w:cs="Arial"/>
                <w:sz w:val="15"/>
                <w:szCs w:val="15"/>
              </w:rPr>
              <w:drawing>
                <wp:inline distT="0" distB="0" distL="0" distR="0">
                  <wp:extent cx="1583055" cy="167703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7" cstate="screen"/>
                          <a:stretch>
                            <a:fillRect/>
                          </a:stretch>
                        </pic:blipFill>
                        <pic:spPr>
                          <a:xfrm>
                            <a:off x="0" y="0"/>
                            <a:ext cx="1612828" cy="1709049"/>
                          </a:xfrm>
                          <a:prstGeom prst="rect">
                            <a:avLst/>
                          </a:prstGeom>
                        </pic:spPr>
                      </pic:pic>
                    </a:graphicData>
                  </a:graphic>
                </wp:inline>
              </w:drawing>
            </w:r>
          </w:p>
        </w:tc>
        <w:tc>
          <w:tcPr>
            <w:tcW w:w="3821" w:type="dxa"/>
          </w:tcPr>
          <w:p w14:paraId="20973C27">
            <w:pPr>
              <w:adjustRightInd w:val="0"/>
              <w:snapToGrid w:val="0"/>
              <w:rPr>
                <w:rFonts w:ascii="Arial" w:hAnsi="Arial" w:cs="Arial"/>
                <w:sz w:val="15"/>
                <w:szCs w:val="15"/>
              </w:rPr>
            </w:pPr>
            <w:r>
              <w:rPr>
                <w:rFonts w:ascii="Arial" w:hAnsi="Arial" w:cs="Arial"/>
                <w:sz w:val="15"/>
                <w:szCs w:val="15"/>
              </w:rPr>
              <w:drawing>
                <wp:inline distT="0" distB="0" distL="0" distR="0">
                  <wp:extent cx="1170940" cy="143002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68" cstate="screen"/>
                          <a:stretch>
                            <a:fillRect/>
                          </a:stretch>
                        </pic:blipFill>
                        <pic:spPr>
                          <a:xfrm>
                            <a:off x="0" y="0"/>
                            <a:ext cx="1193184" cy="1457001"/>
                          </a:xfrm>
                          <a:prstGeom prst="rect">
                            <a:avLst/>
                          </a:prstGeom>
                        </pic:spPr>
                      </pic:pic>
                    </a:graphicData>
                  </a:graphic>
                </wp:inline>
              </w:drawing>
            </w:r>
            <w:r>
              <w:rPr>
                <w:rFonts w:ascii="Arial" w:hAnsi="Arial" w:cs="Arial"/>
                <w:sz w:val="15"/>
                <w:szCs w:val="15"/>
              </w:rPr>
              <w:drawing>
                <wp:inline distT="0" distB="0" distL="0" distR="0">
                  <wp:extent cx="1102360" cy="132969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9" cstate="screen"/>
                          <a:stretch>
                            <a:fillRect/>
                          </a:stretch>
                        </pic:blipFill>
                        <pic:spPr>
                          <a:xfrm>
                            <a:off x="0" y="0"/>
                            <a:ext cx="1124534" cy="1355904"/>
                          </a:xfrm>
                          <a:prstGeom prst="rect">
                            <a:avLst/>
                          </a:prstGeom>
                        </pic:spPr>
                      </pic:pic>
                    </a:graphicData>
                  </a:graphic>
                </wp:inline>
              </w:drawing>
            </w:r>
          </w:p>
        </w:tc>
      </w:tr>
      <w:tr w14:paraId="64888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33BF046A">
            <w:pPr>
              <w:adjustRightInd w:val="0"/>
              <w:snapToGrid w:val="0"/>
              <w:jc w:val="center"/>
              <w:rPr>
                <w:rFonts w:ascii="Arial" w:hAnsi="Arial" w:cs="Arial"/>
                <w:sz w:val="15"/>
                <w:szCs w:val="15"/>
                <w:lang w:val="en-GB"/>
              </w:rPr>
            </w:pPr>
            <w:bookmarkStart w:id="776" w:name="_Ref114588740"/>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31</w:t>
            </w:r>
            <w:r>
              <w:rPr>
                <w:rFonts w:ascii="Arial" w:hAnsi="Arial" w:cs="Arial"/>
                <w:sz w:val="15"/>
                <w:szCs w:val="15"/>
                <w:lang w:val="en-GB"/>
              </w:rPr>
              <w:fldChar w:fldCharType="end"/>
            </w:r>
            <w:bookmarkEnd w:id="776"/>
            <w:r>
              <w:rPr>
                <w:rFonts w:ascii="Arial" w:hAnsi="Arial" w:cs="Arial"/>
                <w:sz w:val="15"/>
                <w:szCs w:val="15"/>
                <w:lang w:val="en-GB"/>
              </w:rPr>
              <w:t>是澧县文物局就一项农村能源项目的选址意见</w:t>
            </w:r>
          </w:p>
        </w:tc>
        <w:tc>
          <w:tcPr>
            <w:tcW w:w="2859" w:type="dxa"/>
            <w:gridSpan w:val="2"/>
          </w:tcPr>
          <w:p w14:paraId="42193691">
            <w:pPr>
              <w:adjustRightInd w:val="0"/>
              <w:snapToGrid w:val="0"/>
              <w:jc w:val="center"/>
              <w:rPr>
                <w:rFonts w:ascii="Arial" w:hAnsi="Arial" w:cs="Arial"/>
                <w:sz w:val="15"/>
                <w:szCs w:val="15"/>
                <w:lang w:val="en-GB"/>
              </w:rPr>
            </w:pPr>
            <w:bookmarkStart w:id="777" w:name="_Ref114588886"/>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32</w:t>
            </w:r>
            <w:r>
              <w:rPr>
                <w:rFonts w:ascii="Arial" w:hAnsi="Arial" w:cs="Arial"/>
                <w:sz w:val="15"/>
                <w:szCs w:val="15"/>
                <w:lang w:val="en-GB"/>
              </w:rPr>
              <w:fldChar w:fldCharType="end"/>
            </w:r>
            <w:bookmarkEnd w:id="777"/>
            <w:r>
              <w:rPr>
                <w:rFonts w:ascii="Arial" w:hAnsi="Arial" w:cs="Arial"/>
                <w:sz w:val="15"/>
                <w:szCs w:val="15"/>
                <w:lang w:val="en-GB"/>
              </w:rPr>
              <w:t>湖南省慈利县江垭镇垃圾转运站选址请示</w:t>
            </w:r>
          </w:p>
        </w:tc>
        <w:tc>
          <w:tcPr>
            <w:tcW w:w="3821" w:type="dxa"/>
          </w:tcPr>
          <w:p w14:paraId="5C4F2D45">
            <w:pPr>
              <w:adjustRightInd w:val="0"/>
              <w:snapToGrid w:val="0"/>
              <w:jc w:val="center"/>
              <w:rPr>
                <w:rFonts w:ascii="Arial" w:hAnsi="Arial" w:cs="Arial"/>
                <w:sz w:val="15"/>
                <w:szCs w:val="15"/>
                <w:lang w:val="en-GB"/>
              </w:rPr>
            </w:pPr>
            <w:bookmarkStart w:id="778" w:name="_Ref114588889"/>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33</w:t>
            </w:r>
            <w:r>
              <w:rPr>
                <w:rFonts w:ascii="Arial" w:hAnsi="Arial" w:cs="Arial"/>
                <w:sz w:val="15"/>
                <w:szCs w:val="15"/>
                <w:lang w:val="en-GB"/>
              </w:rPr>
              <w:fldChar w:fldCharType="end"/>
            </w:r>
            <w:bookmarkEnd w:id="778"/>
            <w:r>
              <w:rPr>
                <w:rFonts w:ascii="Arial" w:hAnsi="Arial" w:cs="Arial"/>
                <w:sz w:val="15"/>
                <w:szCs w:val="15"/>
                <w:lang w:val="en-GB"/>
              </w:rPr>
              <w:t xml:space="preserve"> 湖南省慈利县江垭镇垃圾转运站的土地预审意见</w:t>
            </w:r>
          </w:p>
        </w:tc>
      </w:tr>
      <w:tr w14:paraId="09885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6589B62B">
            <w:pPr>
              <w:adjustRightInd w:val="0"/>
              <w:snapToGrid w:val="0"/>
              <w:jc w:val="center"/>
              <w:rPr>
                <w:rFonts w:ascii="Arial" w:hAnsi="Arial" w:cs="Arial"/>
                <w:sz w:val="15"/>
                <w:szCs w:val="15"/>
              </w:rPr>
            </w:pPr>
            <w:r>
              <w:rPr>
                <w:rFonts w:ascii="Arial" w:hAnsi="Arial" w:cs="Arial"/>
                <w:sz w:val="15"/>
                <w:szCs w:val="15"/>
              </w:rPr>
              <w:drawing>
                <wp:inline distT="0" distB="0" distL="0" distR="0">
                  <wp:extent cx="1379855" cy="2113280"/>
                  <wp:effectExtent l="0" t="0" r="0" b="127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0" cstate="screen"/>
                          <a:stretch>
                            <a:fillRect/>
                          </a:stretch>
                        </pic:blipFill>
                        <pic:spPr>
                          <a:xfrm>
                            <a:off x="0" y="0"/>
                            <a:ext cx="1395421" cy="2137660"/>
                          </a:xfrm>
                          <a:prstGeom prst="rect">
                            <a:avLst/>
                          </a:prstGeom>
                        </pic:spPr>
                      </pic:pic>
                    </a:graphicData>
                  </a:graphic>
                </wp:inline>
              </w:drawing>
            </w:r>
          </w:p>
        </w:tc>
        <w:tc>
          <w:tcPr>
            <w:tcW w:w="2859" w:type="dxa"/>
            <w:gridSpan w:val="2"/>
          </w:tcPr>
          <w:p w14:paraId="6F1E69FB">
            <w:pPr>
              <w:adjustRightInd w:val="0"/>
              <w:snapToGrid w:val="0"/>
              <w:jc w:val="center"/>
              <w:rPr>
                <w:rFonts w:ascii="Arial" w:hAnsi="Arial" w:cs="Arial"/>
                <w:sz w:val="15"/>
                <w:szCs w:val="15"/>
              </w:rPr>
            </w:pPr>
            <w:r>
              <w:rPr>
                <w:rFonts w:ascii="Arial" w:hAnsi="Arial" w:cs="Arial"/>
                <w:sz w:val="15"/>
                <w:szCs w:val="15"/>
              </w:rPr>
              <w:drawing>
                <wp:inline distT="0" distB="0" distL="0" distR="0">
                  <wp:extent cx="2103755" cy="1333500"/>
                  <wp:effectExtent l="4128"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1" cstate="screen"/>
                          <a:stretch>
                            <a:fillRect/>
                          </a:stretch>
                        </pic:blipFill>
                        <pic:spPr>
                          <a:xfrm rot="5400000">
                            <a:off x="0" y="0"/>
                            <a:ext cx="2134677" cy="1353055"/>
                          </a:xfrm>
                          <a:prstGeom prst="rect">
                            <a:avLst/>
                          </a:prstGeom>
                        </pic:spPr>
                      </pic:pic>
                    </a:graphicData>
                  </a:graphic>
                </wp:inline>
              </w:drawing>
            </w:r>
          </w:p>
        </w:tc>
        <w:tc>
          <w:tcPr>
            <w:tcW w:w="3821" w:type="dxa"/>
          </w:tcPr>
          <w:p w14:paraId="7CD4C4A1">
            <w:pPr>
              <w:adjustRightInd w:val="0"/>
              <w:snapToGrid w:val="0"/>
              <w:jc w:val="center"/>
              <w:rPr>
                <w:rFonts w:ascii="Arial" w:hAnsi="Arial" w:cs="Arial"/>
                <w:sz w:val="15"/>
                <w:szCs w:val="15"/>
              </w:rPr>
            </w:pPr>
            <w:r>
              <w:rPr>
                <w:rFonts w:ascii="Arial" w:hAnsi="Arial" w:cs="Arial"/>
                <w:sz w:val="15"/>
                <w:szCs w:val="15"/>
              </w:rPr>
              <w:drawing>
                <wp:inline distT="0" distB="0" distL="0" distR="0">
                  <wp:extent cx="1414780" cy="2019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2" cstate="screen"/>
                          <a:stretch>
                            <a:fillRect/>
                          </a:stretch>
                        </pic:blipFill>
                        <pic:spPr>
                          <a:xfrm>
                            <a:off x="0" y="0"/>
                            <a:ext cx="1430378" cy="2040791"/>
                          </a:xfrm>
                          <a:prstGeom prst="rect">
                            <a:avLst/>
                          </a:prstGeom>
                        </pic:spPr>
                      </pic:pic>
                    </a:graphicData>
                  </a:graphic>
                </wp:inline>
              </w:drawing>
            </w:r>
          </w:p>
        </w:tc>
      </w:tr>
      <w:tr w14:paraId="75479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2948" w:type="dxa"/>
          </w:tcPr>
          <w:p w14:paraId="4F848C45">
            <w:pPr>
              <w:adjustRightInd w:val="0"/>
              <w:snapToGrid w:val="0"/>
              <w:jc w:val="center"/>
              <w:rPr>
                <w:rFonts w:ascii="Arial" w:hAnsi="Arial" w:cs="Arial"/>
                <w:sz w:val="15"/>
                <w:szCs w:val="15"/>
                <w:lang w:val="en-GB"/>
              </w:rPr>
            </w:pPr>
            <w:bookmarkStart w:id="779" w:name="_Ref114588893"/>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34</w:t>
            </w:r>
            <w:r>
              <w:rPr>
                <w:rFonts w:ascii="Arial" w:hAnsi="Arial" w:cs="Arial"/>
                <w:sz w:val="15"/>
                <w:szCs w:val="15"/>
                <w:lang w:val="en-GB"/>
              </w:rPr>
              <w:fldChar w:fldCharType="end"/>
            </w:r>
            <w:bookmarkEnd w:id="779"/>
            <w:r>
              <w:rPr>
                <w:rFonts w:ascii="Arial" w:hAnsi="Arial" w:cs="Arial"/>
                <w:sz w:val="15"/>
                <w:szCs w:val="15"/>
                <w:lang w:val="en-GB"/>
              </w:rPr>
              <w:t xml:space="preserve"> 湖南省慈利县江垭镇垃圾转运站的土地征用审批文件</w:t>
            </w:r>
          </w:p>
        </w:tc>
        <w:tc>
          <w:tcPr>
            <w:tcW w:w="2859" w:type="dxa"/>
            <w:gridSpan w:val="2"/>
          </w:tcPr>
          <w:p w14:paraId="2B060F61">
            <w:pPr>
              <w:adjustRightInd w:val="0"/>
              <w:snapToGrid w:val="0"/>
              <w:jc w:val="center"/>
              <w:rPr>
                <w:rFonts w:ascii="Arial" w:hAnsi="Arial" w:cs="Arial"/>
                <w:sz w:val="15"/>
                <w:szCs w:val="15"/>
                <w:lang w:val="en-GB"/>
              </w:rPr>
            </w:pPr>
            <w:bookmarkStart w:id="780" w:name="_Ref114588899"/>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35</w:t>
            </w:r>
            <w:r>
              <w:rPr>
                <w:rFonts w:ascii="Arial" w:hAnsi="Arial" w:cs="Arial"/>
                <w:sz w:val="15"/>
                <w:szCs w:val="15"/>
                <w:lang w:val="en-GB"/>
              </w:rPr>
              <w:fldChar w:fldCharType="end"/>
            </w:r>
            <w:bookmarkEnd w:id="780"/>
            <w:r>
              <w:rPr>
                <w:rFonts w:ascii="Arial" w:hAnsi="Arial" w:cs="Arial"/>
                <w:sz w:val="15"/>
                <w:szCs w:val="15"/>
                <w:lang w:val="en-GB"/>
              </w:rPr>
              <w:t>湖南省慈利县江垭镇垃圾转运站的土地证</w:t>
            </w:r>
          </w:p>
        </w:tc>
        <w:tc>
          <w:tcPr>
            <w:tcW w:w="3821" w:type="dxa"/>
          </w:tcPr>
          <w:p w14:paraId="2288CDB0">
            <w:pPr>
              <w:adjustRightInd w:val="0"/>
              <w:snapToGrid w:val="0"/>
              <w:jc w:val="center"/>
              <w:rPr>
                <w:rFonts w:ascii="Arial" w:hAnsi="Arial" w:cs="Arial"/>
                <w:sz w:val="15"/>
                <w:szCs w:val="15"/>
                <w:lang w:val="en-GB"/>
              </w:rPr>
            </w:pPr>
            <w:bookmarkStart w:id="781" w:name="_Ref114588846"/>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36</w:t>
            </w:r>
            <w:r>
              <w:rPr>
                <w:rFonts w:ascii="Arial" w:hAnsi="Arial" w:cs="Arial"/>
                <w:sz w:val="15"/>
                <w:szCs w:val="15"/>
                <w:lang w:val="en-GB"/>
              </w:rPr>
              <w:fldChar w:fldCharType="end"/>
            </w:r>
            <w:bookmarkEnd w:id="781"/>
            <w:r>
              <w:rPr>
                <w:rFonts w:ascii="Arial" w:hAnsi="Arial" w:cs="Arial"/>
                <w:sz w:val="15"/>
                <w:szCs w:val="15"/>
                <w:lang w:val="en-GB"/>
              </w:rPr>
              <w:t>湖北省咸宁市崇阳县振邦养殖与粪污处理设施的设施农用地备案文件</w:t>
            </w:r>
          </w:p>
        </w:tc>
      </w:tr>
      <w:tr w14:paraId="2A61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rPr>
          <w:trHeight w:val="2133" w:hRule="atLeast"/>
        </w:trPr>
        <w:tc>
          <w:tcPr>
            <w:tcW w:w="2948" w:type="dxa"/>
          </w:tcPr>
          <w:p w14:paraId="576F12D2">
            <w:pPr>
              <w:adjustRightInd w:val="0"/>
              <w:snapToGrid w:val="0"/>
              <w:jc w:val="right"/>
              <w:rPr>
                <w:rFonts w:ascii="Arial" w:hAnsi="Arial" w:cs="Arial"/>
                <w:sz w:val="15"/>
                <w:szCs w:val="15"/>
              </w:rPr>
            </w:pPr>
            <w:r>
              <w:rPr>
                <w:rFonts w:ascii="Arial" w:hAnsi="Arial" w:cs="Arial"/>
                <w:sz w:val="15"/>
                <w:szCs w:val="15"/>
              </w:rPr>
              <w:drawing>
                <wp:inline distT="0" distB="0" distL="0" distR="0">
                  <wp:extent cx="1045210" cy="1351915"/>
                  <wp:effectExtent l="0" t="0" r="254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73" cstate="screen"/>
                          <a:stretch>
                            <a:fillRect/>
                          </a:stretch>
                        </pic:blipFill>
                        <pic:spPr>
                          <a:xfrm>
                            <a:off x="0" y="0"/>
                            <a:ext cx="1048659" cy="1355829"/>
                          </a:xfrm>
                          <a:prstGeom prst="rect">
                            <a:avLst/>
                          </a:prstGeom>
                        </pic:spPr>
                      </pic:pic>
                    </a:graphicData>
                  </a:graphic>
                </wp:inline>
              </w:drawing>
            </w:r>
          </w:p>
        </w:tc>
        <w:tc>
          <w:tcPr>
            <w:tcW w:w="2859" w:type="dxa"/>
            <w:gridSpan w:val="2"/>
          </w:tcPr>
          <w:p w14:paraId="5B31F35B">
            <w:pPr>
              <w:adjustRightInd w:val="0"/>
              <w:snapToGrid w:val="0"/>
              <w:rPr>
                <w:rFonts w:ascii="Arial" w:hAnsi="Arial" w:cs="Arial"/>
                <w:sz w:val="15"/>
                <w:szCs w:val="15"/>
              </w:rPr>
            </w:pPr>
            <w:r>
              <w:rPr>
                <w:rFonts w:ascii="Arial" w:hAnsi="Arial" w:cs="Arial"/>
                <w:sz w:val="15"/>
                <w:szCs w:val="15"/>
              </w:rPr>
              <w:drawing>
                <wp:inline distT="0" distB="0" distL="0" distR="0">
                  <wp:extent cx="942340" cy="13017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4" cstate="screen"/>
                          <a:stretch>
                            <a:fillRect/>
                          </a:stretch>
                        </pic:blipFill>
                        <pic:spPr>
                          <a:xfrm>
                            <a:off x="0" y="0"/>
                            <a:ext cx="947442" cy="1308216"/>
                          </a:xfrm>
                          <a:prstGeom prst="rect">
                            <a:avLst/>
                          </a:prstGeom>
                        </pic:spPr>
                      </pic:pic>
                    </a:graphicData>
                  </a:graphic>
                </wp:inline>
              </w:drawing>
            </w:r>
          </w:p>
        </w:tc>
        <w:tc>
          <w:tcPr>
            <w:tcW w:w="3821" w:type="dxa"/>
          </w:tcPr>
          <w:p w14:paraId="2651C792">
            <w:pPr>
              <w:adjustRightInd w:val="0"/>
              <w:snapToGrid w:val="0"/>
            </w:pPr>
            <w:r>
              <w:drawing>
                <wp:inline distT="0" distB="0" distL="0" distR="0">
                  <wp:extent cx="920750" cy="1351915"/>
                  <wp:effectExtent l="0" t="0" r="0" b="635"/>
                  <wp:docPr id="51908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82264" name="Picture 1"/>
                          <pic:cNvPicPr>
                            <a:picLocks noChangeAspect="1"/>
                          </pic:cNvPicPr>
                        </pic:nvPicPr>
                        <pic:blipFill>
                          <a:blip r:embed="rId75"/>
                          <a:stretch>
                            <a:fillRect/>
                          </a:stretch>
                        </pic:blipFill>
                        <pic:spPr>
                          <a:xfrm>
                            <a:off x="0" y="0"/>
                            <a:ext cx="929841" cy="1365742"/>
                          </a:xfrm>
                          <a:prstGeom prst="rect">
                            <a:avLst/>
                          </a:prstGeom>
                        </pic:spPr>
                      </pic:pic>
                    </a:graphicData>
                  </a:graphic>
                </wp:inline>
              </w:drawing>
            </w:r>
            <w:r>
              <w:t xml:space="preserve"> </w:t>
            </w:r>
            <w:r>
              <w:drawing>
                <wp:inline distT="0" distB="0" distL="0" distR="0">
                  <wp:extent cx="1000125" cy="1104900"/>
                  <wp:effectExtent l="0" t="0" r="9525" b="0"/>
                  <wp:docPr id="63961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19638" name="Picture 1"/>
                          <pic:cNvPicPr>
                            <a:picLocks noChangeAspect="1"/>
                          </pic:cNvPicPr>
                        </pic:nvPicPr>
                        <pic:blipFill>
                          <a:blip r:embed="rId76"/>
                          <a:stretch>
                            <a:fillRect/>
                          </a:stretch>
                        </pic:blipFill>
                        <pic:spPr>
                          <a:xfrm>
                            <a:off x="0" y="0"/>
                            <a:ext cx="1010191" cy="1115906"/>
                          </a:xfrm>
                          <a:prstGeom prst="rect">
                            <a:avLst/>
                          </a:prstGeom>
                        </pic:spPr>
                      </pic:pic>
                    </a:graphicData>
                  </a:graphic>
                </wp:inline>
              </w:drawing>
            </w:r>
          </w:p>
        </w:tc>
      </w:tr>
      <w:tr w14:paraId="1370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5807" w:type="dxa"/>
            <w:gridSpan w:val="3"/>
          </w:tcPr>
          <w:p w14:paraId="0BBC6F1B">
            <w:pPr>
              <w:adjustRightInd w:val="0"/>
              <w:snapToGrid w:val="0"/>
              <w:jc w:val="center"/>
              <w:rPr>
                <w:rFonts w:ascii="Arial" w:hAnsi="Arial" w:cs="Arial"/>
                <w:sz w:val="15"/>
                <w:szCs w:val="15"/>
                <w:lang w:val="en-GB"/>
              </w:rPr>
            </w:pPr>
            <w:bookmarkStart w:id="782" w:name="_Ref114588817"/>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37</w:t>
            </w:r>
            <w:r>
              <w:rPr>
                <w:rFonts w:ascii="Arial" w:hAnsi="Arial" w:cs="Arial"/>
                <w:sz w:val="15"/>
                <w:szCs w:val="15"/>
                <w:lang w:val="en-GB"/>
              </w:rPr>
              <w:fldChar w:fldCharType="end"/>
            </w:r>
            <w:bookmarkEnd w:id="782"/>
            <w:r>
              <w:rPr>
                <w:rFonts w:ascii="Arial" w:hAnsi="Arial" w:cs="Arial"/>
                <w:sz w:val="15"/>
                <w:szCs w:val="15"/>
                <w:lang w:val="en-GB"/>
              </w:rPr>
              <w:fldChar w:fldCharType="begin"/>
            </w:r>
            <w:r>
              <w:rPr>
                <w:rFonts w:ascii="Arial" w:hAnsi="Arial" w:cs="Arial"/>
                <w:sz w:val="15"/>
                <w:szCs w:val="15"/>
                <w:lang w:val="en-GB"/>
              </w:rPr>
              <w:instrText xml:space="preserve"> REF _Ref92484563 \h  \* MERGEFORMAT </w:instrText>
            </w:r>
            <w:r>
              <w:rPr>
                <w:rFonts w:ascii="Arial" w:hAnsi="Arial" w:cs="Arial"/>
                <w:sz w:val="15"/>
                <w:szCs w:val="15"/>
                <w:lang w:val="en-GB"/>
              </w:rPr>
              <w:fldChar w:fldCharType="separate"/>
            </w:r>
            <w:r>
              <w:rPr>
                <w:rFonts w:ascii="Arial" w:hAnsi="Arial" w:cs="Arial"/>
                <w:sz w:val="15"/>
                <w:szCs w:val="15"/>
                <w:lang w:val="en-GB"/>
              </w:rPr>
              <w:t>:  湖南省慈利县自然资源局就长裕铺旱杂粮产业冷库项目占用村集体一般耕地的审查备案</w:t>
            </w:r>
            <w:r>
              <w:rPr>
                <w:rFonts w:ascii="Arial" w:hAnsi="Arial" w:cs="Arial"/>
                <w:sz w:val="15"/>
                <w:szCs w:val="15"/>
                <w:lang w:val="en-GB"/>
              </w:rPr>
              <w:fldChar w:fldCharType="end"/>
            </w:r>
            <w:r>
              <w:rPr>
                <w:rFonts w:ascii="Arial" w:hAnsi="Arial" w:cs="Arial"/>
                <w:sz w:val="15"/>
                <w:szCs w:val="15"/>
                <w:lang w:val="en-GB"/>
              </w:rPr>
              <w:t>文件</w:t>
            </w:r>
          </w:p>
        </w:tc>
        <w:tc>
          <w:tcPr>
            <w:tcW w:w="3821" w:type="dxa"/>
          </w:tcPr>
          <w:p w14:paraId="56FF1907">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w:t>
            </w:r>
            <w:r>
              <w:rPr>
                <w:rFonts w:hint="eastAsia" w:ascii="Arial" w:hAnsi="Arial" w:cs="Arial"/>
                <w:sz w:val="15"/>
                <w:szCs w:val="15"/>
                <w:lang w:val="en-GB"/>
              </w:rPr>
              <w:t>9</w:t>
            </w:r>
            <w:r>
              <w:rPr>
                <w:rFonts w:ascii="Arial" w:hAnsi="Arial" w:cs="Arial"/>
                <w:sz w:val="15"/>
                <w:szCs w:val="15"/>
                <w:lang w:val="en-GB"/>
              </w:rPr>
              <w:fldChar w:fldCharType="end"/>
            </w:r>
            <w:r>
              <w:rPr>
                <w:rFonts w:ascii="Arial" w:hAnsi="Arial" w:cs="Arial"/>
                <w:sz w:val="15"/>
                <w:szCs w:val="15"/>
                <w:lang w:val="en-GB"/>
              </w:rPr>
              <w:fldChar w:fldCharType="begin"/>
            </w:r>
            <w:r>
              <w:rPr>
                <w:rFonts w:ascii="Arial" w:hAnsi="Arial" w:cs="Arial"/>
                <w:sz w:val="15"/>
                <w:szCs w:val="15"/>
                <w:lang w:val="en-GB"/>
              </w:rPr>
              <w:instrText xml:space="preserve"> REF _Ref92484563 \h  \* MERGEFORMAT </w:instrText>
            </w:r>
            <w:r>
              <w:rPr>
                <w:rFonts w:ascii="Arial" w:hAnsi="Arial" w:cs="Arial"/>
                <w:sz w:val="15"/>
                <w:szCs w:val="15"/>
                <w:lang w:val="en-GB"/>
              </w:rPr>
              <w:fldChar w:fldCharType="separate"/>
            </w:r>
            <w:r>
              <w:rPr>
                <w:rFonts w:ascii="Arial" w:hAnsi="Arial" w:cs="Arial"/>
                <w:sz w:val="15"/>
                <w:szCs w:val="15"/>
                <w:lang w:val="en-GB"/>
              </w:rPr>
              <w:t>:  湖</w:t>
            </w:r>
            <w:r>
              <w:rPr>
                <w:rFonts w:hint="eastAsia" w:ascii="Arial" w:hAnsi="Arial" w:cs="Arial"/>
                <w:sz w:val="15"/>
                <w:szCs w:val="15"/>
                <w:lang w:val="en-GB"/>
              </w:rPr>
              <w:t>南</w:t>
            </w:r>
            <w:r>
              <w:rPr>
                <w:rFonts w:ascii="Arial" w:hAnsi="Arial" w:cs="Arial"/>
                <w:sz w:val="15"/>
                <w:szCs w:val="15"/>
                <w:lang w:val="en-GB"/>
              </w:rPr>
              <w:t>省</w:t>
            </w:r>
            <w:r>
              <w:rPr>
                <w:rFonts w:hint="eastAsia" w:ascii="Arial" w:hAnsi="Arial" w:cs="Arial"/>
                <w:sz w:val="15"/>
                <w:szCs w:val="15"/>
                <w:lang w:val="en-GB"/>
              </w:rPr>
              <w:t xml:space="preserve">新田县畜禽粪污资源化利用整县推进项目环评批复 </w:t>
            </w:r>
            <w:r>
              <w:rPr>
                <w:rFonts w:ascii="Arial" w:hAnsi="Arial" w:cs="Arial"/>
                <w:sz w:val="15"/>
                <w:szCs w:val="15"/>
                <w:lang w:val="en-GB"/>
              </w:rPr>
              <w:fldChar w:fldCharType="end"/>
            </w:r>
          </w:p>
        </w:tc>
      </w:tr>
      <w:tr w14:paraId="2118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5807" w:type="dxa"/>
            <w:gridSpan w:val="3"/>
          </w:tcPr>
          <w:p w14:paraId="2BBC8C9C">
            <w:pPr>
              <w:adjustRightInd w:val="0"/>
              <w:snapToGrid w:val="0"/>
              <w:jc w:val="center"/>
            </w:pPr>
          </w:p>
          <w:p w14:paraId="02D32810">
            <w:pPr>
              <w:adjustRightInd w:val="0"/>
              <w:snapToGrid w:val="0"/>
              <w:jc w:val="center"/>
              <w:rPr>
                <w:rFonts w:ascii="Arial" w:hAnsi="Arial" w:cs="Arial"/>
                <w:sz w:val="15"/>
                <w:szCs w:val="15"/>
                <w:lang w:val="en-GB"/>
              </w:rPr>
            </w:pPr>
            <w: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936750" cy="806450"/>
                  <wp:effectExtent l="0" t="0" r="6350" b="0"/>
                  <wp:wrapSquare wrapText="bothSides"/>
                  <wp:docPr id="152091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15286"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l="10093" t="38638" r="8898" b="36069"/>
                          <a:stretch>
                            <a:fillRect/>
                          </a:stretch>
                        </pic:blipFill>
                        <pic:spPr>
                          <a:xfrm>
                            <a:off x="0" y="0"/>
                            <a:ext cx="1936750" cy="806450"/>
                          </a:xfrm>
                          <a:prstGeom prst="rect">
                            <a:avLst/>
                          </a:prstGeom>
                          <a:noFill/>
                          <a:ln>
                            <a:noFill/>
                          </a:ln>
                        </pic:spPr>
                      </pic:pic>
                    </a:graphicData>
                  </a:graphic>
                </wp:anchor>
              </w:drawing>
            </w:r>
          </w:p>
        </w:tc>
        <w:tc>
          <w:tcPr>
            <w:tcW w:w="3821" w:type="dxa"/>
          </w:tcPr>
          <w:p w14:paraId="79B49DD7">
            <w:pPr>
              <w:adjustRightInd w:val="0"/>
              <w:snapToGrid w:val="0"/>
              <w:jc w:val="center"/>
              <w:rPr>
                <w:rFonts w:ascii="Arial" w:hAnsi="Arial" w:cs="Arial"/>
                <w:sz w:val="15"/>
                <w:szCs w:val="15"/>
                <w:lang w:val="en-GB"/>
              </w:rPr>
            </w:pPr>
            <w: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1739900" cy="768350"/>
                  <wp:effectExtent l="0" t="0" r="0" b="0"/>
                  <wp:wrapSquare wrapText="bothSides"/>
                  <wp:docPr id="1284088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88481"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t="23733" r="27224" b="38364"/>
                          <a:stretch>
                            <a:fillRect/>
                          </a:stretch>
                        </pic:blipFill>
                        <pic:spPr>
                          <a:xfrm>
                            <a:off x="0" y="0"/>
                            <a:ext cx="1739900" cy="768350"/>
                          </a:xfrm>
                          <a:prstGeom prst="rect">
                            <a:avLst/>
                          </a:prstGeom>
                          <a:noFill/>
                          <a:ln>
                            <a:noFill/>
                          </a:ln>
                        </pic:spPr>
                      </pic:pic>
                    </a:graphicData>
                  </a:graphic>
                </wp:anchor>
              </w:drawing>
            </w:r>
          </w:p>
        </w:tc>
      </w:tr>
      <w:tr w14:paraId="46BA7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28" w:type="dxa"/>
            <w:bottom w:w="0" w:type="dxa"/>
            <w:right w:w="28" w:type="dxa"/>
          </w:tblCellMar>
        </w:tblPrEx>
        <w:tc>
          <w:tcPr>
            <w:tcW w:w="5807" w:type="dxa"/>
            <w:gridSpan w:val="3"/>
          </w:tcPr>
          <w:p w14:paraId="7B565F83">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ascii="Arial" w:hAnsi="Arial" w:cs="Arial"/>
                <w:sz w:val="15"/>
                <w:szCs w:val="15"/>
                <w:lang w:val="en-GB"/>
              </w:rPr>
              <w:fldChar w:fldCharType="begin"/>
            </w:r>
            <w:r>
              <w:rPr>
                <w:rFonts w:ascii="Arial" w:hAnsi="Arial" w:cs="Arial"/>
                <w:sz w:val="15"/>
                <w:szCs w:val="15"/>
                <w:lang w:val="en-GB"/>
              </w:rPr>
              <w:instrText xml:space="preserve"> SEQ 图 \* ARABIC </w:instrText>
            </w:r>
            <w:r>
              <w:rPr>
                <w:rFonts w:ascii="Arial" w:hAnsi="Arial" w:cs="Arial"/>
                <w:sz w:val="15"/>
                <w:szCs w:val="15"/>
                <w:lang w:val="en-GB"/>
              </w:rPr>
              <w:fldChar w:fldCharType="separate"/>
            </w:r>
            <w:r>
              <w:rPr>
                <w:rFonts w:ascii="Arial" w:hAnsi="Arial" w:cs="Arial"/>
                <w:sz w:val="15"/>
                <w:szCs w:val="15"/>
                <w:lang w:val="en-GB"/>
              </w:rPr>
              <w:t>3</w:t>
            </w:r>
            <w:r>
              <w:rPr>
                <w:rFonts w:hint="eastAsia" w:ascii="Arial" w:hAnsi="Arial" w:cs="Arial"/>
                <w:sz w:val="15"/>
                <w:szCs w:val="15"/>
                <w:lang w:val="en-GB"/>
              </w:rPr>
              <w:t>9</w:t>
            </w:r>
            <w:r>
              <w:rPr>
                <w:rFonts w:ascii="Arial" w:hAnsi="Arial" w:cs="Arial"/>
                <w:sz w:val="15"/>
                <w:szCs w:val="15"/>
                <w:lang w:val="en-GB"/>
              </w:rPr>
              <w:fldChar w:fldCharType="end"/>
            </w:r>
            <w:r>
              <w:rPr>
                <w:rFonts w:ascii="Arial" w:hAnsi="Arial" w:cs="Arial"/>
                <w:sz w:val="15"/>
                <w:szCs w:val="15"/>
                <w:lang w:val="en-GB"/>
              </w:rPr>
              <w:fldChar w:fldCharType="begin"/>
            </w:r>
            <w:r>
              <w:rPr>
                <w:rFonts w:ascii="Arial" w:hAnsi="Arial" w:cs="Arial"/>
                <w:sz w:val="15"/>
                <w:szCs w:val="15"/>
                <w:lang w:val="en-GB"/>
              </w:rPr>
              <w:instrText xml:space="preserve"> REF _Ref92484563 \h  \* MERGEFORMAT </w:instrText>
            </w:r>
            <w:r>
              <w:rPr>
                <w:rFonts w:ascii="Arial" w:hAnsi="Arial" w:cs="Arial"/>
                <w:sz w:val="15"/>
                <w:szCs w:val="15"/>
                <w:lang w:val="en-GB"/>
              </w:rPr>
              <w:fldChar w:fldCharType="separate"/>
            </w:r>
            <w:r>
              <w:rPr>
                <w:rFonts w:ascii="Arial" w:hAnsi="Arial" w:cs="Arial"/>
                <w:sz w:val="15"/>
                <w:szCs w:val="15"/>
                <w:lang w:val="en-GB"/>
              </w:rPr>
              <w:t>:  湖</w:t>
            </w:r>
            <w:r>
              <w:rPr>
                <w:rFonts w:hint="eastAsia" w:ascii="Arial" w:hAnsi="Arial" w:cs="Arial"/>
                <w:sz w:val="15"/>
                <w:szCs w:val="15"/>
                <w:lang w:val="en-GB"/>
              </w:rPr>
              <w:t>南</w:t>
            </w:r>
            <w:r>
              <w:rPr>
                <w:rFonts w:ascii="Arial" w:hAnsi="Arial" w:cs="Arial"/>
                <w:sz w:val="15"/>
                <w:szCs w:val="15"/>
                <w:lang w:val="en-GB"/>
              </w:rPr>
              <w:t>省</w:t>
            </w:r>
            <w:r>
              <w:rPr>
                <w:rFonts w:hint="eastAsia" w:ascii="Arial" w:hAnsi="Arial" w:cs="Arial"/>
                <w:sz w:val="15"/>
                <w:szCs w:val="15"/>
                <w:lang w:val="en-GB"/>
              </w:rPr>
              <w:t xml:space="preserve">新田县在建的农村污水处理设施 </w:t>
            </w:r>
            <w:r>
              <w:rPr>
                <w:rFonts w:ascii="Arial" w:hAnsi="Arial" w:cs="Arial"/>
                <w:sz w:val="15"/>
                <w:szCs w:val="15"/>
                <w:lang w:val="en-GB"/>
              </w:rPr>
              <w:fldChar w:fldCharType="end"/>
            </w:r>
          </w:p>
        </w:tc>
        <w:tc>
          <w:tcPr>
            <w:tcW w:w="3821" w:type="dxa"/>
          </w:tcPr>
          <w:p w14:paraId="3B9B0FD0">
            <w:pPr>
              <w:adjustRightInd w:val="0"/>
              <w:snapToGrid w:val="0"/>
              <w:jc w:val="center"/>
              <w:rPr>
                <w:rFonts w:ascii="Arial" w:hAnsi="Arial" w:cs="Arial"/>
                <w:sz w:val="15"/>
                <w:szCs w:val="15"/>
                <w:lang w:val="en-GB"/>
              </w:rPr>
            </w:pPr>
            <w:r>
              <w:rPr>
                <w:rFonts w:ascii="Arial" w:hAnsi="Arial" w:cs="Arial"/>
                <w:sz w:val="15"/>
                <w:szCs w:val="15"/>
                <w:lang w:val="en-GB"/>
              </w:rPr>
              <w:t xml:space="preserve">图 </w:t>
            </w:r>
            <w:r>
              <w:rPr>
                <w:rFonts w:hint="eastAsia" w:ascii="Arial" w:hAnsi="Arial" w:cs="Arial"/>
                <w:sz w:val="15"/>
                <w:szCs w:val="15"/>
                <w:lang w:val="en-GB"/>
              </w:rPr>
              <w:t>40</w:t>
            </w:r>
            <w:r>
              <w:rPr>
                <w:rFonts w:ascii="Arial" w:hAnsi="Arial" w:cs="Arial"/>
                <w:sz w:val="15"/>
                <w:szCs w:val="15"/>
                <w:lang w:val="en-GB"/>
              </w:rPr>
              <w:fldChar w:fldCharType="begin"/>
            </w:r>
            <w:r>
              <w:rPr>
                <w:rFonts w:ascii="Arial" w:hAnsi="Arial" w:cs="Arial"/>
                <w:sz w:val="15"/>
                <w:szCs w:val="15"/>
                <w:lang w:val="en-GB"/>
              </w:rPr>
              <w:instrText xml:space="preserve"> REF _Ref92484563 \h  \* MERGEFORMAT </w:instrText>
            </w:r>
            <w:r>
              <w:rPr>
                <w:rFonts w:ascii="Arial" w:hAnsi="Arial" w:cs="Arial"/>
                <w:sz w:val="15"/>
                <w:szCs w:val="15"/>
                <w:lang w:val="en-GB"/>
              </w:rPr>
              <w:fldChar w:fldCharType="separate"/>
            </w:r>
            <w:r>
              <w:rPr>
                <w:rFonts w:ascii="Arial" w:hAnsi="Arial" w:cs="Arial"/>
                <w:sz w:val="15"/>
                <w:szCs w:val="15"/>
                <w:lang w:val="en-GB"/>
              </w:rPr>
              <w:t xml:space="preserve">:  </w:t>
            </w:r>
            <w:r>
              <w:rPr>
                <w:rFonts w:ascii="Arial" w:hAnsi="Arial" w:cs="Arial"/>
                <w:sz w:val="15"/>
                <w:szCs w:val="15"/>
                <w:lang w:val="en-GB"/>
              </w:rPr>
              <w:fldChar w:fldCharType="end"/>
            </w:r>
            <w:r>
              <w:rPr>
                <w:rFonts w:ascii="Arial" w:hAnsi="Arial" w:cs="Arial"/>
                <w:sz w:val="15"/>
                <w:szCs w:val="15"/>
                <w:lang w:val="en-GB"/>
              </w:rPr>
              <w:fldChar w:fldCharType="begin"/>
            </w:r>
            <w:r>
              <w:rPr>
                <w:rFonts w:ascii="Arial" w:hAnsi="Arial" w:cs="Arial"/>
                <w:sz w:val="15"/>
                <w:szCs w:val="15"/>
                <w:lang w:val="en-GB"/>
              </w:rPr>
              <w:instrText xml:space="preserve"> REF _Ref92484563 \h  \* MERGEFORMAT </w:instrText>
            </w:r>
            <w:r>
              <w:rPr>
                <w:rFonts w:ascii="Arial" w:hAnsi="Arial" w:cs="Arial"/>
                <w:sz w:val="15"/>
                <w:szCs w:val="15"/>
                <w:lang w:val="en-GB"/>
              </w:rPr>
              <w:fldChar w:fldCharType="separate"/>
            </w:r>
            <w:r>
              <w:rPr>
                <w:rFonts w:ascii="Arial" w:hAnsi="Arial" w:cs="Arial"/>
                <w:sz w:val="15"/>
                <w:szCs w:val="15"/>
                <w:lang w:val="en-GB"/>
              </w:rPr>
              <w:t>湖</w:t>
            </w:r>
            <w:r>
              <w:rPr>
                <w:rFonts w:hint="eastAsia" w:ascii="Arial" w:hAnsi="Arial" w:cs="Arial"/>
                <w:sz w:val="15"/>
                <w:szCs w:val="15"/>
                <w:lang w:val="en-GB"/>
              </w:rPr>
              <w:t>北</w:t>
            </w:r>
            <w:r>
              <w:rPr>
                <w:rFonts w:ascii="Arial" w:hAnsi="Arial" w:cs="Arial"/>
                <w:sz w:val="15"/>
                <w:szCs w:val="15"/>
                <w:lang w:val="en-GB"/>
              </w:rPr>
              <w:t>省</w:t>
            </w:r>
            <w:r>
              <w:rPr>
                <w:rFonts w:hint="eastAsia" w:ascii="Arial" w:hAnsi="Arial" w:cs="Arial"/>
                <w:sz w:val="15"/>
                <w:szCs w:val="15"/>
                <w:lang w:val="en-GB"/>
              </w:rPr>
              <w:t>咸安区</w:t>
            </w:r>
            <w:r>
              <w:rPr>
                <w:rFonts w:ascii="Arial" w:hAnsi="Arial" w:cs="Arial"/>
                <w:sz w:val="15"/>
                <w:szCs w:val="15"/>
                <w:lang w:val="en-GB"/>
              </w:rPr>
              <w:fldChar w:fldCharType="end"/>
            </w:r>
            <w:r>
              <w:rPr>
                <w:rFonts w:hint="eastAsia" w:ascii="Arial" w:hAnsi="Arial" w:cs="Arial"/>
                <w:sz w:val="15"/>
                <w:szCs w:val="15"/>
                <w:lang w:val="en-GB"/>
              </w:rPr>
              <w:t>生猪养殖粪污资源化利用设施</w:t>
            </w:r>
          </w:p>
        </w:tc>
      </w:tr>
    </w:tbl>
    <w:p w14:paraId="68A31EB3">
      <w:pPr>
        <w:rPr>
          <w:rFonts w:ascii="Arial" w:hAnsi="Arial" w:cs="Arial"/>
          <w:sz w:val="15"/>
          <w:szCs w:val="15"/>
        </w:rPr>
      </w:pPr>
      <w:r>
        <w:rPr>
          <w:rFonts w:ascii="Arial" w:hAnsi="Arial" w:cs="Arial"/>
          <w:sz w:val="15"/>
          <w:szCs w:val="15"/>
        </w:rPr>
        <w:br w:type="page"/>
      </w:r>
    </w:p>
    <w:p w14:paraId="31B66918">
      <w:pPr>
        <w:pStyle w:val="2"/>
        <w:adjustRightInd w:val="0"/>
        <w:snapToGrid w:val="0"/>
        <w:spacing w:before="120" w:after="120" w:line="240" w:lineRule="auto"/>
        <w:rPr>
          <w:rFonts w:ascii="Arial" w:hAnsi="Arial" w:cs="Arial"/>
          <w:color w:val="000000" w:themeColor="text1"/>
          <w:sz w:val="28"/>
          <w:szCs w:val="28"/>
          <w14:textFill>
            <w14:solidFill>
              <w14:schemeClr w14:val="tx1"/>
            </w14:solidFill>
          </w14:textFill>
        </w:rPr>
      </w:pPr>
      <w:bookmarkStart w:id="783" w:name="_Toc119937338"/>
      <w:r>
        <w:rPr>
          <w:rFonts w:ascii="Arial" w:hAnsi="Arial" w:cs="Arial"/>
          <w:color w:val="000000" w:themeColor="text1"/>
          <w:sz w:val="28"/>
          <w:szCs w:val="28"/>
          <w14:textFill>
            <w14:solidFill>
              <w14:schemeClr w14:val="tx1"/>
            </w14:solidFill>
          </w14:textFill>
        </w:rPr>
        <w:t>附件8：环境与社会影响消减措施</w:t>
      </w:r>
      <w:bookmarkEnd w:id="783"/>
    </w:p>
    <w:p w14:paraId="33612776">
      <w:pPr>
        <w:widowControl w:val="0"/>
        <w:tabs>
          <w:tab w:val="left" w:pos="851"/>
        </w:tabs>
        <w:adjustRightInd w:val="0"/>
        <w:snapToGrid w:val="0"/>
        <w:spacing w:before="120" w:after="120"/>
        <w:jc w:val="both"/>
        <w:rPr>
          <w:rFonts w:ascii="Arial" w:hAnsi="Arial" w:cs="Arial"/>
          <w:sz w:val="22"/>
        </w:rPr>
      </w:pPr>
      <w:r>
        <w:rPr>
          <w:rFonts w:ascii="Arial" w:hAnsi="Arial" w:cs="Arial"/>
          <w:sz w:val="22"/>
        </w:rPr>
        <w:t>根据以往同类项目管理经验，本报告总结了以下常规的环境与社会影响消减措施。实施过程中各工程项目具体的消减措施将在相应的环评与社评文件中制定。</w:t>
      </w:r>
    </w:p>
    <w:tbl>
      <w:tblPr>
        <w:tblStyle w:val="39"/>
        <w:tblW w:w="5000" w:type="pct"/>
        <w:tblInd w:w="0" w:type="dxa"/>
        <w:tblLayout w:type="fixed"/>
        <w:tblCellMar>
          <w:top w:w="0" w:type="dxa"/>
          <w:left w:w="28" w:type="dxa"/>
          <w:bottom w:w="0" w:type="dxa"/>
          <w:right w:w="28" w:type="dxa"/>
        </w:tblCellMar>
      </w:tblPr>
      <w:tblGrid>
        <w:gridCol w:w="691"/>
        <w:gridCol w:w="1018"/>
        <w:gridCol w:w="1999"/>
        <w:gridCol w:w="5986"/>
      </w:tblGrid>
      <w:tr w14:paraId="6978986C">
        <w:tblPrEx>
          <w:tblCellMar>
            <w:top w:w="0" w:type="dxa"/>
            <w:left w:w="28" w:type="dxa"/>
            <w:bottom w:w="0" w:type="dxa"/>
            <w:right w:w="28" w:type="dxa"/>
          </w:tblCellMar>
        </w:tblPrEx>
        <w:trPr>
          <w:trHeight w:val="20" w:hRule="atLeast"/>
          <w:tblHeader/>
        </w:trPr>
        <w:tc>
          <w:tcPr>
            <w:tcW w:w="356" w:type="pct"/>
            <w:tcBorders>
              <w:top w:val="single" w:color="auto" w:sz="4" w:space="0"/>
              <w:left w:val="single" w:color="auto" w:sz="4" w:space="0"/>
              <w:bottom w:val="single" w:color="auto" w:sz="4" w:space="0"/>
              <w:right w:val="single" w:color="auto" w:sz="4" w:space="0"/>
            </w:tcBorders>
            <w:shd w:val="clear" w:color="auto" w:fill="auto"/>
          </w:tcPr>
          <w:p w14:paraId="337D1475">
            <w:pPr>
              <w:adjustRightInd w:val="0"/>
              <w:snapToGrid w:val="0"/>
              <w:jc w:val="both"/>
              <w:rPr>
                <w:rFonts w:ascii="Arial" w:hAnsi="Arial" w:cs="Arial"/>
                <w:b/>
                <w:bCs/>
                <w:color w:val="000000"/>
                <w:sz w:val="20"/>
                <w:szCs w:val="20"/>
              </w:rPr>
            </w:pPr>
            <w:r>
              <w:rPr>
                <w:rFonts w:ascii="Arial" w:hAnsi="Arial" w:cs="Arial"/>
                <w:b/>
                <w:bCs/>
                <w:color w:val="000000"/>
                <w:sz w:val="20"/>
                <w:szCs w:val="20"/>
              </w:rPr>
              <w:t>类别</w:t>
            </w:r>
          </w:p>
        </w:tc>
        <w:tc>
          <w:tcPr>
            <w:tcW w:w="525" w:type="pct"/>
            <w:tcBorders>
              <w:top w:val="single" w:color="auto" w:sz="4" w:space="0"/>
              <w:left w:val="nil"/>
              <w:bottom w:val="single" w:color="auto" w:sz="4" w:space="0"/>
              <w:right w:val="single" w:color="auto" w:sz="4" w:space="0"/>
            </w:tcBorders>
            <w:shd w:val="clear" w:color="auto" w:fill="auto"/>
          </w:tcPr>
          <w:p w14:paraId="60869389">
            <w:pPr>
              <w:adjustRightInd w:val="0"/>
              <w:snapToGrid w:val="0"/>
              <w:jc w:val="both"/>
              <w:rPr>
                <w:rFonts w:ascii="Arial" w:hAnsi="Arial" w:cs="Arial"/>
                <w:b/>
                <w:bCs/>
                <w:color w:val="000000"/>
                <w:sz w:val="20"/>
                <w:szCs w:val="20"/>
              </w:rPr>
            </w:pPr>
            <w:r>
              <w:rPr>
                <w:rFonts w:ascii="Arial" w:hAnsi="Arial" w:cs="Arial"/>
                <w:b/>
                <w:bCs/>
                <w:color w:val="000000"/>
                <w:sz w:val="20"/>
                <w:szCs w:val="20"/>
              </w:rPr>
              <w:t>主要活动</w:t>
            </w:r>
          </w:p>
        </w:tc>
        <w:tc>
          <w:tcPr>
            <w:tcW w:w="1031" w:type="pct"/>
            <w:tcBorders>
              <w:top w:val="single" w:color="auto" w:sz="4" w:space="0"/>
              <w:left w:val="nil"/>
              <w:bottom w:val="single" w:color="auto" w:sz="4" w:space="0"/>
              <w:right w:val="single" w:color="auto" w:sz="4" w:space="0"/>
            </w:tcBorders>
            <w:shd w:val="clear" w:color="auto" w:fill="auto"/>
          </w:tcPr>
          <w:p w14:paraId="25D6D01A">
            <w:pPr>
              <w:adjustRightInd w:val="0"/>
              <w:snapToGrid w:val="0"/>
              <w:jc w:val="both"/>
              <w:rPr>
                <w:rFonts w:ascii="Arial" w:hAnsi="Arial" w:cs="Arial"/>
                <w:b/>
                <w:bCs/>
                <w:color w:val="000000"/>
                <w:sz w:val="20"/>
                <w:szCs w:val="20"/>
              </w:rPr>
            </w:pPr>
            <w:r>
              <w:rPr>
                <w:rFonts w:ascii="Arial" w:hAnsi="Arial" w:cs="Arial"/>
                <w:b/>
                <w:bCs/>
                <w:color w:val="000000"/>
                <w:sz w:val="20"/>
                <w:szCs w:val="20"/>
              </w:rPr>
              <w:t>主要影响</w:t>
            </w:r>
          </w:p>
        </w:tc>
        <w:tc>
          <w:tcPr>
            <w:tcW w:w="3088" w:type="pct"/>
            <w:tcBorders>
              <w:top w:val="single" w:color="auto" w:sz="4" w:space="0"/>
              <w:left w:val="nil"/>
              <w:bottom w:val="single" w:color="auto" w:sz="4" w:space="0"/>
              <w:right w:val="single" w:color="auto" w:sz="4" w:space="0"/>
            </w:tcBorders>
            <w:shd w:val="clear" w:color="auto" w:fill="auto"/>
          </w:tcPr>
          <w:p w14:paraId="3CFA4D69">
            <w:pPr>
              <w:adjustRightInd w:val="0"/>
              <w:snapToGrid w:val="0"/>
              <w:jc w:val="both"/>
              <w:rPr>
                <w:rFonts w:ascii="Arial" w:hAnsi="Arial" w:cs="Arial"/>
                <w:b/>
                <w:bCs/>
                <w:color w:val="000000"/>
                <w:sz w:val="20"/>
                <w:szCs w:val="20"/>
              </w:rPr>
            </w:pPr>
            <w:r>
              <w:rPr>
                <w:rFonts w:ascii="Arial" w:hAnsi="Arial" w:cs="Arial"/>
                <w:b/>
                <w:bCs/>
                <w:color w:val="000000"/>
                <w:sz w:val="20"/>
                <w:szCs w:val="20"/>
              </w:rPr>
              <w:t>消减措施</w:t>
            </w:r>
          </w:p>
        </w:tc>
      </w:tr>
      <w:tr w14:paraId="58965283">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right w:val="single" w:color="auto" w:sz="4" w:space="0"/>
            </w:tcBorders>
            <w:shd w:val="clear" w:color="auto" w:fill="auto"/>
          </w:tcPr>
          <w:p w14:paraId="527C5AEC">
            <w:pPr>
              <w:adjustRightInd w:val="0"/>
              <w:snapToGrid w:val="0"/>
              <w:jc w:val="both"/>
              <w:rPr>
                <w:rFonts w:ascii="Arial" w:hAnsi="Arial" w:cs="Arial"/>
                <w:color w:val="000000"/>
                <w:sz w:val="20"/>
                <w:szCs w:val="20"/>
              </w:rPr>
            </w:pPr>
            <w:r>
              <w:rPr>
                <w:rFonts w:ascii="Arial" w:hAnsi="Arial" w:cs="Arial"/>
                <w:color w:val="000000"/>
                <w:sz w:val="20"/>
                <w:szCs w:val="20"/>
              </w:rPr>
              <w:t>污染防治</w:t>
            </w:r>
          </w:p>
        </w:tc>
        <w:tc>
          <w:tcPr>
            <w:tcW w:w="525" w:type="pct"/>
            <w:tcBorders>
              <w:top w:val="nil"/>
              <w:left w:val="nil"/>
              <w:bottom w:val="single" w:color="auto" w:sz="4" w:space="0"/>
              <w:right w:val="single" w:color="auto" w:sz="4" w:space="0"/>
            </w:tcBorders>
            <w:shd w:val="clear" w:color="auto" w:fill="auto"/>
          </w:tcPr>
          <w:p w14:paraId="07B8FAF6">
            <w:pPr>
              <w:adjustRightInd w:val="0"/>
              <w:snapToGrid w:val="0"/>
              <w:rPr>
                <w:rFonts w:ascii="Arial" w:hAnsi="Arial" w:cs="Arial"/>
                <w:color w:val="000000"/>
                <w:sz w:val="20"/>
                <w:szCs w:val="20"/>
              </w:rPr>
            </w:pPr>
            <w:r>
              <w:rPr>
                <w:rFonts w:ascii="Arial" w:hAnsi="Arial" w:cs="Arial"/>
                <w:color w:val="000000"/>
                <w:sz w:val="20"/>
                <w:szCs w:val="20"/>
              </w:rPr>
              <w:t>工程施工</w:t>
            </w:r>
          </w:p>
        </w:tc>
        <w:tc>
          <w:tcPr>
            <w:tcW w:w="1031" w:type="pct"/>
            <w:tcBorders>
              <w:top w:val="nil"/>
              <w:left w:val="nil"/>
              <w:bottom w:val="single" w:color="auto" w:sz="4" w:space="0"/>
              <w:right w:val="single" w:color="auto" w:sz="4" w:space="0"/>
            </w:tcBorders>
            <w:shd w:val="clear" w:color="auto" w:fill="auto"/>
          </w:tcPr>
          <w:p w14:paraId="5E806012">
            <w:pPr>
              <w:adjustRightInd w:val="0"/>
              <w:snapToGrid w:val="0"/>
              <w:jc w:val="both"/>
              <w:rPr>
                <w:rFonts w:ascii="Arial" w:hAnsi="Arial" w:cs="Arial"/>
                <w:color w:val="000000"/>
                <w:sz w:val="20"/>
                <w:szCs w:val="20"/>
              </w:rPr>
            </w:pPr>
            <w:r>
              <w:rPr>
                <w:rFonts w:ascii="Arial" w:hAnsi="Arial" w:cs="Arial"/>
                <w:color w:val="000000"/>
                <w:sz w:val="20"/>
                <w:szCs w:val="20"/>
              </w:rPr>
              <w:t>产生扬尘、噪声、废水、建筑垃圾、弃土弃渣等污染</w:t>
            </w:r>
          </w:p>
        </w:tc>
        <w:tc>
          <w:tcPr>
            <w:tcW w:w="3088" w:type="pct"/>
            <w:tcBorders>
              <w:top w:val="nil"/>
              <w:left w:val="nil"/>
              <w:bottom w:val="single" w:color="auto" w:sz="4" w:space="0"/>
              <w:right w:val="single" w:color="auto" w:sz="4" w:space="0"/>
            </w:tcBorders>
            <w:shd w:val="clear" w:color="auto" w:fill="auto"/>
          </w:tcPr>
          <w:p w14:paraId="7DF26EEC">
            <w:pPr>
              <w:adjustRightInd w:val="0"/>
              <w:snapToGrid w:val="0"/>
              <w:jc w:val="both"/>
              <w:rPr>
                <w:rFonts w:ascii="Arial" w:hAnsi="Arial" w:cs="Arial"/>
                <w:color w:val="000000"/>
                <w:sz w:val="20"/>
                <w:szCs w:val="20"/>
              </w:rPr>
            </w:pPr>
            <w:r>
              <w:rPr>
                <w:rFonts w:ascii="Arial" w:hAnsi="Arial" w:cs="Arial"/>
                <w:color w:val="000000"/>
                <w:sz w:val="20"/>
                <w:szCs w:val="20"/>
              </w:rPr>
              <w:t>招标文件和施工合同中包含环保条款；施工组织方案中纳入环评文件和审批意见提出的环保措施（如洒水降尘、合理安排作业时间并设置隔声屏障、施工废水收集与回用等）；由施工单位落实这些条款和措施，由监理单位检查、建设单位监测、城管和生环等部门监管。</w:t>
            </w:r>
          </w:p>
        </w:tc>
      </w:tr>
      <w:tr w14:paraId="63B4FE78">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19E85252">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00AAC865">
            <w:pPr>
              <w:adjustRightInd w:val="0"/>
              <w:snapToGrid w:val="0"/>
              <w:rPr>
                <w:rFonts w:ascii="Arial" w:hAnsi="Arial" w:cs="Arial"/>
                <w:color w:val="000000"/>
                <w:sz w:val="20"/>
                <w:szCs w:val="20"/>
              </w:rPr>
            </w:pPr>
            <w:r>
              <w:rPr>
                <w:rFonts w:ascii="Arial" w:hAnsi="Arial" w:cs="Arial"/>
                <w:color w:val="000000"/>
                <w:sz w:val="20"/>
                <w:szCs w:val="20"/>
              </w:rPr>
              <w:t>农村生活污水处理设施运行</w:t>
            </w:r>
          </w:p>
        </w:tc>
        <w:tc>
          <w:tcPr>
            <w:tcW w:w="1031" w:type="pct"/>
            <w:tcBorders>
              <w:top w:val="nil"/>
              <w:left w:val="nil"/>
              <w:bottom w:val="single" w:color="auto" w:sz="4" w:space="0"/>
              <w:right w:val="single" w:color="auto" w:sz="4" w:space="0"/>
            </w:tcBorders>
            <w:shd w:val="clear" w:color="auto" w:fill="auto"/>
          </w:tcPr>
          <w:p w14:paraId="32D66B70">
            <w:pPr>
              <w:adjustRightInd w:val="0"/>
              <w:snapToGrid w:val="0"/>
              <w:jc w:val="both"/>
              <w:rPr>
                <w:rFonts w:ascii="Arial" w:hAnsi="Arial" w:cs="Arial"/>
                <w:color w:val="000000"/>
                <w:sz w:val="20"/>
                <w:szCs w:val="20"/>
              </w:rPr>
            </w:pPr>
            <w:r>
              <w:rPr>
                <w:rFonts w:ascii="Arial" w:hAnsi="Arial" w:cs="Arial"/>
                <w:color w:val="000000"/>
                <w:sz w:val="20"/>
                <w:szCs w:val="20"/>
              </w:rPr>
              <w:t>产生臭气、污泥、不达标污水等污染</w:t>
            </w:r>
          </w:p>
        </w:tc>
        <w:tc>
          <w:tcPr>
            <w:tcW w:w="3088" w:type="pct"/>
            <w:tcBorders>
              <w:top w:val="nil"/>
              <w:left w:val="nil"/>
              <w:bottom w:val="single" w:color="auto" w:sz="4" w:space="0"/>
              <w:right w:val="single" w:color="auto" w:sz="4" w:space="0"/>
            </w:tcBorders>
            <w:shd w:val="clear" w:color="auto" w:fill="auto"/>
          </w:tcPr>
          <w:p w14:paraId="66E469A0">
            <w:pPr>
              <w:adjustRightInd w:val="0"/>
              <w:snapToGrid w:val="0"/>
              <w:jc w:val="both"/>
              <w:rPr>
                <w:rFonts w:ascii="Arial" w:hAnsi="Arial" w:cs="Arial"/>
                <w:color w:val="000000"/>
                <w:sz w:val="20"/>
                <w:szCs w:val="20"/>
              </w:rPr>
            </w:pPr>
            <w:r>
              <w:rPr>
                <w:rFonts w:ascii="Arial" w:hAnsi="Arial" w:cs="Arial"/>
                <w:color w:val="000000"/>
                <w:sz w:val="20"/>
                <w:szCs w:val="20"/>
              </w:rPr>
              <w:t>严格落实工程设计和环评提出的污染防治设施和措施；定期开展工艺和设备检修，加强运维人员技术培训；加强出水水质监测，严格执行污染物排放标准；污泥经过妥善处理和消毒后通过土地利用等方式处置；预处理区和污泥处理区等臭气可采用加盖等密闭措施进行消减，也可配套臭气收集与处理设施；生环部门</w:t>
            </w:r>
            <w:r>
              <w:rPr>
                <w:rFonts w:ascii="Arial" w:hAnsi="Arial" w:cs="Arial"/>
                <w:color w:val="008080"/>
                <w:sz w:val="20"/>
                <w:szCs w:val="20"/>
                <w:u w:val="single"/>
              </w:rPr>
              <w:t>加强监管、指导和培训</w:t>
            </w:r>
            <w:r>
              <w:rPr>
                <w:rFonts w:ascii="Arial" w:hAnsi="Arial" w:cs="Arial"/>
                <w:color w:val="000000"/>
                <w:sz w:val="20"/>
                <w:szCs w:val="20"/>
              </w:rPr>
              <w:t>。</w:t>
            </w:r>
          </w:p>
        </w:tc>
      </w:tr>
      <w:tr w14:paraId="4E4A76FB">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319333EF">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773C38B4">
            <w:pPr>
              <w:adjustRightInd w:val="0"/>
              <w:snapToGrid w:val="0"/>
              <w:jc w:val="both"/>
              <w:rPr>
                <w:rFonts w:ascii="Arial" w:hAnsi="Arial" w:cs="Arial"/>
                <w:color w:val="000000"/>
                <w:sz w:val="20"/>
                <w:szCs w:val="20"/>
              </w:rPr>
            </w:pPr>
            <w:r>
              <w:rPr>
                <w:rFonts w:ascii="Arial" w:hAnsi="Arial" w:cs="Arial"/>
                <w:color w:val="000000"/>
                <w:sz w:val="20"/>
                <w:szCs w:val="20"/>
              </w:rPr>
              <w:t>农村生活垃圾收集与转运设施运行</w:t>
            </w:r>
          </w:p>
        </w:tc>
        <w:tc>
          <w:tcPr>
            <w:tcW w:w="1031" w:type="pct"/>
            <w:tcBorders>
              <w:top w:val="nil"/>
              <w:left w:val="nil"/>
              <w:bottom w:val="single" w:color="auto" w:sz="4" w:space="0"/>
              <w:right w:val="single" w:color="auto" w:sz="4" w:space="0"/>
            </w:tcBorders>
            <w:shd w:val="clear" w:color="auto" w:fill="auto"/>
          </w:tcPr>
          <w:p w14:paraId="5C584C46">
            <w:pPr>
              <w:adjustRightInd w:val="0"/>
              <w:snapToGrid w:val="0"/>
              <w:jc w:val="both"/>
              <w:rPr>
                <w:rFonts w:ascii="Arial" w:hAnsi="Arial" w:cs="Arial"/>
                <w:color w:val="000000"/>
                <w:sz w:val="20"/>
                <w:szCs w:val="20"/>
              </w:rPr>
            </w:pPr>
            <w:r>
              <w:rPr>
                <w:rFonts w:ascii="Arial" w:hAnsi="Arial" w:cs="Arial"/>
                <w:color w:val="000000"/>
                <w:sz w:val="20"/>
                <w:szCs w:val="20"/>
              </w:rPr>
              <w:t>产生恶臭、渗滤液等污染</w:t>
            </w:r>
          </w:p>
        </w:tc>
        <w:tc>
          <w:tcPr>
            <w:tcW w:w="3088" w:type="pct"/>
            <w:tcBorders>
              <w:top w:val="nil"/>
              <w:left w:val="nil"/>
              <w:bottom w:val="single" w:color="auto" w:sz="4" w:space="0"/>
              <w:right w:val="single" w:color="auto" w:sz="4" w:space="0"/>
            </w:tcBorders>
            <w:shd w:val="clear" w:color="auto" w:fill="auto"/>
          </w:tcPr>
          <w:p w14:paraId="4272EF13">
            <w:pPr>
              <w:adjustRightInd w:val="0"/>
              <w:snapToGrid w:val="0"/>
              <w:jc w:val="both"/>
              <w:rPr>
                <w:rFonts w:ascii="Arial" w:hAnsi="Arial" w:cs="Arial"/>
                <w:color w:val="000000"/>
                <w:sz w:val="20"/>
                <w:szCs w:val="20"/>
              </w:rPr>
            </w:pPr>
            <w:r>
              <w:rPr>
                <w:rFonts w:ascii="Arial" w:hAnsi="Arial" w:cs="Arial"/>
                <w:color w:val="000000"/>
                <w:sz w:val="20"/>
                <w:szCs w:val="20"/>
              </w:rPr>
              <w:t>生活垃圾尽量实行分类投放和收集；严格落实工程设计和环评提出的污染防治设施和措施；转运站配置通风、降尘、除臭系统并在相对密闭的状态下进行转运作业；渗滤液可送至卫生填埋场或焚烧发电厂的渗滤液处理站；城管和生环等部门</w:t>
            </w:r>
            <w:r>
              <w:rPr>
                <w:rFonts w:ascii="Arial" w:hAnsi="Arial" w:cs="Arial"/>
                <w:color w:val="008080"/>
                <w:sz w:val="20"/>
                <w:szCs w:val="20"/>
                <w:u w:val="single"/>
              </w:rPr>
              <w:t>加强监管、指导和培训</w:t>
            </w:r>
            <w:r>
              <w:rPr>
                <w:rFonts w:ascii="Arial" w:hAnsi="Arial" w:cs="Arial"/>
                <w:color w:val="000000"/>
                <w:sz w:val="20"/>
                <w:szCs w:val="20"/>
              </w:rPr>
              <w:t>。</w:t>
            </w:r>
          </w:p>
        </w:tc>
      </w:tr>
      <w:tr w14:paraId="0106B136">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19C3552D">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75A75897">
            <w:pPr>
              <w:adjustRightInd w:val="0"/>
              <w:snapToGrid w:val="0"/>
              <w:jc w:val="both"/>
              <w:rPr>
                <w:rFonts w:ascii="Arial" w:hAnsi="Arial" w:cs="Arial"/>
                <w:color w:val="000000"/>
                <w:sz w:val="20"/>
                <w:szCs w:val="20"/>
              </w:rPr>
            </w:pPr>
            <w:r>
              <w:rPr>
                <w:rFonts w:ascii="Arial" w:hAnsi="Arial" w:cs="Arial"/>
                <w:color w:val="000000"/>
                <w:sz w:val="20"/>
                <w:szCs w:val="20"/>
              </w:rPr>
              <w:t>畜禽粪污处理与利用设施运行</w:t>
            </w:r>
          </w:p>
        </w:tc>
        <w:tc>
          <w:tcPr>
            <w:tcW w:w="1031" w:type="pct"/>
            <w:tcBorders>
              <w:top w:val="nil"/>
              <w:left w:val="nil"/>
              <w:bottom w:val="single" w:color="auto" w:sz="4" w:space="0"/>
              <w:right w:val="single" w:color="auto" w:sz="4" w:space="0"/>
            </w:tcBorders>
            <w:shd w:val="clear" w:color="auto" w:fill="auto"/>
          </w:tcPr>
          <w:p w14:paraId="2FFE905E">
            <w:pPr>
              <w:adjustRightInd w:val="0"/>
              <w:snapToGrid w:val="0"/>
              <w:jc w:val="both"/>
              <w:rPr>
                <w:rFonts w:ascii="Arial" w:hAnsi="Arial" w:cs="Arial"/>
                <w:color w:val="000000" w:themeColor="text1"/>
                <w:sz w:val="20"/>
                <w:szCs w:val="20"/>
                <w14:textFill>
                  <w14:solidFill>
                    <w14:schemeClr w14:val="tx1"/>
                  </w14:solidFill>
                </w14:textFill>
              </w:rPr>
            </w:pPr>
            <w:r>
              <w:rPr>
                <w:rFonts w:ascii="Arial" w:hAnsi="Arial" w:cs="Arial"/>
                <w:color w:val="000000"/>
                <w:sz w:val="20"/>
                <w:szCs w:val="20"/>
              </w:rPr>
              <w:t>产生恶臭、废水、沼渣、沼液等污染</w:t>
            </w:r>
          </w:p>
        </w:tc>
        <w:tc>
          <w:tcPr>
            <w:tcW w:w="3088" w:type="pct"/>
            <w:tcBorders>
              <w:top w:val="nil"/>
              <w:left w:val="nil"/>
              <w:bottom w:val="single" w:color="auto" w:sz="4" w:space="0"/>
              <w:right w:val="single" w:color="auto" w:sz="4" w:space="0"/>
            </w:tcBorders>
            <w:shd w:val="clear" w:color="auto" w:fill="auto"/>
          </w:tcPr>
          <w:p w14:paraId="53F53532">
            <w:pPr>
              <w:adjustRightInd w:val="0"/>
              <w:snapToGrid w:val="0"/>
              <w:jc w:val="both"/>
              <w:rPr>
                <w:rFonts w:ascii="Arial" w:hAnsi="Arial" w:cs="Arial"/>
                <w:color w:val="000000"/>
                <w:sz w:val="20"/>
                <w:szCs w:val="20"/>
              </w:rPr>
            </w:pPr>
            <w:r>
              <w:rPr>
                <w:rFonts w:ascii="Arial" w:hAnsi="Arial" w:cs="Arial"/>
                <w:color w:val="000000"/>
                <w:sz w:val="20"/>
                <w:szCs w:val="20"/>
              </w:rPr>
              <w:t>畜禽养殖场可采取干清粪、生物发酵床等工艺，减少废水产生量和臭气影响，并可在栏舍、粪污处理等区域喷洒除臭剂；粪污充分发酵产生的沼渣、沼液可作为有机肥；农业农村和生环等部门</w:t>
            </w:r>
            <w:r>
              <w:rPr>
                <w:rFonts w:ascii="Arial" w:hAnsi="Arial" w:cs="Arial"/>
                <w:color w:val="008080"/>
                <w:sz w:val="20"/>
                <w:szCs w:val="20"/>
                <w:u w:val="single"/>
              </w:rPr>
              <w:t>加强监管、指导和培训</w:t>
            </w:r>
            <w:r>
              <w:rPr>
                <w:rFonts w:ascii="Arial" w:hAnsi="Arial" w:cs="Arial"/>
                <w:color w:val="000000"/>
                <w:sz w:val="20"/>
                <w:szCs w:val="20"/>
              </w:rPr>
              <w:t>。</w:t>
            </w:r>
          </w:p>
        </w:tc>
      </w:tr>
      <w:tr w14:paraId="17E474E0">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78C90342">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528F0658">
            <w:pPr>
              <w:adjustRightInd w:val="0"/>
              <w:snapToGrid w:val="0"/>
              <w:jc w:val="both"/>
              <w:rPr>
                <w:rFonts w:ascii="Arial" w:hAnsi="Arial" w:cs="Arial"/>
                <w:color w:val="000000"/>
                <w:sz w:val="20"/>
                <w:szCs w:val="20"/>
              </w:rPr>
            </w:pPr>
            <w:r>
              <w:rPr>
                <w:rFonts w:ascii="Arial" w:hAnsi="Arial" w:cs="Arial"/>
                <w:color w:val="000000"/>
                <w:sz w:val="20"/>
                <w:szCs w:val="20"/>
              </w:rPr>
              <w:t>水产养殖尾水处理设施运行</w:t>
            </w:r>
          </w:p>
        </w:tc>
        <w:tc>
          <w:tcPr>
            <w:tcW w:w="1031" w:type="pct"/>
            <w:tcBorders>
              <w:top w:val="nil"/>
              <w:left w:val="nil"/>
              <w:bottom w:val="single" w:color="auto" w:sz="4" w:space="0"/>
              <w:right w:val="single" w:color="auto" w:sz="4" w:space="0"/>
            </w:tcBorders>
            <w:shd w:val="clear" w:color="auto" w:fill="auto"/>
          </w:tcPr>
          <w:p w14:paraId="53F33DA7">
            <w:pPr>
              <w:adjustRightInd w:val="0"/>
              <w:snapToGrid w:val="0"/>
              <w:jc w:val="both"/>
              <w:rPr>
                <w:rFonts w:ascii="Arial" w:hAnsi="Arial" w:cs="Arial"/>
                <w:color w:val="000000" w:themeColor="text1"/>
                <w:sz w:val="20"/>
                <w:szCs w:val="20"/>
                <w14:textFill>
                  <w14:solidFill>
                    <w14:schemeClr w14:val="tx1"/>
                  </w14:solidFill>
                </w14:textFill>
              </w:rPr>
            </w:pPr>
            <w:r>
              <w:rPr>
                <w:rFonts w:ascii="Arial" w:hAnsi="Arial" w:cs="Arial"/>
                <w:color w:val="000000"/>
                <w:sz w:val="20"/>
                <w:szCs w:val="20"/>
              </w:rPr>
              <w:t>产生不达标污水</w:t>
            </w:r>
          </w:p>
        </w:tc>
        <w:tc>
          <w:tcPr>
            <w:tcW w:w="3088" w:type="pct"/>
            <w:tcBorders>
              <w:top w:val="nil"/>
              <w:left w:val="nil"/>
              <w:bottom w:val="single" w:color="auto" w:sz="4" w:space="0"/>
              <w:right w:val="single" w:color="auto" w:sz="4" w:space="0"/>
            </w:tcBorders>
            <w:shd w:val="clear" w:color="auto" w:fill="auto"/>
          </w:tcPr>
          <w:p w14:paraId="359107C9">
            <w:pPr>
              <w:adjustRightInd w:val="0"/>
              <w:snapToGrid w:val="0"/>
              <w:jc w:val="both"/>
              <w:rPr>
                <w:rFonts w:ascii="Arial" w:hAnsi="Arial" w:cs="Arial"/>
                <w:color w:val="000000"/>
                <w:sz w:val="20"/>
                <w:szCs w:val="20"/>
              </w:rPr>
            </w:pPr>
            <w:r>
              <w:rPr>
                <w:rFonts w:ascii="Arial" w:hAnsi="Arial" w:cs="Arial"/>
                <w:color w:val="000000"/>
                <w:sz w:val="20"/>
                <w:szCs w:val="20"/>
              </w:rPr>
              <w:t>选用曝气、生物净化等适宜的污水处理设施；定期开展工艺和设备检修，加强运维人员技术培训；加强出水水质监测，严格执行地方污染物排放标准；农业农村和生环等部门</w:t>
            </w:r>
            <w:r>
              <w:rPr>
                <w:rFonts w:ascii="Arial" w:hAnsi="Arial" w:cs="Arial"/>
                <w:color w:val="008080"/>
                <w:sz w:val="20"/>
                <w:szCs w:val="20"/>
                <w:u w:val="single"/>
              </w:rPr>
              <w:t>加强监管、指导和培训</w:t>
            </w:r>
            <w:r>
              <w:rPr>
                <w:rFonts w:ascii="Arial" w:hAnsi="Arial" w:cs="Arial"/>
                <w:color w:val="000000"/>
                <w:sz w:val="20"/>
                <w:szCs w:val="20"/>
              </w:rPr>
              <w:t>。</w:t>
            </w:r>
          </w:p>
        </w:tc>
      </w:tr>
      <w:tr w14:paraId="38635264">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32647A76">
            <w:pPr>
              <w:adjustRightInd w:val="0"/>
              <w:snapToGrid w:val="0"/>
              <w:rPr>
                <w:rFonts w:ascii="Arial" w:hAnsi="Arial" w:cs="Arial"/>
                <w:color w:val="000000"/>
                <w:sz w:val="20"/>
                <w:szCs w:val="20"/>
              </w:rPr>
            </w:pPr>
          </w:p>
        </w:tc>
        <w:tc>
          <w:tcPr>
            <w:tcW w:w="525" w:type="pct"/>
            <w:vMerge w:val="restart"/>
            <w:tcBorders>
              <w:top w:val="nil"/>
              <w:left w:val="nil"/>
              <w:right w:val="single" w:color="auto" w:sz="4" w:space="0"/>
            </w:tcBorders>
            <w:shd w:val="clear" w:color="auto" w:fill="auto"/>
          </w:tcPr>
          <w:p w14:paraId="53BAC67A">
            <w:pPr>
              <w:adjustRightInd w:val="0"/>
              <w:snapToGrid w:val="0"/>
              <w:jc w:val="both"/>
              <w:rPr>
                <w:rFonts w:ascii="Arial" w:hAnsi="Arial" w:cs="Arial"/>
                <w:color w:val="000000"/>
                <w:sz w:val="20"/>
                <w:szCs w:val="20"/>
              </w:rPr>
            </w:pPr>
            <w:r>
              <w:rPr>
                <w:rFonts w:ascii="Arial" w:hAnsi="Arial" w:cs="Arial"/>
                <w:color w:val="000000"/>
                <w:sz w:val="20"/>
                <w:szCs w:val="20"/>
              </w:rPr>
              <w:t>种植业生产</w:t>
            </w:r>
          </w:p>
        </w:tc>
        <w:tc>
          <w:tcPr>
            <w:tcW w:w="1031" w:type="pct"/>
            <w:tcBorders>
              <w:top w:val="nil"/>
              <w:left w:val="nil"/>
              <w:bottom w:val="single" w:color="auto" w:sz="4" w:space="0"/>
              <w:right w:val="single" w:color="auto" w:sz="4" w:space="0"/>
            </w:tcBorders>
            <w:shd w:val="clear" w:color="auto" w:fill="auto"/>
          </w:tcPr>
          <w:p w14:paraId="3F5D0658">
            <w:pPr>
              <w:adjustRightInd w:val="0"/>
              <w:snapToGrid w:val="0"/>
              <w:jc w:val="both"/>
              <w:rPr>
                <w:rFonts w:ascii="Arial" w:hAnsi="Arial" w:cs="Arial"/>
                <w:color w:val="FF0000"/>
                <w:sz w:val="20"/>
                <w:szCs w:val="20"/>
              </w:rPr>
            </w:pPr>
            <w:r>
              <w:rPr>
                <w:rFonts w:ascii="Arial" w:hAnsi="Arial" w:cs="Arial"/>
                <w:color w:val="000000" w:themeColor="text1"/>
                <w:sz w:val="20"/>
                <w:szCs w:val="20"/>
                <w14:textFill>
                  <w14:solidFill>
                    <w14:schemeClr w14:val="tx1"/>
                  </w14:solidFill>
                </w14:textFill>
              </w:rPr>
              <w:t>化肥施用不当会造成或加重水体面源污染</w:t>
            </w:r>
          </w:p>
        </w:tc>
        <w:tc>
          <w:tcPr>
            <w:tcW w:w="3088" w:type="pct"/>
            <w:tcBorders>
              <w:top w:val="nil"/>
              <w:left w:val="nil"/>
              <w:bottom w:val="single" w:color="auto" w:sz="4" w:space="0"/>
              <w:right w:val="single" w:color="auto" w:sz="4" w:space="0"/>
            </w:tcBorders>
            <w:shd w:val="clear" w:color="auto" w:fill="auto"/>
          </w:tcPr>
          <w:p w14:paraId="6EC93781">
            <w:pPr>
              <w:adjustRightInd w:val="0"/>
              <w:snapToGrid w:val="0"/>
              <w:jc w:val="both"/>
              <w:rPr>
                <w:rFonts w:ascii="Arial" w:hAnsi="Arial" w:cs="Arial"/>
                <w:color w:val="000000"/>
                <w:sz w:val="20"/>
                <w:szCs w:val="20"/>
              </w:rPr>
            </w:pPr>
            <w:r>
              <w:rPr>
                <w:rFonts w:ascii="Arial" w:hAnsi="Arial" w:cs="Arial"/>
                <w:color w:val="000000"/>
                <w:sz w:val="20"/>
                <w:szCs w:val="20"/>
              </w:rPr>
              <w:t>农业生产中采用测土配方施肥、水肥一体化、有机肥替代等方式减少化肥使用量</w:t>
            </w:r>
            <w:r>
              <w:rPr>
                <w:rFonts w:ascii="Arial" w:hAnsi="Arial" w:cs="Arial"/>
                <w:color w:val="008080"/>
                <w:sz w:val="20"/>
                <w:szCs w:val="20"/>
                <w:u w:val="single"/>
              </w:rPr>
              <w:t>；</w:t>
            </w:r>
            <w:r>
              <w:rPr>
                <w:rFonts w:ascii="Arial" w:hAnsi="Arial" w:cs="Arial"/>
                <w:color w:val="000000"/>
                <w:sz w:val="20"/>
                <w:szCs w:val="20"/>
              </w:rPr>
              <w:t>农业农村</w:t>
            </w:r>
            <w:r>
              <w:rPr>
                <w:rFonts w:ascii="Arial" w:hAnsi="Arial" w:cs="Arial"/>
                <w:color w:val="008080"/>
                <w:sz w:val="20"/>
                <w:szCs w:val="20"/>
                <w:u w:val="single"/>
              </w:rPr>
              <w:t>部门加强监管、指导和培训。</w:t>
            </w:r>
          </w:p>
        </w:tc>
      </w:tr>
      <w:tr w14:paraId="0E4B5995">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555C89FD">
            <w:pPr>
              <w:adjustRightInd w:val="0"/>
              <w:snapToGrid w:val="0"/>
              <w:rPr>
                <w:rFonts w:ascii="Arial" w:hAnsi="Arial" w:cs="Arial"/>
                <w:color w:val="000000"/>
                <w:sz w:val="20"/>
                <w:szCs w:val="20"/>
              </w:rPr>
            </w:pPr>
          </w:p>
        </w:tc>
        <w:tc>
          <w:tcPr>
            <w:tcW w:w="525" w:type="pct"/>
            <w:vMerge w:val="continue"/>
            <w:tcBorders>
              <w:left w:val="nil"/>
              <w:bottom w:val="single" w:color="auto" w:sz="4" w:space="0"/>
              <w:right w:val="single" w:color="auto" w:sz="4" w:space="0"/>
            </w:tcBorders>
            <w:shd w:val="clear" w:color="auto" w:fill="auto"/>
          </w:tcPr>
          <w:p w14:paraId="5A268992">
            <w:pPr>
              <w:adjustRightInd w:val="0"/>
              <w:snapToGrid w:val="0"/>
              <w:jc w:val="both"/>
              <w:rPr>
                <w:rFonts w:ascii="Arial" w:hAnsi="Arial" w:cs="Arial"/>
                <w:color w:val="000000"/>
                <w:sz w:val="20"/>
                <w:szCs w:val="20"/>
              </w:rPr>
            </w:pPr>
          </w:p>
        </w:tc>
        <w:tc>
          <w:tcPr>
            <w:tcW w:w="1031" w:type="pct"/>
            <w:tcBorders>
              <w:top w:val="nil"/>
              <w:left w:val="nil"/>
              <w:bottom w:val="single" w:color="auto" w:sz="4" w:space="0"/>
              <w:right w:val="single" w:color="auto" w:sz="4" w:space="0"/>
            </w:tcBorders>
            <w:shd w:val="clear" w:color="auto" w:fill="auto"/>
          </w:tcPr>
          <w:p w14:paraId="13789E01">
            <w:pPr>
              <w:adjustRightInd w:val="0"/>
              <w:snapToGrid w:val="0"/>
              <w:jc w:val="both"/>
              <w:rPr>
                <w:rFonts w:ascii="Arial" w:hAnsi="Arial" w:cs="Arial"/>
                <w:color w:val="000000"/>
                <w:sz w:val="20"/>
                <w:szCs w:val="20"/>
              </w:rPr>
            </w:pPr>
            <w:r>
              <w:rPr>
                <w:rFonts w:ascii="Arial" w:hAnsi="Arial" w:cs="Arial"/>
                <w:color w:val="000000"/>
                <w:sz w:val="20"/>
                <w:szCs w:val="20"/>
              </w:rPr>
              <w:t>农药施用不当会污染环境、影响食品安全、威胁人类健康</w:t>
            </w:r>
          </w:p>
        </w:tc>
        <w:tc>
          <w:tcPr>
            <w:tcW w:w="3088" w:type="pct"/>
            <w:tcBorders>
              <w:top w:val="nil"/>
              <w:left w:val="nil"/>
              <w:bottom w:val="single" w:color="auto" w:sz="4" w:space="0"/>
              <w:right w:val="single" w:color="auto" w:sz="4" w:space="0"/>
            </w:tcBorders>
            <w:shd w:val="clear" w:color="auto" w:fill="auto"/>
          </w:tcPr>
          <w:p w14:paraId="1552386D">
            <w:pPr>
              <w:adjustRightInd w:val="0"/>
              <w:snapToGrid w:val="0"/>
              <w:jc w:val="both"/>
              <w:rPr>
                <w:rFonts w:ascii="Arial" w:hAnsi="Arial" w:cs="Arial"/>
                <w:color w:val="000000"/>
                <w:sz w:val="20"/>
                <w:szCs w:val="20"/>
              </w:rPr>
            </w:pPr>
            <w:r>
              <w:rPr>
                <w:rFonts w:ascii="Arial" w:hAnsi="Arial" w:cs="Arial"/>
                <w:color w:val="000000"/>
                <w:sz w:val="20"/>
                <w:szCs w:val="20"/>
              </w:rPr>
              <w:t>严格遵守农药管理制度，农药生产和经营履行许可制要求，农药使用者按技术说明使用农药；鼓励采用病虫害综合防控措施，使用生态治理、健康栽培、生物防治、物理防治等绿色防控技术，促进农药减量；农业农村部门</w:t>
            </w:r>
            <w:r>
              <w:rPr>
                <w:rFonts w:ascii="Arial" w:hAnsi="Arial" w:cs="Arial"/>
                <w:color w:val="008080"/>
                <w:sz w:val="20"/>
                <w:szCs w:val="20"/>
                <w:u w:val="single"/>
              </w:rPr>
              <w:t>加强监管、指导和培训</w:t>
            </w:r>
            <w:r>
              <w:rPr>
                <w:rFonts w:ascii="Arial" w:hAnsi="Arial" w:cs="Arial"/>
                <w:color w:val="000000"/>
                <w:sz w:val="20"/>
                <w:szCs w:val="20"/>
              </w:rPr>
              <w:t>。</w:t>
            </w:r>
          </w:p>
        </w:tc>
      </w:tr>
      <w:tr w14:paraId="68AFEEB6">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7BB87481">
            <w:pPr>
              <w:adjustRightInd w:val="0"/>
              <w:snapToGrid w:val="0"/>
              <w:rPr>
                <w:rFonts w:ascii="Arial" w:hAnsi="Arial" w:cs="Arial"/>
                <w:color w:val="000000"/>
                <w:sz w:val="20"/>
                <w:szCs w:val="20"/>
              </w:rPr>
            </w:pPr>
          </w:p>
        </w:tc>
        <w:tc>
          <w:tcPr>
            <w:tcW w:w="525" w:type="pct"/>
            <w:vMerge w:val="restart"/>
            <w:tcBorders>
              <w:top w:val="nil"/>
              <w:left w:val="nil"/>
              <w:right w:val="single" w:color="auto" w:sz="4" w:space="0"/>
            </w:tcBorders>
            <w:shd w:val="clear" w:color="auto" w:fill="auto"/>
          </w:tcPr>
          <w:p w14:paraId="6E5A6EB9">
            <w:pPr>
              <w:adjustRightInd w:val="0"/>
              <w:snapToGrid w:val="0"/>
              <w:jc w:val="both"/>
              <w:rPr>
                <w:rFonts w:ascii="Arial" w:hAnsi="Arial" w:cs="Arial"/>
                <w:color w:val="000000"/>
                <w:sz w:val="20"/>
                <w:szCs w:val="20"/>
              </w:rPr>
            </w:pPr>
            <w:r>
              <w:rPr>
                <w:rFonts w:ascii="Arial" w:hAnsi="Arial" w:cs="Arial"/>
                <w:color w:val="000000"/>
                <w:sz w:val="20"/>
                <w:szCs w:val="20"/>
              </w:rPr>
              <w:t>重金属污染农田治理</w:t>
            </w:r>
          </w:p>
        </w:tc>
        <w:tc>
          <w:tcPr>
            <w:tcW w:w="1031" w:type="pct"/>
            <w:tcBorders>
              <w:top w:val="nil"/>
              <w:left w:val="nil"/>
              <w:bottom w:val="single" w:color="auto" w:sz="4" w:space="0"/>
              <w:right w:val="single" w:color="auto" w:sz="4" w:space="0"/>
            </w:tcBorders>
            <w:shd w:val="clear" w:color="auto" w:fill="auto"/>
          </w:tcPr>
          <w:p w14:paraId="1E56A4C6">
            <w:pPr>
              <w:adjustRightInd w:val="0"/>
              <w:snapToGrid w:val="0"/>
              <w:jc w:val="both"/>
              <w:rPr>
                <w:rFonts w:ascii="Arial" w:hAnsi="Arial" w:cs="Arial"/>
                <w:color w:val="000000"/>
                <w:sz w:val="20"/>
                <w:szCs w:val="20"/>
              </w:rPr>
            </w:pPr>
            <w:r>
              <w:rPr>
                <w:rFonts w:ascii="Arial" w:hAnsi="Arial" w:cs="Arial"/>
                <w:color w:val="000000"/>
                <w:sz w:val="20"/>
                <w:szCs w:val="20"/>
              </w:rPr>
              <w:t>钝化剂或有机肥不合格造成土壤二次污染</w:t>
            </w:r>
          </w:p>
        </w:tc>
        <w:tc>
          <w:tcPr>
            <w:tcW w:w="3088" w:type="pct"/>
            <w:tcBorders>
              <w:top w:val="nil"/>
              <w:left w:val="nil"/>
              <w:bottom w:val="single" w:color="auto" w:sz="4" w:space="0"/>
              <w:right w:val="single" w:color="auto" w:sz="4" w:space="0"/>
            </w:tcBorders>
            <w:shd w:val="clear" w:color="auto" w:fill="auto"/>
          </w:tcPr>
          <w:p w14:paraId="7CFBF341">
            <w:pPr>
              <w:adjustRightInd w:val="0"/>
              <w:snapToGrid w:val="0"/>
              <w:jc w:val="both"/>
              <w:rPr>
                <w:rFonts w:ascii="Arial" w:hAnsi="Arial" w:cs="Arial"/>
                <w:color w:val="000000"/>
                <w:sz w:val="20"/>
                <w:szCs w:val="20"/>
              </w:rPr>
            </w:pPr>
            <w:r>
              <w:rPr>
                <w:rFonts w:ascii="Arial" w:hAnsi="Arial" w:cs="Arial"/>
                <w:color w:val="000000"/>
                <w:sz w:val="20"/>
                <w:szCs w:val="20"/>
              </w:rPr>
              <w:t>避免使用工业固废作为土壤钝化剂，并合理确定土壤钝化剂施用量；监测有机肥中的重金属含量，避免施用高镉化肥。</w:t>
            </w:r>
          </w:p>
        </w:tc>
      </w:tr>
      <w:tr w14:paraId="7510CD17">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tcPr>
          <w:p w14:paraId="40659DC0">
            <w:pPr>
              <w:adjustRightInd w:val="0"/>
              <w:snapToGrid w:val="0"/>
              <w:rPr>
                <w:rFonts w:ascii="Arial" w:hAnsi="Arial" w:cs="Arial"/>
                <w:color w:val="000000"/>
                <w:sz w:val="20"/>
                <w:szCs w:val="20"/>
              </w:rPr>
            </w:pPr>
          </w:p>
        </w:tc>
        <w:tc>
          <w:tcPr>
            <w:tcW w:w="525" w:type="pct"/>
            <w:vMerge w:val="continue"/>
            <w:tcBorders>
              <w:left w:val="nil"/>
              <w:right w:val="single" w:color="auto" w:sz="4" w:space="0"/>
            </w:tcBorders>
            <w:shd w:val="clear" w:color="auto" w:fill="auto"/>
          </w:tcPr>
          <w:p w14:paraId="15619C3B">
            <w:pPr>
              <w:adjustRightInd w:val="0"/>
              <w:snapToGrid w:val="0"/>
              <w:jc w:val="both"/>
              <w:rPr>
                <w:rFonts w:ascii="Arial" w:hAnsi="Arial" w:cs="Arial"/>
                <w:color w:val="000000"/>
                <w:sz w:val="20"/>
                <w:szCs w:val="20"/>
              </w:rPr>
            </w:pPr>
          </w:p>
        </w:tc>
        <w:tc>
          <w:tcPr>
            <w:tcW w:w="1031" w:type="pct"/>
            <w:tcBorders>
              <w:top w:val="nil"/>
              <w:left w:val="nil"/>
              <w:bottom w:val="single" w:color="auto" w:sz="4" w:space="0"/>
              <w:right w:val="single" w:color="auto" w:sz="4" w:space="0"/>
            </w:tcBorders>
            <w:shd w:val="clear" w:color="auto" w:fill="auto"/>
          </w:tcPr>
          <w:p w14:paraId="5CB32FDD">
            <w:pPr>
              <w:adjustRightInd w:val="0"/>
              <w:snapToGrid w:val="0"/>
              <w:jc w:val="both"/>
              <w:rPr>
                <w:rFonts w:ascii="Arial" w:hAnsi="Arial" w:cs="Arial"/>
                <w:color w:val="000000"/>
                <w:sz w:val="20"/>
                <w:szCs w:val="20"/>
              </w:rPr>
            </w:pPr>
            <w:r>
              <w:rPr>
                <w:rFonts w:ascii="Arial" w:hAnsi="Arial" w:cs="Arial"/>
                <w:color w:val="000000"/>
                <w:sz w:val="20"/>
                <w:szCs w:val="20"/>
              </w:rPr>
              <w:t>含镉秸秆处置不当污染土壤和粮食</w:t>
            </w:r>
          </w:p>
        </w:tc>
        <w:tc>
          <w:tcPr>
            <w:tcW w:w="3088" w:type="pct"/>
            <w:tcBorders>
              <w:top w:val="nil"/>
              <w:left w:val="nil"/>
              <w:bottom w:val="single" w:color="auto" w:sz="4" w:space="0"/>
              <w:right w:val="single" w:color="auto" w:sz="4" w:space="0"/>
            </w:tcBorders>
            <w:shd w:val="clear" w:color="auto" w:fill="auto"/>
          </w:tcPr>
          <w:p w14:paraId="61402679">
            <w:pPr>
              <w:adjustRightInd w:val="0"/>
              <w:snapToGrid w:val="0"/>
              <w:jc w:val="both"/>
              <w:rPr>
                <w:rFonts w:ascii="Arial" w:hAnsi="Arial" w:cs="Arial"/>
                <w:color w:val="000000"/>
                <w:sz w:val="20"/>
                <w:szCs w:val="20"/>
              </w:rPr>
            </w:pPr>
            <w:r>
              <w:rPr>
                <w:rFonts w:ascii="Arial" w:hAnsi="Arial" w:cs="Arial"/>
                <w:color w:val="000000"/>
                <w:sz w:val="20"/>
                <w:szCs w:val="20"/>
              </w:rPr>
              <w:t>对秸秆镉含量&gt;1.5mg/kg的区域，采取秸秆移田措施，将秸秆在林地就地还林覆盖处置。</w:t>
            </w:r>
          </w:p>
        </w:tc>
      </w:tr>
      <w:tr w14:paraId="7EECB726">
        <w:tblPrEx>
          <w:tblCellMar>
            <w:top w:w="0" w:type="dxa"/>
            <w:left w:w="28" w:type="dxa"/>
            <w:bottom w:w="0" w:type="dxa"/>
            <w:right w:w="28" w:type="dxa"/>
          </w:tblCellMar>
        </w:tblPrEx>
        <w:trPr>
          <w:trHeight w:val="20" w:hRule="atLeast"/>
        </w:trPr>
        <w:tc>
          <w:tcPr>
            <w:tcW w:w="356" w:type="pct"/>
            <w:vMerge w:val="continue"/>
            <w:tcBorders>
              <w:left w:val="single" w:color="auto" w:sz="4" w:space="0"/>
              <w:bottom w:val="single" w:color="auto" w:sz="4" w:space="0"/>
              <w:right w:val="single" w:color="auto" w:sz="4" w:space="0"/>
            </w:tcBorders>
          </w:tcPr>
          <w:p w14:paraId="2098E318">
            <w:pPr>
              <w:adjustRightInd w:val="0"/>
              <w:snapToGrid w:val="0"/>
              <w:rPr>
                <w:rFonts w:ascii="Arial" w:hAnsi="Arial" w:cs="Arial"/>
                <w:color w:val="000000"/>
                <w:sz w:val="20"/>
                <w:szCs w:val="20"/>
              </w:rPr>
            </w:pPr>
          </w:p>
        </w:tc>
        <w:tc>
          <w:tcPr>
            <w:tcW w:w="525" w:type="pct"/>
            <w:vMerge w:val="continue"/>
            <w:tcBorders>
              <w:left w:val="nil"/>
              <w:bottom w:val="single" w:color="auto" w:sz="4" w:space="0"/>
              <w:right w:val="single" w:color="auto" w:sz="4" w:space="0"/>
            </w:tcBorders>
            <w:shd w:val="clear" w:color="auto" w:fill="auto"/>
          </w:tcPr>
          <w:p w14:paraId="244CCD63">
            <w:pPr>
              <w:adjustRightInd w:val="0"/>
              <w:snapToGrid w:val="0"/>
              <w:jc w:val="both"/>
              <w:rPr>
                <w:rFonts w:ascii="Arial" w:hAnsi="Arial" w:cs="Arial"/>
                <w:color w:val="000000"/>
                <w:sz w:val="20"/>
                <w:szCs w:val="20"/>
              </w:rPr>
            </w:pPr>
          </w:p>
        </w:tc>
        <w:tc>
          <w:tcPr>
            <w:tcW w:w="1031" w:type="pct"/>
            <w:tcBorders>
              <w:top w:val="nil"/>
              <w:left w:val="nil"/>
              <w:bottom w:val="single" w:color="auto" w:sz="4" w:space="0"/>
              <w:right w:val="single" w:color="auto" w:sz="4" w:space="0"/>
            </w:tcBorders>
            <w:shd w:val="clear" w:color="auto" w:fill="auto"/>
          </w:tcPr>
          <w:p w14:paraId="31701540">
            <w:pPr>
              <w:adjustRightInd w:val="0"/>
              <w:snapToGrid w:val="0"/>
              <w:jc w:val="both"/>
              <w:rPr>
                <w:rFonts w:ascii="Arial" w:hAnsi="Arial" w:cs="Arial"/>
                <w:color w:val="000000"/>
                <w:sz w:val="20"/>
                <w:szCs w:val="20"/>
              </w:rPr>
            </w:pPr>
            <w:r>
              <w:rPr>
                <w:rFonts w:ascii="Arial" w:hAnsi="Arial" w:cs="Arial"/>
                <w:color w:val="000000"/>
                <w:sz w:val="20"/>
                <w:szCs w:val="20"/>
              </w:rPr>
              <w:t>镉超标稻米处置不当流入市场威胁人类健康</w:t>
            </w:r>
          </w:p>
        </w:tc>
        <w:tc>
          <w:tcPr>
            <w:tcW w:w="3088" w:type="pct"/>
            <w:tcBorders>
              <w:top w:val="nil"/>
              <w:left w:val="nil"/>
              <w:bottom w:val="single" w:color="auto" w:sz="4" w:space="0"/>
              <w:right w:val="single" w:color="auto" w:sz="4" w:space="0"/>
            </w:tcBorders>
            <w:shd w:val="clear" w:color="auto" w:fill="auto"/>
          </w:tcPr>
          <w:p w14:paraId="33EBFA43">
            <w:pPr>
              <w:adjustRightInd w:val="0"/>
              <w:snapToGrid w:val="0"/>
              <w:jc w:val="both"/>
              <w:rPr>
                <w:rFonts w:ascii="Arial" w:hAnsi="Arial" w:cs="Arial"/>
                <w:color w:val="000000"/>
                <w:sz w:val="20"/>
                <w:szCs w:val="20"/>
              </w:rPr>
            </w:pPr>
            <w:r>
              <w:rPr>
                <w:rFonts w:ascii="Arial" w:hAnsi="Arial" w:cs="Arial"/>
                <w:color w:val="000000"/>
                <w:sz w:val="20"/>
                <w:szCs w:val="20"/>
              </w:rPr>
              <w:t>与专用粮库签订超标稻谷委托收购协议，禁止其进入粮食市场；与酿酒企业签订超标稻谷酿酒处置协议，并对白酒中的镉等重金属进行检测；对含镉酒糟进行卫生填埋，严禁进入食物链等。</w:t>
            </w:r>
          </w:p>
        </w:tc>
      </w:tr>
      <w:tr w14:paraId="660C1B93">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bottom w:val="single" w:color="auto" w:sz="4" w:space="0"/>
              <w:right w:val="single" w:color="auto" w:sz="4" w:space="0"/>
            </w:tcBorders>
            <w:shd w:val="clear" w:color="auto" w:fill="auto"/>
          </w:tcPr>
          <w:p w14:paraId="5A3B32B3">
            <w:pPr>
              <w:adjustRightInd w:val="0"/>
              <w:snapToGrid w:val="0"/>
              <w:jc w:val="both"/>
              <w:rPr>
                <w:rFonts w:ascii="Arial" w:hAnsi="Arial" w:cs="Arial"/>
                <w:color w:val="000000"/>
                <w:sz w:val="20"/>
                <w:szCs w:val="20"/>
              </w:rPr>
            </w:pPr>
            <w:r>
              <w:rPr>
                <w:rFonts w:ascii="Arial" w:hAnsi="Arial" w:cs="Arial"/>
                <w:color w:val="000000"/>
                <w:sz w:val="20"/>
                <w:szCs w:val="20"/>
              </w:rPr>
              <w:t>生态保护</w:t>
            </w:r>
          </w:p>
        </w:tc>
        <w:tc>
          <w:tcPr>
            <w:tcW w:w="525" w:type="pct"/>
            <w:tcBorders>
              <w:top w:val="nil"/>
              <w:left w:val="nil"/>
              <w:bottom w:val="single" w:color="auto" w:sz="4" w:space="0"/>
              <w:right w:val="single" w:color="auto" w:sz="4" w:space="0"/>
            </w:tcBorders>
            <w:shd w:val="clear" w:color="auto" w:fill="auto"/>
          </w:tcPr>
          <w:p w14:paraId="2C14EDA5">
            <w:pPr>
              <w:adjustRightInd w:val="0"/>
              <w:snapToGrid w:val="0"/>
              <w:jc w:val="both"/>
              <w:rPr>
                <w:rFonts w:ascii="Arial" w:hAnsi="Arial" w:cs="Arial"/>
                <w:color w:val="000000"/>
                <w:sz w:val="20"/>
                <w:szCs w:val="20"/>
              </w:rPr>
            </w:pPr>
            <w:r>
              <w:rPr>
                <w:rFonts w:ascii="Arial" w:hAnsi="Arial" w:cs="Arial"/>
                <w:color w:val="000000"/>
                <w:sz w:val="20"/>
                <w:szCs w:val="20"/>
              </w:rPr>
              <w:t>工程选址</w:t>
            </w:r>
          </w:p>
        </w:tc>
        <w:tc>
          <w:tcPr>
            <w:tcW w:w="1031" w:type="pct"/>
            <w:tcBorders>
              <w:top w:val="nil"/>
              <w:left w:val="nil"/>
              <w:bottom w:val="single" w:color="auto" w:sz="4" w:space="0"/>
              <w:right w:val="single" w:color="auto" w:sz="4" w:space="0"/>
            </w:tcBorders>
            <w:shd w:val="clear" w:color="auto" w:fill="auto"/>
          </w:tcPr>
          <w:p w14:paraId="39EDAD02">
            <w:pPr>
              <w:adjustRightInd w:val="0"/>
              <w:snapToGrid w:val="0"/>
              <w:jc w:val="both"/>
              <w:rPr>
                <w:rFonts w:ascii="Arial" w:hAnsi="Arial" w:cs="Arial"/>
                <w:color w:val="000000"/>
                <w:sz w:val="20"/>
                <w:szCs w:val="20"/>
              </w:rPr>
            </w:pPr>
            <w:r>
              <w:rPr>
                <w:rFonts w:ascii="Arial" w:hAnsi="Arial" w:cs="Arial"/>
                <w:color w:val="000000"/>
                <w:sz w:val="20"/>
                <w:szCs w:val="20"/>
              </w:rPr>
              <w:t>可能涉及生态保护红线</w:t>
            </w:r>
          </w:p>
        </w:tc>
        <w:tc>
          <w:tcPr>
            <w:tcW w:w="3088" w:type="pct"/>
            <w:tcBorders>
              <w:top w:val="nil"/>
              <w:left w:val="nil"/>
              <w:bottom w:val="single" w:color="auto" w:sz="4" w:space="0"/>
              <w:right w:val="single" w:color="auto" w:sz="4" w:space="0"/>
            </w:tcBorders>
            <w:shd w:val="clear" w:color="auto" w:fill="auto"/>
          </w:tcPr>
          <w:p w14:paraId="6E12E5F0">
            <w:pPr>
              <w:adjustRightInd w:val="0"/>
              <w:snapToGrid w:val="0"/>
              <w:jc w:val="both"/>
              <w:rPr>
                <w:rFonts w:ascii="Arial" w:hAnsi="Arial" w:cs="Arial"/>
                <w:color w:val="000000"/>
                <w:sz w:val="20"/>
                <w:szCs w:val="20"/>
              </w:rPr>
            </w:pPr>
            <w:r>
              <w:rPr>
                <w:rFonts w:ascii="Arial" w:hAnsi="Arial" w:cs="Arial"/>
                <w:color w:val="000000"/>
                <w:sz w:val="20"/>
                <w:szCs w:val="20"/>
              </w:rPr>
              <w:t>工程设施选址将在自然资源、生环等部门的监管下，严格遵守国家生态保护红线机制，不会轻易涉及环境敏感区；排除生态保护红线内的实体工程。</w:t>
            </w:r>
          </w:p>
        </w:tc>
      </w:tr>
      <w:tr w14:paraId="1C7CEC5D">
        <w:tblPrEx>
          <w:tblCellMar>
            <w:top w:w="0" w:type="dxa"/>
            <w:left w:w="28" w:type="dxa"/>
            <w:bottom w:w="0" w:type="dxa"/>
            <w:right w:w="28" w:type="dxa"/>
          </w:tblCellMar>
        </w:tblPrEx>
        <w:trPr>
          <w:trHeight w:val="20" w:hRule="atLeast"/>
        </w:trPr>
        <w:tc>
          <w:tcPr>
            <w:tcW w:w="356" w:type="pct"/>
            <w:vMerge w:val="continue"/>
            <w:tcBorders>
              <w:top w:val="nil"/>
              <w:left w:val="single" w:color="auto" w:sz="4" w:space="0"/>
              <w:bottom w:val="single" w:color="auto" w:sz="4" w:space="0"/>
              <w:right w:val="single" w:color="auto" w:sz="4" w:space="0"/>
            </w:tcBorders>
          </w:tcPr>
          <w:p w14:paraId="798ACC1D">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5CC55C16">
            <w:pPr>
              <w:adjustRightInd w:val="0"/>
              <w:snapToGrid w:val="0"/>
              <w:jc w:val="both"/>
              <w:rPr>
                <w:rFonts w:ascii="Arial" w:hAnsi="Arial" w:cs="Arial"/>
                <w:color w:val="000000"/>
                <w:sz w:val="20"/>
                <w:szCs w:val="20"/>
              </w:rPr>
            </w:pPr>
            <w:r>
              <w:rPr>
                <w:rFonts w:ascii="Arial" w:hAnsi="Arial" w:cs="Arial"/>
                <w:color w:val="000000"/>
                <w:sz w:val="20"/>
                <w:szCs w:val="20"/>
              </w:rPr>
              <w:t>工程施工</w:t>
            </w:r>
          </w:p>
        </w:tc>
        <w:tc>
          <w:tcPr>
            <w:tcW w:w="1031" w:type="pct"/>
            <w:tcBorders>
              <w:top w:val="nil"/>
              <w:left w:val="nil"/>
              <w:bottom w:val="single" w:color="auto" w:sz="4" w:space="0"/>
              <w:right w:val="single" w:color="auto" w:sz="4" w:space="0"/>
            </w:tcBorders>
            <w:shd w:val="clear" w:color="auto" w:fill="auto"/>
          </w:tcPr>
          <w:p w14:paraId="1A6A9308">
            <w:pPr>
              <w:adjustRightInd w:val="0"/>
              <w:snapToGrid w:val="0"/>
              <w:jc w:val="both"/>
              <w:rPr>
                <w:rFonts w:ascii="Arial" w:hAnsi="Arial" w:cs="Arial"/>
                <w:color w:val="000000"/>
                <w:sz w:val="20"/>
                <w:szCs w:val="20"/>
              </w:rPr>
            </w:pPr>
            <w:r>
              <w:rPr>
                <w:rFonts w:ascii="Arial" w:hAnsi="Arial" w:cs="Arial"/>
                <w:color w:val="000000"/>
                <w:sz w:val="20"/>
                <w:szCs w:val="20"/>
              </w:rPr>
              <w:t>扰动施工区少量地表植被，产生局部水土流失</w:t>
            </w:r>
          </w:p>
        </w:tc>
        <w:tc>
          <w:tcPr>
            <w:tcW w:w="3088" w:type="pct"/>
            <w:tcBorders>
              <w:top w:val="nil"/>
              <w:left w:val="nil"/>
              <w:bottom w:val="single" w:color="auto" w:sz="4" w:space="0"/>
              <w:right w:val="single" w:color="auto" w:sz="4" w:space="0"/>
            </w:tcBorders>
            <w:shd w:val="clear" w:color="auto" w:fill="auto"/>
          </w:tcPr>
          <w:p w14:paraId="059767FC">
            <w:pPr>
              <w:adjustRightInd w:val="0"/>
              <w:snapToGrid w:val="0"/>
              <w:jc w:val="both"/>
              <w:rPr>
                <w:rFonts w:ascii="Arial" w:hAnsi="Arial" w:cs="Arial"/>
                <w:color w:val="000000"/>
                <w:sz w:val="20"/>
                <w:szCs w:val="20"/>
              </w:rPr>
            </w:pPr>
            <w:r>
              <w:rPr>
                <w:rFonts w:ascii="Arial" w:hAnsi="Arial" w:cs="Arial"/>
                <w:color w:val="000000"/>
                <w:sz w:val="20"/>
                <w:szCs w:val="20"/>
              </w:rPr>
              <w:t>根据环评中制定的生态环境保护措施以及水土保持方案，建设单位负责施工中的生态保护与水保责任；施工单位按合同要求落实具体措施（如避免雨天施工、及时恢复地表植被、开展水保监测等）。</w:t>
            </w:r>
          </w:p>
        </w:tc>
      </w:tr>
      <w:tr w14:paraId="0E70178B">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bottom w:val="single" w:color="auto" w:sz="4" w:space="0"/>
              <w:right w:val="single" w:color="auto" w:sz="4" w:space="0"/>
            </w:tcBorders>
            <w:shd w:val="clear" w:color="auto" w:fill="auto"/>
          </w:tcPr>
          <w:p w14:paraId="7F848000">
            <w:pPr>
              <w:adjustRightInd w:val="0"/>
              <w:snapToGrid w:val="0"/>
              <w:jc w:val="both"/>
              <w:rPr>
                <w:rFonts w:ascii="Arial" w:hAnsi="Arial" w:cs="Arial"/>
                <w:color w:val="000000"/>
                <w:sz w:val="20"/>
                <w:szCs w:val="20"/>
              </w:rPr>
            </w:pPr>
            <w:r>
              <w:rPr>
                <w:rFonts w:ascii="Arial" w:hAnsi="Arial" w:cs="Arial"/>
                <w:color w:val="000000"/>
                <w:sz w:val="20"/>
                <w:szCs w:val="20"/>
              </w:rPr>
              <w:t>健康与安全</w:t>
            </w:r>
          </w:p>
        </w:tc>
        <w:tc>
          <w:tcPr>
            <w:tcW w:w="525" w:type="pct"/>
            <w:tcBorders>
              <w:top w:val="nil"/>
              <w:left w:val="nil"/>
              <w:bottom w:val="single" w:color="auto" w:sz="4" w:space="0"/>
              <w:right w:val="single" w:color="auto" w:sz="4" w:space="0"/>
            </w:tcBorders>
            <w:shd w:val="clear" w:color="auto" w:fill="auto"/>
          </w:tcPr>
          <w:p w14:paraId="192F8680">
            <w:pPr>
              <w:adjustRightInd w:val="0"/>
              <w:snapToGrid w:val="0"/>
              <w:jc w:val="both"/>
              <w:rPr>
                <w:rFonts w:ascii="Arial" w:hAnsi="Arial" w:cs="Arial"/>
                <w:color w:val="000000"/>
                <w:sz w:val="20"/>
                <w:szCs w:val="20"/>
              </w:rPr>
            </w:pPr>
            <w:r>
              <w:rPr>
                <w:rFonts w:ascii="Arial" w:hAnsi="Arial" w:cs="Arial"/>
                <w:color w:val="000000"/>
                <w:sz w:val="20"/>
                <w:szCs w:val="20"/>
              </w:rPr>
              <w:t>工程施工</w:t>
            </w:r>
          </w:p>
        </w:tc>
        <w:tc>
          <w:tcPr>
            <w:tcW w:w="1031" w:type="pct"/>
            <w:tcBorders>
              <w:top w:val="nil"/>
              <w:left w:val="nil"/>
              <w:bottom w:val="single" w:color="auto" w:sz="4" w:space="0"/>
              <w:right w:val="single" w:color="auto" w:sz="4" w:space="0"/>
            </w:tcBorders>
            <w:shd w:val="clear" w:color="auto" w:fill="auto"/>
          </w:tcPr>
          <w:p w14:paraId="4F4791C6">
            <w:pPr>
              <w:adjustRightInd w:val="0"/>
              <w:snapToGrid w:val="0"/>
              <w:jc w:val="both"/>
              <w:rPr>
                <w:rFonts w:ascii="Arial" w:hAnsi="Arial" w:cs="Arial"/>
                <w:color w:val="000000"/>
                <w:sz w:val="20"/>
                <w:szCs w:val="20"/>
              </w:rPr>
            </w:pPr>
            <w:r>
              <w:rPr>
                <w:rFonts w:ascii="Arial" w:hAnsi="Arial" w:cs="Arial"/>
                <w:color w:val="000000"/>
                <w:sz w:val="20"/>
                <w:szCs w:val="20"/>
              </w:rPr>
              <w:t>施工人员存在潜在的健康与安全风险</w:t>
            </w:r>
          </w:p>
        </w:tc>
        <w:tc>
          <w:tcPr>
            <w:tcW w:w="3088" w:type="pct"/>
            <w:tcBorders>
              <w:top w:val="nil"/>
              <w:left w:val="nil"/>
              <w:bottom w:val="single" w:color="auto" w:sz="4" w:space="0"/>
              <w:right w:val="single" w:color="auto" w:sz="4" w:space="0"/>
            </w:tcBorders>
            <w:shd w:val="clear" w:color="auto" w:fill="auto"/>
          </w:tcPr>
          <w:p w14:paraId="07B03864">
            <w:pPr>
              <w:adjustRightInd w:val="0"/>
              <w:snapToGrid w:val="0"/>
              <w:jc w:val="both"/>
              <w:rPr>
                <w:rFonts w:ascii="Arial" w:hAnsi="Arial" w:cs="Arial"/>
                <w:color w:val="000000"/>
                <w:sz w:val="20"/>
                <w:szCs w:val="20"/>
              </w:rPr>
            </w:pPr>
            <w:r>
              <w:rPr>
                <w:rFonts w:ascii="Arial" w:hAnsi="Arial" w:cs="Arial"/>
                <w:color w:val="000000"/>
                <w:sz w:val="20"/>
                <w:szCs w:val="20"/>
              </w:rPr>
              <w:t>施工单位按合同要求，为施工人员提供符合标准的口罩、手套、安全帽等劳动保护用品，并按规定为施工人员提供安全培训。</w:t>
            </w:r>
          </w:p>
        </w:tc>
      </w:tr>
      <w:tr w14:paraId="6EFBC31B">
        <w:tblPrEx>
          <w:tblCellMar>
            <w:top w:w="0" w:type="dxa"/>
            <w:left w:w="28" w:type="dxa"/>
            <w:bottom w:w="0" w:type="dxa"/>
            <w:right w:w="28" w:type="dxa"/>
          </w:tblCellMar>
        </w:tblPrEx>
        <w:trPr>
          <w:trHeight w:val="20" w:hRule="atLeast"/>
        </w:trPr>
        <w:tc>
          <w:tcPr>
            <w:tcW w:w="356" w:type="pct"/>
            <w:vMerge w:val="continue"/>
            <w:tcBorders>
              <w:top w:val="nil"/>
              <w:left w:val="single" w:color="auto" w:sz="4" w:space="0"/>
              <w:bottom w:val="single" w:color="auto" w:sz="4" w:space="0"/>
              <w:right w:val="single" w:color="auto" w:sz="4" w:space="0"/>
            </w:tcBorders>
          </w:tcPr>
          <w:p w14:paraId="7D43E059">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3002A0A8">
            <w:pPr>
              <w:adjustRightInd w:val="0"/>
              <w:snapToGrid w:val="0"/>
              <w:jc w:val="both"/>
              <w:rPr>
                <w:rFonts w:ascii="Arial" w:hAnsi="Arial" w:cs="Arial"/>
                <w:color w:val="000000"/>
                <w:sz w:val="20"/>
                <w:szCs w:val="20"/>
              </w:rPr>
            </w:pPr>
            <w:r>
              <w:rPr>
                <w:rFonts w:ascii="Arial" w:hAnsi="Arial" w:cs="Arial"/>
                <w:color w:val="000000"/>
                <w:sz w:val="20"/>
                <w:szCs w:val="20"/>
              </w:rPr>
              <w:t>粪污处理和垃圾收集转运</w:t>
            </w:r>
          </w:p>
        </w:tc>
        <w:tc>
          <w:tcPr>
            <w:tcW w:w="1031" w:type="pct"/>
            <w:tcBorders>
              <w:top w:val="nil"/>
              <w:left w:val="nil"/>
              <w:bottom w:val="single" w:color="auto" w:sz="4" w:space="0"/>
              <w:right w:val="single" w:color="auto" w:sz="4" w:space="0"/>
            </w:tcBorders>
            <w:shd w:val="clear" w:color="auto" w:fill="auto"/>
          </w:tcPr>
          <w:p w14:paraId="6FDA1D47">
            <w:pPr>
              <w:adjustRightInd w:val="0"/>
              <w:snapToGrid w:val="0"/>
              <w:jc w:val="both"/>
              <w:rPr>
                <w:rFonts w:ascii="Arial" w:hAnsi="Arial" w:cs="Arial"/>
                <w:color w:val="000000"/>
                <w:sz w:val="20"/>
                <w:szCs w:val="20"/>
              </w:rPr>
            </w:pPr>
            <w:r>
              <w:rPr>
                <w:rFonts w:ascii="Arial" w:hAnsi="Arial" w:cs="Arial"/>
                <w:color w:val="000000"/>
                <w:sz w:val="20"/>
                <w:szCs w:val="20"/>
              </w:rPr>
              <w:t>恶臭及病死动物对劳动者或公众健康产生风险</w:t>
            </w:r>
          </w:p>
        </w:tc>
        <w:tc>
          <w:tcPr>
            <w:tcW w:w="3088" w:type="pct"/>
            <w:tcBorders>
              <w:top w:val="nil"/>
              <w:left w:val="nil"/>
              <w:bottom w:val="single" w:color="auto" w:sz="4" w:space="0"/>
              <w:right w:val="single" w:color="auto" w:sz="4" w:space="0"/>
            </w:tcBorders>
            <w:shd w:val="clear" w:color="auto" w:fill="auto"/>
          </w:tcPr>
          <w:p w14:paraId="1DA21B3D">
            <w:pPr>
              <w:adjustRightInd w:val="0"/>
              <w:snapToGrid w:val="0"/>
              <w:jc w:val="both"/>
              <w:rPr>
                <w:rFonts w:ascii="Arial" w:hAnsi="Arial" w:cs="Arial"/>
                <w:color w:val="000000"/>
                <w:sz w:val="20"/>
                <w:szCs w:val="20"/>
              </w:rPr>
            </w:pPr>
            <w:r>
              <w:rPr>
                <w:rFonts w:ascii="Arial" w:hAnsi="Arial" w:cs="Arial"/>
                <w:color w:val="000000"/>
                <w:sz w:val="20"/>
                <w:szCs w:val="20"/>
              </w:rPr>
              <w:t>生产经营单位按要求完善臭气收集与处理、病死畜禽无害化处理等措施，从源头消除健康隐患；制定安全生产制度，并为作业人员提供岗位培训、配备合格的劳动保护用品。</w:t>
            </w:r>
          </w:p>
        </w:tc>
      </w:tr>
      <w:tr w14:paraId="0EE89E94">
        <w:tblPrEx>
          <w:tblCellMar>
            <w:top w:w="0" w:type="dxa"/>
            <w:left w:w="28" w:type="dxa"/>
            <w:bottom w:w="0" w:type="dxa"/>
            <w:right w:w="28" w:type="dxa"/>
          </w:tblCellMar>
        </w:tblPrEx>
        <w:trPr>
          <w:trHeight w:val="20" w:hRule="atLeast"/>
        </w:trPr>
        <w:tc>
          <w:tcPr>
            <w:tcW w:w="356" w:type="pct"/>
            <w:vMerge w:val="continue"/>
            <w:tcBorders>
              <w:top w:val="nil"/>
              <w:left w:val="single" w:color="auto" w:sz="4" w:space="0"/>
              <w:bottom w:val="single" w:color="auto" w:sz="4" w:space="0"/>
              <w:right w:val="single" w:color="auto" w:sz="4" w:space="0"/>
            </w:tcBorders>
          </w:tcPr>
          <w:p w14:paraId="4B78DBBE">
            <w:pPr>
              <w:adjustRightInd w:val="0"/>
              <w:snapToGrid w:val="0"/>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7692E874">
            <w:pPr>
              <w:adjustRightInd w:val="0"/>
              <w:snapToGrid w:val="0"/>
              <w:jc w:val="both"/>
              <w:rPr>
                <w:rFonts w:ascii="Arial" w:hAnsi="Arial" w:cs="Arial"/>
                <w:color w:val="000000"/>
                <w:sz w:val="20"/>
                <w:szCs w:val="20"/>
              </w:rPr>
            </w:pPr>
            <w:r>
              <w:rPr>
                <w:rFonts w:ascii="Arial" w:hAnsi="Arial" w:cs="Arial"/>
                <w:color w:val="000000"/>
                <w:sz w:val="20"/>
                <w:szCs w:val="20"/>
              </w:rPr>
              <w:t>种植业生产</w:t>
            </w:r>
          </w:p>
        </w:tc>
        <w:tc>
          <w:tcPr>
            <w:tcW w:w="1031" w:type="pct"/>
            <w:tcBorders>
              <w:top w:val="nil"/>
              <w:left w:val="nil"/>
              <w:bottom w:val="single" w:color="auto" w:sz="4" w:space="0"/>
              <w:right w:val="single" w:color="auto" w:sz="4" w:space="0"/>
            </w:tcBorders>
            <w:shd w:val="clear" w:color="auto" w:fill="auto"/>
          </w:tcPr>
          <w:p w14:paraId="7CECA193">
            <w:pPr>
              <w:adjustRightInd w:val="0"/>
              <w:snapToGrid w:val="0"/>
              <w:jc w:val="both"/>
              <w:rPr>
                <w:rFonts w:ascii="Arial" w:hAnsi="Arial" w:cs="Arial"/>
                <w:color w:val="000000"/>
                <w:sz w:val="20"/>
                <w:szCs w:val="20"/>
              </w:rPr>
            </w:pPr>
            <w:r>
              <w:rPr>
                <w:rFonts w:ascii="Arial" w:hAnsi="Arial" w:cs="Arial"/>
                <w:color w:val="000000"/>
                <w:sz w:val="20"/>
                <w:szCs w:val="20"/>
              </w:rPr>
              <w:t>农药管理不当对农户或公众健康产生风险</w:t>
            </w:r>
          </w:p>
        </w:tc>
        <w:tc>
          <w:tcPr>
            <w:tcW w:w="3088" w:type="pct"/>
            <w:tcBorders>
              <w:top w:val="nil"/>
              <w:left w:val="nil"/>
              <w:bottom w:val="single" w:color="auto" w:sz="4" w:space="0"/>
              <w:right w:val="single" w:color="auto" w:sz="4" w:space="0"/>
            </w:tcBorders>
            <w:shd w:val="clear" w:color="auto" w:fill="auto"/>
          </w:tcPr>
          <w:p w14:paraId="1CFF72ED">
            <w:pPr>
              <w:adjustRightInd w:val="0"/>
              <w:snapToGrid w:val="0"/>
              <w:jc w:val="both"/>
              <w:rPr>
                <w:rFonts w:ascii="Arial" w:hAnsi="Arial" w:cs="Arial"/>
                <w:color w:val="000000"/>
                <w:sz w:val="20"/>
                <w:szCs w:val="20"/>
              </w:rPr>
            </w:pPr>
            <w:r>
              <w:rPr>
                <w:rFonts w:ascii="Arial" w:hAnsi="Arial" w:cs="Arial"/>
                <w:color w:val="000000"/>
                <w:sz w:val="20"/>
                <w:szCs w:val="20"/>
              </w:rPr>
              <w:t>加强对农户的农药安全使用培训和指导，要求其施用农药时</w:t>
            </w:r>
            <w:r>
              <w:rPr>
                <w:rFonts w:hint="eastAsia" w:ascii="Arial" w:hAnsi="Arial" w:cs="Arial"/>
                <w:color w:val="000000"/>
                <w:sz w:val="20"/>
                <w:szCs w:val="20"/>
                <w:lang w:eastAsia="zh-CN"/>
              </w:rPr>
              <w:t>佩戴</w:t>
            </w:r>
            <w:r>
              <w:rPr>
                <w:rFonts w:ascii="Arial" w:hAnsi="Arial" w:cs="Arial"/>
                <w:color w:val="000000"/>
                <w:sz w:val="20"/>
                <w:szCs w:val="20"/>
              </w:rPr>
              <w:t>必要的防护用品（如手套、口罩等），并妥善处置农药包装废弃物。</w:t>
            </w:r>
          </w:p>
        </w:tc>
      </w:tr>
      <w:tr w14:paraId="61882DEF">
        <w:tblPrEx>
          <w:tblCellMar>
            <w:top w:w="0" w:type="dxa"/>
            <w:left w:w="28" w:type="dxa"/>
            <w:bottom w:w="0" w:type="dxa"/>
            <w:right w:w="28" w:type="dxa"/>
          </w:tblCellMar>
        </w:tblPrEx>
        <w:trPr>
          <w:trHeight w:val="20" w:hRule="atLeast"/>
        </w:trPr>
        <w:tc>
          <w:tcPr>
            <w:tcW w:w="356" w:type="pct"/>
            <w:tcBorders>
              <w:top w:val="nil"/>
              <w:left w:val="single" w:color="auto" w:sz="4" w:space="0"/>
              <w:bottom w:val="single" w:color="auto" w:sz="4" w:space="0"/>
              <w:right w:val="single" w:color="auto" w:sz="4" w:space="0"/>
            </w:tcBorders>
          </w:tcPr>
          <w:p w14:paraId="7484D205">
            <w:pPr>
              <w:adjustRightInd w:val="0"/>
              <w:snapToGrid w:val="0"/>
              <w:rPr>
                <w:rFonts w:ascii="Arial" w:hAnsi="Arial" w:cs="Arial"/>
                <w:color w:val="000000"/>
                <w:sz w:val="20"/>
                <w:szCs w:val="20"/>
              </w:rPr>
            </w:pPr>
            <w:r>
              <w:rPr>
                <w:rFonts w:ascii="Arial" w:hAnsi="Arial" w:cs="Arial"/>
                <w:color w:val="000000"/>
                <w:sz w:val="20"/>
                <w:szCs w:val="20"/>
              </w:rPr>
              <w:t>文物保护</w:t>
            </w:r>
          </w:p>
        </w:tc>
        <w:tc>
          <w:tcPr>
            <w:tcW w:w="525" w:type="pct"/>
            <w:tcBorders>
              <w:top w:val="nil"/>
              <w:left w:val="nil"/>
              <w:bottom w:val="single" w:color="auto" w:sz="4" w:space="0"/>
              <w:right w:val="single" w:color="auto" w:sz="4" w:space="0"/>
            </w:tcBorders>
            <w:shd w:val="clear" w:color="auto" w:fill="auto"/>
          </w:tcPr>
          <w:p w14:paraId="2679F56A">
            <w:pPr>
              <w:adjustRightInd w:val="0"/>
              <w:snapToGrid w:val="0"/>
              <w:jc w:val="both"/>
              <w:rPr>
                <w:rFonts w:ascii="Arial" w:hAnsi="Arial" w:cs="Arial"/>
                <w:color w:val="000000"/>
                <w:sz w:val="20"/>
                <w:szCs w:val="20"/>
              </w:rPr>
            </w:pPr>
            <w:r>
              <w:rPr>
                <w:rFonts w:ascii="Arial" w:hAnsi="Arial" w:cs="Arial"/>
                <w:color w:val="000000"/>
                <w:sz w:val="20"/>
                <w:szCs w:val="20"/>
              </w:rPr>
              <w:t>工程施工</w:t>
            </w:r>
          </w:p>
        </w:tc>
        <w:tc>
          <w:tcPr>
            <w:tcW w:w="1031" w:type="pct"/>
            <w:tcBorders>
              <w:top w:val="nil"/>
              <w:left w:val="nil"/>
              <w:bottom w:val="single" w:color="auto" w:sz="4" w:space="0"/>
              <w:right w:val="single" w:color="auto" w:sz="4" w:space="0"/>
            </w:tcBorders>
            <w:shd w:val="clear" w:color="auto" w:fill="auto"/>
          </w:tcPr>
          <w:p w14:paraId="2FC8B70E">
            <w:pPr>
              <w:adjustRightInd w:val="0"/>
              <w:snapToGrid w:val="0"/>
              <w:jc w:val="both"/>
              <w:rPr>
                <w:rFonts w:ascii="Arial" w:hAnsi="Arial" w:cs="Arial"/>
                <w:color w:val="000000"/>
                <w:sz w:val="20"/>
                <w:szCs w:val="20"/>
              </w:rPr>
            </w:pPr>
            <w:r>
              <w:rPr>
                <w:rFonts w:ascii="Arial" w:hAnsi="Arial" w:cs="Arial"/>
                <w:color w:val="000000"/>
                <w:sz w:val="20"/>
                <w:szCs w:val="20"/>
              </w:rPr>
              <w:t>可能发现潜在地下文物古迹</w:t>
            </w:r>
          </w:p>
        </w:tc>
        <w:tc>
          <w:tcPr>
            <w:tcW w:w="3088" w:type="pct"/>
            <w:tcBorders>
              <w:top w:val="nil"/>
              <w:left w:val="nil"/>
              <w:bottom w:val="single" w:color="auto" w:sz="4" w:space="0"/>
              <w:right w:val="single" w:color="auto" w:sz="4" w:space="0"/>
            </w:tcBorders>
            <w:shd w:val="clear" w:color="auto" w:fill="auto"/>
          </w:tcPr>
          <w:p w14:paraId="42235BDE">
            <w:pPr>
              <w:adjustRightInd w:val="0"/>
              <w:snapToGrid w:val="0"/>
              <w:jc w:val="both"/>
              <w:rPr>
                <w:rFonts w:ascii="Arial" w:hAnsi="Arial" w:cs="Arial"/>
                <w:color w:val="000000"/>
                <w:sz w:val="20"/>
                <w:szCs w:val="20"/>
              </w:rPr>
            </w:pPr>
            <w:r>
              <w:rPr>
                <w:rFonts w:ascii="Arial" w:hAnsi="Arial" w:cs="Arial"/>
                <w:color w:val="000000"/>
                <w:sz w:val="20"/>
                <w:szCs w:val="20"/>
              </w:rPr>
              <w:t>文物保护单位的保护范围内不得进行其他建设工程或者爆破、钻探、挖掘等作业；在建设工程选址时，应尽可能避开不可移动文物。如确需开展建设项目，经相应的文物行政部门同意后，报城乡建设规划部门批准。在文物保护单位的保护范围和建设控制地带内，不得建设污染文物保护单位及其环境的设施，不得进行可能影响文物保护单位安全及其环境的活动。在进行大型基本建设工程，建设单位应当事先报请省人民政府文物行政部门，组织从事考古发掘的单位在工程范围内有可能埋藏文物的地方进行考古调查、勘探。</w:t>
            </w:r>
          </w:p>
        </w:tc>
      </w:tr>
      <w:tr w14:paraId="565109E9">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right w:val="single" w:color="auto" w:sz="4" w:space="0"/>
            </w:tcBorders>
            <w:shd w:val="clear" w:color="auto" w:fill="auto"/>
          </w:tcPr>
          <w:p w14:paraId="0D185B40">
            <w:pPr>
              <w:adjustRightInd w:val="0"/>
              <w:snapToGrid w:val="0"/>
              <w:jc w:val="both"/>
              <w:rPr>
                <w:rFonts w:ascii="Arial" w:hAnsi="Arial" w:cs="Arial"/>
                <w:color w:val="000000"/>
                <w:sz w:val="20"/>
                <w:szCs w:val="20"/>
              </w:rPr>
            </w:pPr>
            <w:r>
              <w:rPr>
                <w:rFonts w:ascii="Arial" w:hAnsi="Arial" w:cs="Arial"/>
                <w:color w:val="000000"/>
                <w:sz w:val="20"/>
                <w:szCs w:val="20"/>
              </w:rPr>
              <w:t>劳工影响管理</w:t>
            </w:r>
          </w:p>
        </w:tc>
        <w:tc>
          <w:tcPr>
            <w:tcW w:w="525" w:type="pct"/>
            <w:vMerge w:val="restart"/>
            <w:tcBorders>
              <w:top w:val="nil"/>
              <w:left w:val="nil"/>
              <w:right w:val="single" w:color="auto" w:sz="4" w:space="0"/>
            </w:tcBorders>
            <w:shd w:val="clear" w:color="auto" w:fill="auto"/>
          </w:tcPr>
          <w:p w14:paraId="4860945E">
            <w:pPr>
              <w:adjustRightInd w:val="0"/>
              <w:snapToGrid w:val="0"/>
              <w:jc w:val="both"/>
              <w:rPr>
                <w:rFonts w:ascii="Arial" w:hAnsi="Arial" w:cs="Arial"/>
                <w:color w:val="000000"/>
                <w:sz w:val="20"/>
                <w:szCs w:val="20"/>
              </w:rPr>
            </w:pPr>
            <w:r>
              <w:rPr>
                <w:rFonts w:ascii="Arial" w:hAnsi="Arial" w:cs="Arial"/>
                <w:color w:val="000000"/>
                <w:sz w:val="20"/>
                <w:szCs w:val="20"/>
              </w:rPr>
              <w:t>工程施工；</w:t>
            </w:r>
          </w:p>
          <w:p w14:paraId="764DF9BE">
            <w:pPr>
              <w:adjustRightInd w:val="0"/>
              <w:snapToGrid w:val="0"/>
              <w:jc w:val="both"/>
              <w:rPr>
                <w:rFonts w:ascii="Arial" w:hAnsi="Arial" w:cs="Arial"/>
                <w:color w:val="000000"/>
                <w:sz w:val="20"/>
                <w:szCs w:val="20"/>
              </w:rPr>
            </w:pPr>
            <w:r>
              <w:rPr>
                <w:rFonts w:ascii="Arial" w:hAnsi="Arial" w:cs="Arial"/>
                <w:color w:val="000000"/>
                <w:sz w:val="20"/>
                <w:szCs w:val="20"/>
              </w:rPr>
              <w:t>农村生活污水处理、农村生活垃圾收集与转运、畜禽粪污处理与利用、秸秆处理、水产养殖尾水处理等设施运行维护；</w:t>
            </w:r>
          </w:p>
          <w:p w14:paraId="7A7164A9">
            <w:pPr>
              <w:adjustRightInd w:val="0"/>
              <w:snapToGrid w:val="0"/>
              <w:jc w:val="both"/>
              <w:rPr>
                <w:rFonts w:ascii="Arial" w:hAnsi="Arial" w:cs="Arial"/>
                <w:color w:val="000000"/>
                <w:sz w:val="20"/>
                <w:szCs w:val="20"/>
              </w:rPr>
            </w:pPr>
            <w:r>
              <w:rPr>
                <w:rFonts w:ascii="Arial" w:hAnsi="Arial" w:cs="Arial"/>
                <w:color w:val="000000"/>
                <w:sz w:val="20"/>
                <w:szCs w:val="20"/>
              </w:rPr>
              <w:t>种植业生产；</w:t>
            </w:r>
          </w:p>
        </w:tc>
        <w:tc>
          <w:tcPr>
            <w:tcW w:w="1031" w:type="pct"/>
            <w:tcBorders>
              <w:top w:val="nil"/>
              <w:left w:val="nil"/>
              <w:bottom w:val="single" w:color="auto" w:sz="4" w:space="0"/>
              <w:right w:val="single" w:color="auto" w:sz="4" w:space="0"/>
            </w:tcBorders>
            <w:shd w:val="clear" w:color="auto" w:fill="auto"/>
          </w:tcPr>
          <w:p w14:paraId="6B2FB35C">
            <w:pPr>
              <w:adjustRightInd w:val="0"/>
              <w:snapToGrid w:val="0"/>
              <w:jc w:val="both"/>
              <w:rPr>
                <w:rFonts w:ascii="Arial" w:hAnsi="Arial" w:cs="Arial"/>
                <w:color w:val="000000"/>
                <w:sz w:val="20"/>
                <w:szCs w:val="20"/>
              </w:rPr>
            </w:pPr>
            <w:r>
              <w:rPr>
                <w:rFonts w:ascii="Arial" w:hAnsi="Arial" w:cs="Arial"/>
                <w:color w:val="000000"/>
                <w:sz w:val="20"/>
                <w:szCs w:val="20"/>
              </w:rPr>
              <w:t>可能产生劳工纠纷，如劳动关系认定、薪资发放、社会保障</w:t>
            </w:r>
          </w:p>
        </w:tc>
        <w:tc>
          <w:tcPr>
            <w:tcW w:w="3088" w:type="pct"/>
            <w:tcBorders>
              <w:top w:val="nil"/>
              <w:left w:val="nil"/>
              <w:bottom w:val="single" w:color="auto" w:sz="4" w:space="0"/>
              <w:right w:val="single" w:color="auto" w:sz="4" w:space="0"/>
            </w:tcBorders>
            <w:shd w:val="clear" w:color="auto" w:fill="auto"/>
          </w:tcPr>
          <w:p w14:paraId="2491ADE1">
            <w:pPr>
              <w:adjustRightInd w:val="0"/>
              <w:snapToGrid w:val="0"/>
              <w:jc w:val="both"/>
              <w:rPr>
                <w:rFonts w:ascii="Arial" w:hAnsi="Arial" w:cs="Arial"/>
                <w:color w:val="000000"/>
                <w:sz w:val="20"/>
                <w:szCs w:val="20"/>
              </w:rPr>
            </w:pPr>
            <w:r>
              <w:rPr>
                <w:rFonts w:ascii="Arial" w:hAnsi="Arial" w:cs="Arial"/>
                <w:color w:val="000000"/>
                <w:sz w:val="20"/>
                <w:szCs w:val="20"/>
              </w:rPr>
              <w:t>生产经营单位应严格遵循国家及地方相关法律法规，在员工入职时签订劳动合同或劳务合同，在合同中明确</w:t>
            </w:r>
            <w:r>
              <w:rPr>
                <w:rFonts w:hint="eastAsia" w:ascii="Arial" w:hAnsi="Arial" w:cs="Arial"/>
                <w:color w:val="000000"/>
                <w:sz w:val="20"/>
                <w:szCs w:val="20"/>
                <w:lang w:eastAsia="zh-CN"/>
              </w:rPr>
              <w:t>约定</w:t>
            </w:r>
            <w:r>
              <w:rPr>
                <w:rFonts w:ascii="Arial" w:hAnsi="Arial" w:cs="Arial"/>
                <w:color w:val="000000"/>
                <w:sz w:val="20"/>
                <w:szCs w:val="20"/>
              </w:rPr>
              <w:t>工作时间、地点、薪酬待遇及发放时间，并按规定为员工购买社保；按时足额发放员工薪酬；</w:t>
            </w:r>
          </w:p>
          <w:p w14:paraId="0609DF1F">
            <w:pPr>
              <w:adjustRightInd w:val="0"/>
              <w:snapToGrid w:val="0"/>
              <w:jc w:val="both"/>
              <w:rPr>
                <w:rFonts w:ascii="Arial" w:hAnsi="Arial" w:cs="Arial"/>
                <w:color w:val="000000"/>
                <w:sz w:val="20"/>
                <w:szCs w:val="20"/>
              </w:rPr>
            </w:pPr>
            <w:r>
              <w:rPr>
                <w:rFonts w:ascii="Arial" w:hAnsi="Arial" w:cs="Arial"/>
                <w:color w:val="000000"/>
                <w:sz w:val="20"/>
                <w:szCs w:val="20"/>
              </w:rPr>
              <w:t>地方</w:t>
            </w:r>
            <w:r>
              <w:rPr>
                <w:rFonts w:hint="eastAsia" w:ascii="Arial" w:hAnsi="Arial" w:cs="Arial"/>
                <w:color w:val="000000"/>
                <w:sz w:val="20"/>
                <w:szCs w:val="20"/>
                <w:lang w:eastAsia="zh-CN"/>
              </w:rPr>
              <w:t>人力资源和社会保障</w:t>
            </w:r>
            <w:r>
              <w:rPr>
                <w:rFonts w:ascii="Arial" w:hAnsi="Arial" w:cs="Arial"/>
                <w:color w:val="000000"/>
                <w:sz w:val="20"/>
                <w:szCs w:val="20"/>
              </w:rPr>
              <w:t>部门应对各生产经营单位劳工管理合规情况进行监督，定期检查；对不合格单位，责令整改；</w:t>
            </w:r>
          </w:p>
          <w:p w14:paraId="2000B5F4">
            <w:pPr>
              <w:adjustRightInd w:val="0"/>
              <w:snapToGrid w:val="0"/>
              <w:jc w:val="both"/>
              <w:rPr>
                <w:rFonts w:ascii="Arial" w:hAnsi="Arial" w:cs="Arial"/>
                <w:color w:val="000000"/>
                <w:sz w:val="20"/>
                <w:szCs w:val="20"/>
              </w:rPr>
            </w:pPr>
            <w:r>
              <w:rPr>
                <w:rFonts w:ascii="Arial" w:hAnsi="Arial" w:cs="Arial"/>
                <w:color w:val="000000"/>
                <w:sz w:val="20"/>
                <w:szCs w:val="20"/>
              </w:rPr>
              <w:t>畅通申诉渠道，及时接收并处理相关申诉事项。</w:t>
            </w:r>
          </w:p>
        </w:tc>
      </w:tr>
      <w:tr w14:paraId="4BE57A83">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shd w:val="clear" w:color="auto" w:fill="auto"/>
          </w:tcPr>
          <w:p w14:paraId="650F3F36">
            <w:pPr>
              <w:adjustRightInd w:val="0"/>
              <w:snapToGrid w:val="0"/>
              <w:jc w:val="both"/>
              <w:rPr>
                <w:rFonts w:ascii="Arial" w:hAnsi="Arial" w:cs="Arial"/>
                <w:color w:val="000000"/>
                <w:sz w:val="20"/>
                <w:szCs w:val="20"/>
                <w:highlight w:val="yellow"/>
              </w:rPr>
            </w:pPr>
          </w:p>
        </w:tc>
        <w:tc>
          <w:tcPr>
            <w:tcW w:w="525" w:type="pct"/>
            <w:vMerge w:val="continue"/>
            <w:tcBorders>
              <w:left w:val="nil"/>
              <w:right w:val="single" w:color="auto" w:sz="4" w:space="0"/>
            </w:tcBorders>
            <w:shd w:val="clear" w:color="auto" w:fill="auto"/>
          </w:tcPr>
          <w:p w14:paraId="14F8DA9A">
            <w:pPr>
              <w:adjustRightInd w:val="0"/>
              <w:snapToGrid w:val="0"/>
              <w:jc w:val="both"/>
              <w:rPr>
                <w:rFonts w:ascii="Arial" w:hAnsi="Arial" w:cs="Arial"/>
                <w:color w:val="000000"/>
                <w:sz w:val="20"/>
                <w:szCs w:val="20"/>
                <w:highlight w:val="yellow"/>
              </w:rPr>
            </w:pPr>
          </w:p>
        </w:tc>
        <w:tc>
          <w:tcPr>
            <w:tcW w:w="1031" w:type="pct"/>
            <w:tcBorders>
              <w:top w:val="nil"/>
              <w:left w:val="nil"/>
              <w:bottom w:val="single" w:color="auto" w:sz="4" w:space="0"/>
              <w:right w:val="single" w:color="auto" w:sz="4" w:space="0"/>
            </w:tcBorders>
            <w:shd w:val="clear" w:color="auto" w:fill="auto"/>
          </w:tcPr>
          <w:p w14:paraId="29E71393">
            <w:pPr>
              <w:adjustRightInd w:val="0"/>
              <w:snapToGrid w:val="0"/>
              <w:jc w:val="both"/>
              <w:rPr>
                <w:rFonts w:ascii="Arial" w:hAnsi="Arial" w:cs="Arial"/>
                <w:color w:val="000000"/>
                <w:sz w:val="20"/>
                <w:szCs w:val="20"/>
              </w:rPr>
            </w:pPr>
            <w:r>
              <w:rPr>
                <w:rFonts w:ascii="Arial" w:hAnsi="Arial" w:cs="Arial"/>
                <w:color w:val="000000"/>
                <w:sz w:val="20"/>
                <w:szCs w:val="20"/>
              </w:rPr>
              <w:t>可能发生性别歧视，拒绝录用女性员工</w:t>
            </w:r>
          </w:p>
        </w:tc>
        <w:tc>
          <w:tcPr>
            <w:tcW w:w="3088" w:type="pct"/>
            <w:tcBorders>
              <w:top w:val="nil"/>
              <w:left w:val="nil"/>
              <w:bottom w:val="single" w:color="auto" w:sz="4" w:space="0"/>
              <w:right w:val="single" w:color="auto" w:sz="4" w:space="0"/>
            </w:tcBorders>
            <w:shd w:val="clear" w:color="auto" w:fill="auto"/>
          </w:tcPr>
          <w:p w14:paraId="20E6A8C6">
            <w:pPr>
              <w:adjustRightInd w:val="0"/>
              <w:snapToGrid w:val="0"/>
              <w:jc w:val="both"/>
              <w:rPr>
                <w:rFonts w:ascii="Arial" w:hAnsi="Arial" w:cs="Arial"/>
                <w:color w:val="000000"/>
                <w:sz w:val="20"/>
                <w:szCs w:val="20"/>
              </w:rPr>
            </w:pPr>
            <w:r>
              <w:rPr>
                <w:rFonts w:ascii="Arial" w:hAnsi="Arial" w:cs="Arial"/>
                <w:color w:val="000000"/>
                <w:sz w:val="20"/>
                <w:szCs w:val="20"/>
              </w:rPr>
              <w:t>员工招聘时应遵守男女平等、同工同酬，不得设置限招男性等条件；针对女性制定特殊优待政策，例如女职工两癌筛查体检；安排岗位时听取女职工意见，不安排孕期内妇女从事体力或工作环境不佳的岗位；依法提供孕产假福利</w:t>
            </w:r>
            <w:r>
              <w:rPr>
                <w:rFonts w:hint="eastAsia" w:ascii="Arial" w:hAnsi="Arial" w:cs="Arial"/>
                <w:color w:val="000000"/>
                <w:sz w:val="20"/>
                <w:szCs w:val="20"/>
                <w:lang w:eastAsia="zh-CN"/>
              </w:rPr>
              <w:t>等</w:t>
            </w:r>
            <w:r>
              <w:rPr>
                <w:rFonts w:ascii="Arial" w:hAnsi="Arial" w:cs="Arial"/>
                <w:color w:val="000000"/>
                <w:sz w:val="20"/>
                <w:szCs w:val="20"/>
              </w:rPr>
              <w:t>保护和福利政策。</w:t>
            </w:r>
          </w:p>
        </w:tc>
      </w:tr>
      <w:tr w14:paraId="6D94A91E">
        <w:tblPrEx>
          <w:tblCellMar>
            <w:top w:w="0" w:type="dxa"/>
            <w:left w:w="28" w:type="dxa"/>
            <w:bottom w:w="0" w:type="dxa"/>
            <w:right w:w="28" w:type="dxa"/>
          </w:tblCellMar>
        </w:tblPrEx>
        <w:trPr>
          <w:trHeight w:val="20" w:hRule="atLeast"/>
        </w:trPr>
        <w:tc>
          <w:tcPr>
            <w:tcW w:w="356" w:type="pct"/>
            <w:vMerge w:val="continue"/>
            <w:tcBorders>
              <w:left w:val="single" w:color="auto" w:sz="4" w:space="0"/>
              <w:bottom w:val="single" w:color="auto" w:sz="4" w:space="0"/>
              <w:right w:val="single" w:color="auto" w:sz="4" w:space="0"/>
            </w:tcBorders>
            <w:shd w:val="clear" w:color="auto" w:fill="auto"/>
          </w:tcPr>
          <w:p w14:paraId="4D3DA27A">
            <w:pPr>
              <w:adjustRightInd w:val="0"/>
              <w:snapToGrid w:val="0"/>
              <w:jc w:val="both"/>
              <w:rPr>
                <w:rFonts w:ascii="Arial" w:hAnsi="Arial" w:cs="Arial"/>
                <w:color w:val="000000"/>
                <w:sz w:val="20"/>
                <w:szCs w:val="20"/>
                <w:highlight w:val="yellow"/>
              </w:rPr>
            </w:pPr>
          </w:p>
        </w:tc>
        <w:tc>
          <w:tcPr>
            <w:tcW w:w="525" w:type="pct"/>
            <w:vMerge w:val="continue"/>
            <w:tcBorders>
              <w:left w:val="nil"/>
              <w:bottom w:val="single" w:color="auto" w:sz="4" w:space="0"/>
              <w:right w:val="single" w:color="auto" w:sz="4" w:space="0"/>
            </w:tcBorders>
            <w:shd w:val="clear" w:color="auto" w:fill="auto"/>
          </w:tcPr>
          <w:p w14:paraId="508EFF61">
            <w:pPr>
              <w:adjustRightInd w:val="0"/>
              <w:snapToGrid w:val="0"/>
              <w:jc w:val="both"/>
              <w:rPr>
                <w:rFonts w:ascii="Arial" w:hAnsi="Arial" w:cs="Arial"/>
                <w:color w:val="000000"/>
                <w:sz w:val="20"/>
                <w:szCs w:val="20"/>
                <w:highlight w:val="yellow"/>
              </w:rPr>
            </w:pPr>
          </w:p>
        </w:tc>
        <w:tc>
          <w:tcPr>
            <w:tcW w:w="1031" w:type="pct"/>
            <w:tcBorders>
              <w:top w:val="nil"/>
              <w:left w:val="nil"/>
              <w:bottom w:val="single" w:color="auto" w:sz="4" w:space="0"/>
              <w:right w:val="single" w:color="auto" w:sz="4" w:space="0"/>
            </w:tcBorders>
            <w:shd w:val="clear" w:color="auto" w:fill="auto"/>
          </w:tcPr>
          <w:p w14:paraId="18E81D02">
            <w:pPr>
              <w:adjustRightInd w:val="0"/>
              <w:snapToGrid w:val="0"/>
              <w:jc w:val="both"/>
              <w:rPr>
                <w:rFonts w:ascii="Arial" w:hAnsi="Arial" w:cs="Arial"/>
                <w:color w:val="000000"/>
                <w:sz w:val="20"/>
                <w:szCs w:val="20"/>
                <w:highlight w:val="yellow"/>
              </w:rPr>
            </w:pPr>
            <w:r>
              <w:rPr>
                <w:rFonts w:ascii="Arial" w:hAnsi="Arial" w:cs="Arial"/>
                <w:color w:val="000000"/>
                <w:sz w:val="20"/>
                <w:szCs w:val="20"/>
              </w:rPr>
              <w:t>潜在职业健康与安全风险</w:t>
            </w:r>
          </w:p>
        </w:tc>
        <w:tc>
          <w:tcPr>
            <w:tcW w:w="3088" w:type="pct"/>
            <w:tcBorders>
              <w:top w:val="nil"/>
              <w:left w:val="nil"/>
              <w:bottom w:val="single" w:color="auto" w:sz="4" w:space="0"/>
              <w:right w:val="single" w:color="auto" w:sz="4" w:space="0"/>
            </w:tcBorders>
            <w:shd w:val="clear" w:color="auto" w:fill="auto"/>
          </w:tcPr>
          <w:p w14:paraId="1BAD975E">
            <w:pPr>
              <w:adjustRightInd w:val="0"/>
              <w:snapToGrid w:val="0"/>
              <w:jc w:val="both"/>
              <w:rPr>
                <w:rFonts w:ascii="Arial" w:hAnsi="Arial" w:cs="Arial"/>
                <w:color w:val="000000"/>
                <w:sz w:val="20"/>
                <w:szCs w:val="20"/>
                <w:highlight w:val="yellow"/>
              </w:rPr>
            </w:pPr>
            <w:r>
              <w:rPr>
                <w:rFonts w:ascii="Arial" w:hAnsi="Arial" w:cs="Arial"/>
                <w:color w:val="000000"/>
                <w:sz w:val="20"/>
                <w:szCs w:val="20"/>
              </w:rPr>
              <w:t>生产经营单位开展职业健康危害因素识别、检测；落实“三同时”措施；制定并实施员工职业健康与安全培训计划；在作业过程中，为员工提供必要的个人防护设备；定期组织开展员工体检；</w:t>
            </w:r>
          </w:p>
        </w:tc>
      </w:tr>
      <w:tr w14:paraId="665ADDAE">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right w:val="single" w:color="auto" w:sz="4" w:space="0"/>
            </w:tcBorders>
            <w:shd w:val="clear" w:color="auto" w:fill="auto"/>
          </w:tcPr>
          <w:p w14:paraId="7DF6194A">
            <w:pPr>
              <w:adjustRightInd w:val="0"/>
              <w:snapToGrid w:val="0"/>
              <w:jc w:val="both"/>
              <w:rPr>
                <w:rFonts w:ascii="Arial" w:hAnsi="Arial" w:cs="Arial"/>
                <w:color w:val="000000"/>
                <w:sz w:val="20"/>
                <w:szCs w:val="20"/>
              </w:rPr>
            </w:pPr>
            <w:r>
              <w:rPr>
                <w:rFonts w:ascii="Arial" w:hAnsi="Arial" w:cs="Arial"/>
                <w:color w:val="000000"/>
                <w:sz w:val="20"/>
                <w:szCs w:val="20"/>
              </w:rPr>
              <w:t>社区影响管理</w:t>
            </w:r>
          </w:p>
        </w:tc>
        <w:tc>
          <w:tcPr>
            <w:tcW w:w="525" w:type="pct"/>
            <w:tcBorders>
              <w:top w:val="nil"/>
              <w:left w:val="nil"/>
              <w:bottom w:val="single" w:color="auto" w:sz="4" w:space="0"/>
              <w:right w:val="single" w:color="auto" w:sz="4" w:space="0"/>
            </w:tcBorders>
            <w:shd w:val="clear" w:color="auto" w:fill="auto"/>
          </w:tcPr>
          <w:p w14:paraId="6535306E">
            <w:pPr>
              <w:adjustRightInd w:val="0"/>
              <w:snapToGrid w:val="0"/>
              <w:jc w:val="both"/>
              <w:rPr>
                <w:rFonts w:ascii="Arial" w:hAnsi="Arial" w:cs="Arial"/>
                <w:color w:val="000000"/>
                <w:sz w:val="20"/>
                <w:szCs w:val="20"/>
              </w:rPr>
            </w:pPr>
            <w:r>
              <w:rPr>
                <w:rFonts w:ascii="Arial" w:hAnsi="Arial" w:cs="Arial"/>
                <w:color w:val="000000"/>
                <w:sz w:val="20"/>
                <w:szCs w:val="20"/>
              </w:rPr>
              <w:t>农药、化肥减量、秸秆收集与综合利用、垃圾分类收集、废旧农用塑料收集等；</w:t>
            </w:r>
          </w:p>
        </w:tc>
        <w:tc>
          <w:tcPr>
            <w:tcW w:w="1031" w:type="pct"/>
            <w:tcBorders>
              <w:top w:val="nil"/>
              <w:left w:val="nil"/>
              <w:bottom w:val="single" w:color="auto" w:sz="4" w:space="0"/>
              <w:right w:val="single" w:color="auto" w:sz="4" w:space="0"/>
            </w:tcBorders>
            <w:shd w:val="clear" w:color="auto" w:fill="auto"/>
          </w:tcPr>
          <w:p w14:paraId="448FD23D">
            <w:pPr>
              <w:adjustRightInd w:val="0"/>
              <w:snapToGrid w:val="0"/>
              <w:jc w:val="both"/>
              <w:rPr>
                <w:rFonts w:ascii="Arial" w:hAnsi="Arial" w:cs="Arial"/>
                <w:color w:val="000000"/>
                <w:sz w:val="20"/>
                <w:szCs w:val="20"/>
              </w:rPr>
            </w:pPr>
            <w:r>
              <w:rPr>
                <w:rFonts w:ascii="Arial" w:hAnsi="Arial" w:cs="Arial"/>
                <w:color w:val="000000"/>
                <w:sz w:val="20"/>
                <w:szCs w:val="20"/>
              </w:rPr>
              <w:t>可能改变农民现行生产生活方式</w:t>
            </w:r>
          </w:p>
        </w:tc>
        <w:tc>
          <w:tcPr>
            <w:tcW w:w="3088" w:type="pct"/>
            <w:tcBorders>
              <w:top w:val="nil"/>
              <w:left w:val="nil"/>
              <w:bottom w:val="single" w:color="auto" w:sz="4" w:space="0"/>
              <w:right w:val="single" w:color="auto" w:sz="4" w:space="0"/>
            </w:tcBorders>
            <w:shd w:val="clear" w:color="auto" w:fill="auto"/>
          </w:tcPr>
          <w:p w14:paraId="5C8145AD">
            <w:pPr>
              <w:adjustRightInd w:val="0"/>
              <w:snapToGrid w:val="0"/>
              <w:jc w:val="both"/>
              <w:rPr>
                <w:rFonts w:ascii="Arial" w:hAnsi="Arial" w:cs="Arial"/>
                <w:color w:val="000000"/>
                <w:sz w:val="20"/>
                <w:szCs w:val="20"/>
              </w:rPr>
            </w:pPr>
            <w:r>
              <w:rPr>
                <w:rFonts w:ascii="Arial" w:hAnsi="Arial" w:cs="Arial"/>
                <w:color w:val="000000"/>
                <w:sz w:val="20"/>
                <w:szCs w:val="20"/>
              </w:rPr>
              <w:t>提供免费农民培训；为农民提供田间技术指导；发挥农业合作社的引导作用，带领小农户共同践行有机肥使用、农膜管理；</w:t>
            </w:r>
          </w:p>
        </w:tc>
      </w:tr>
      <w:tr w14:paraId="1E750B6B">
        <w:tblPrEx>
          <w:tblCellMar>
            <w:top w:w="0" w:type="dxa"/>
            <w:left w:w="28" w:type="dxa"/>
            <w:bottom w:w="0" w:type="dxa"/>
            <w:right w:w="28" w:type="dxa"/>
          </w:tblCellMar>
        </w:tblPrEx>
        <w:trPr>
          <w:trHeight w:val="20" w:hRule="atLeast"/>
        </w:trPr>
        <w:tc>
          <w:tcPr>
            <w:tcW w:w="356" w:type="pct"/>
            <w:vMerge w:val="continue"/>
            <w:tcBorders>
              <w:left w:val="single" w:color="auto" w:sz="4" w:space="0"/>
              <w:bottom w:val="single" w:color="auto" w:sz="4" w:space="0"/>
              <w:right w:val="single" w:color="auto" w:sz="4" w:space="0"/>
            </w:tcBorders>
            <w:shd w:val="clear" w:color="auto" w:fill="auto"/>
          </w:tcPr>
          <w:p w14:paraId="34590A58">
            <w:pPr>
              <w:adjustRightInd w:val="0"/>
              <w:snapToGrid w:val="0"/>
              <w:jc w:val="both"/>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56EEB087">
            <w:pPr>
              <w:adjustRightInd w:val="0"/>
              <w:snapToGrid w:val="0"/>
              <w:jc w:val="both"/>
              <w:rPr>
                <w:rFonts w:ascii="Arial" w:hAnsi="Arial" w:cs="Arial"/>
                <w:color w:val="000000"/>
                <w:sz w:val="20"/>
                <w:szCs w:val="20"/>
              </w:rPr>
            </w:pPr>
            <w:r>
              <w:rPr>
                <w:rFonts w:ascii="Arial" w:hAnsi="Arial" w:cs="Arial"/>
                <w:color w:val="000000"/>
                <w:sz w:val="20"/>
                <w:szCs w:val="20"/>
              </w:rPr>
              <w:t>工程施工</w:t>
            </w:r>
          </w:p>
        </w:tc>
        <w:tc>
          <w:tcPr>
            <w:tcW w:w="1031" w:type="pct"/>
            <w:tcBorders>
              <w:top w:val="nil"/>
              <w:left w:val="nil"/>
              <w:bottom w:val="single" w:color="auto" w:sz="4" w:space="0"/>
              <w:right w:val="single" w:color="auto" w:sz="4" w:space="0"/>
            </w:tcBorders>
            <w:shd w:val="clear" w:color="auto" w:fill="auto"/>
          </w:tcPr>
          <w:p w14:paraId="1DF70DBA">
            <w:pPr>
              <w:adjustRightInd w:val="0"/>
              <w:snapToGrid w:val="0"/>
              <w:jc w:val="both"/>
              <w:rPr>
                <w:rFonts w:ascii="Arial" w:hAnsi="Arial" w:cs="Arial"/>
                <w:color w:val="000000"/>
                <w:sz w:val="20"/>
                <w:szCs w:val="20"/>
              </w:rPr>
            </w:pPr>
            <w:r>
              <w:rPr>
                <w:rFonts w:ascii="Arial" w:hAnsi="Arial" w:cs="Arial"/>
                <w:color w:val="000000"/>
                <w:sz w:val="20"/>
                <w:szCs w:val="20"/>
              </w:rPr>
              <w:t>施工过程中产生的扬尘、</w:t>
            </w:r>
            <w:r>
              <w:rPr>
                <w:rFonts w:hint="eastAsia" w:ascii="Arial" w:hAnsi="Arial" w:cs="Arial"/>
                <w:color w:val="000000"/>
                <w:sz w:val="20"/>
                <w:szCs w:val="20"/>
                <w:lang w:eastAsia="zh-CN"/>
              </w:rPr>
              <w:t>噪声</w:t>
            </w:r>
            <w:r>
              <w:rPr>
                <w:rFonts w:ascii="Arial" w:hAnsi="Arial" w:cs="Arial"/>
                <w:color w:val="000000"/>
                <w:sz w:val="20"/>
                <w:szCs w:val="20"/>
              </w:rPr>
              <w:t>、“三废”等可能影响周边居民生产生活</w:t>
            </w:r>
          </w:p>
        </w:tc>
        <w:tc>
          <w:tcPr>
            <w:tcW w:w="3088" w:type="pct"/>
            <w:tcBorders>
              <w:top w:val="nil"/>
              <w:left w:val="nil"/>
              <w:bottom w:val="single" w:color="auto" w:sz="4" w:space="0"/>
              <w:right w:val="single" w:color="auto" w:sz="4" w:space="0"/>
            </w:tcBorders>
            <w:shd w:val="clear" w:color="auto" w:fill="auto"/>
          </w:tcPr>
          <w:p w14:paraId="18B92F3D">
            <w:pPr>
              <w:adjustRightInd w:val="0"/>
              <w:snapToGrid w:val="0"/>
              <w:jc w:val="both"/>
              <w:rPr>
                <w:rFonts w:ascii="Arial" w:hAnsi="Arial" w:cs="Arial"/>
                <w:color w:val="000000"/>
                <w:sz w:val="20"/>
                <w:szCs w:val="20"/>
              </w:rPr>
            </w:pPr>
            <w:r>
              <w:rPr>
                <w:rFonts w:ascii="Arial" w:hAnsi="Arial" w:cs="Arial"/>
                <w:color w:val="000000"/>
                <w:sz w:val="20"/>
                <w:szCs w:val="20"/>
              </w:rPr>
              <w:t>按法律法规要求，在前期开展可行性研究、环评、社会稳定风险评估等，其中包含各建设方案的选址比选、社会影响识别、分析、管理和监测计划；</w:t>
            </w:r>
          </w:p>
          <w:p w14:paraId="78847256">
            <w:pPr>
              <w:adjustRightInd w:val="0"/>
              <w:snapToGrid w:val="0"/>
              <w:jc w:val="both"/>
              <w:rPr>
                <w:rFonts w:ascii="Arial" w:hAnsi="Arial" w:cs="Arial"/>
                <w:color w:val="000000"/>
                <w:sz w:val="20"/>
                <w:szCs w:val="20"/>
              </w:rPr>
            </w:pPr>
            <w:r>
              <w:rPr>
                <w:rFonts w:ascii="Arial" w:hAnsi="Arial" w:cs="Arial"/>
                <w:color w:val="000000"/>
                <w:sz w:val="20"/>
                <w:szCs w:val="20"/>
              </w:rPr>
              <w:t>开展充分的信息公开和公众参与，提前告知公众潜在负面影响，商议并制定缓解措施；</w:t>
            </w:r>
          </w:p>
          <w:p w14:paraId="29D65484">
            <w:pPr>
              <w:adjustRightInd w:val="0"/>
              <w:snapToGrid w:val="0"/>
              <w:jc w:val="both"/>
              <w:rPr>
                <w:rFonts w:ascii="Arial" w:hAnsi="Arial" w:cs="Arial"/>
                <w:color w:val="000000"/>
                <w:sz w:val="20"/>
                <w:szCs w:val="20"/>
              </w:rPr>
            </w:pPr>
            <w:r>
              <w:rPr>
                <w:rFonts w:ascii="Arial" w:hAnsi="Arial" w:cs="Arial"/>
                <w:color w:val="000000"/>
                <w:sz w:val="20"/>
                <w:szCs w:val="20"/>
              </w:rPr>
              <w:t>建立申诉机制，及时接收、处理和反馈相关投诉、申诉、抱怨等。</w:t>
            </w:r>
          </w:p>
        </w:tc>
      </w:tr>
      <w:tr w14:paraId="3F6FCB75">
        <w:tblPrEx>
          <w:tblCellMar>
            <w:top w:w="0" w:type="dxa"/>
            <w:left w:w="28" w:type="dxa"/>
            <w:bottom w:w="0" w:type="dxa"/>
            <w:right w:w="28" w:type="dxa"/>
          </w:tblCellMar>
        </w:tblPrEx>
        <w:trPr>
          <w:trHeight w:val="20" w:hRule="atLeast"/>
        </w:trPr>
        <w:tc>
          <w:tcPr>
            <w:tcW w:w="356" w:type="pct"/>
            <w:vMerge w:val="restart"/>
            <w:tcBorders>
              <w:top w:val="nil"/>
              <w:left w:val="single" w:color="auto" w:sz="4" w:space="0"/>
              <w:right w:val="single" w:color="auto" w:sz="4" w:space="0"/>
            </w:tcBorders>
            <w:shd w:val="clear" w:color="auto" w:fill="auto"/>
          </w:tcPr>
          <w:p w14:paraId="46F74243">
            <w:pPr>
              <w:adjustRightInd w:val="0"/>
              <w:snapToGrid w:val="0"/>
              <w:jc w:val="both"/>
              <w:rPr>
                <w:rFonts w:ascii="Arial" w:hAnsi="Arial" w:cs="Arial"/>
                <w:color w:val="000000"/>
                <w:sz w:val="20"/>
                <w:szCs w:val="20"/>
              </w:rPr>
            </w:pPr>
            <w:r>
              <w:rPr>
                <w:rFonts w:ascii="Arial" w:hAnsi="Arial" w:cs="Arial"/>
                <w:color w:val="000000"/>
                <w:sz w:val="20"/>
                <w:szCs w:val="20"/>
              </w:rPr>
              <w:t>非自愿移民管理</w:t>
            </w:r>
          </w:p>
        </w:tc>
        <w:tc>
          <w:tcPr>
            <w:tcW w:w="525" w:type="pct"/>
            <w:tcBorders>
              <w:top w:val="nil"/>
              <w:left w:val="nil"/>
              <w:bottom w:val="single" w:color="auto" w:sz="4" w:space="0"/>
              <w:right w:val="single" w:color="auto" w:sz="4" w:space="0"/>
            </w:tcBorders>
            <w:shd w:val="clear" w:color="auto" w:fill="auto"/>
          </w:tcPr>
          <w:p w14:paraId="16B5ED51">
            <w:pPr>
              <w:adjustRightInd w:val="0"/>
              <w:snapToGrid w:val="0"/>
              <w:jc w:val="both"/>
              <w:rPr>
                <w:rFonts w:ascii="Arial" w:hAnsi="Arial" w:cs="Arial"/>
                <w:color w:val="000000"/>
                <w:sz w:val="20"/>
                <w:szCs w:val="20"/>
              </w:rPr>
            </w:pPr>
            <w:r>
              <w:rPr>
                <w:rFonts w:ascii="Arial" w:hAnsi="Arial" w:cs="Arial"/>
                <w:color w:val="000000"/>
                <w:sz w:val="20"/>
                <w:szCs w:val="20"/>
              </w:rPr>
              <w:t>建设农村污水处理设施、垃圾收集和转运设施</w:t>
            </w:r>
          </w:p>
        </w:tc>
        <w:tc>
          <w:tcPr>
            <w:tcW w:w="1031" w:type="pct"/>
            <w:tcBorders>
              <w:top w:val="nil"/>
              <w:left w:val="nil"/>
              <w:bottom w:val="single" w:color="auto" w:sz="4" w:space="0"/>
              <w:right w:val="single" w:color="auto" w:sz="4" w:space="0"/>
            </w:tcBorders>
            <w:shd w:val="clear" w:color="auto" w:fill="auto"/>
          </w:tcPr>
          <w:p w14:paraId="5C5E0242">
            <w:pPr>
              <w:adjustRightInd w:val="0"/>
              <w:snapToGrid w:val="0"/>
              <w:jc w:val="both"/>
              <w:rPr>
                <w:rFonts w:ascii="Arial" w:hAnsi="Arial" w:cs="Arial"/>
                <w:color w:val="000000"/>
                <w:sz w:val="20"/>
                <w:szCs w:val="20"/>
              </w:rPr>
            </w:pPr>
            <w:r>
              <w:rPr>
                <w:rFonts w:ascii="Arial" w:hAnsi="Arial" w:cs="Arial"/>
                <w:color w:val="000000"/>
                <w:sz w:val="20"/>
                <w:szCs w:val="20"/>
              </w:rPr>
              <w:t>可能涉及</w:t>
            </w:r>
            <w:r>
              <w:rPr>
                <w:rFonts w:hint="eastAsia" w:ascii="Arial" w:hAnsi="Arial" w:cs="Arial"/>
                <w:color w:val="000000"/>
                <w:sz w:val="20"/>
                <w:szCs w:val="20"/>
                <w:lang w:eastAsia="zh-CN"/>
              </w:rPr>
              <w:t>部分</w:t>
            </w:r>
            <w:r>
              <w:rPr>
                <w:rFonts w:ascii="Arial" w:hAnsi="Arial" w:cs="Arial"/>
                <w:color w:val="000000"/>
                <w:sz w:val="20"/>
                <w:szCs w:val="20"/>
              </w:rPr>
              <w:t>农户承包地被永久征收</w:t>
            </w:r>
          </w:p>
        </w:tc>
        <w:tc>
          <w:tcPr>
            <w:tcW w:w="3088" w:type="pct"/>
            <w:tcBorders>
              <w:top w:val="nil"/>
              <w:left w:val="nil"/>
              <w:bottom w:val="single" w:color="auto" w:sz="4" w:space="0"/>
              <w:right w:val="single" w:color="auto" w:sz="4" w:space="0"/>
            </w:tcBorders>
            <w:shd w:val="clear" w:color="auto" w:fill="auto"/>
          </w:tcPr>
          <w:p w14:paraId="6FA1C974">
            <w:pPr>
              <w:adjustRightInd w:val="0"/>
              <w:snapToGrid w:val="0"/>
              <w:jc w:val="both"/>
              <w:rPr>
                <w:rFonts w:ascii="Arial" w:hAnsi="Arial" w:cs="Arial"/>
                <w:color w:val="000000"/>
                <w:sz w:val="20"/>
                <w:szCs w:val="20"/>
              </w:rPr>
            </w:pPr>
            <w:r>
              <w:rPr>
                <w:rFonts w:ascii="Arial" w:hAnsi="Arial" w:cs="Arial"/>
                <w:color w:val="000000"/>
                <w:sz w:val="20"/>
                <w:szCs w:val="20"/>
              </w:rPr>
              <w:t>现金补偿：根据重置价原则，依法及时足额支付土地补偿费、安置补助费以及地上附着物和青苗等的补偿费用；</w:t>
            </w:r>
          </w:p>
          <w:p w14:paraId="3DF68599">
            <w:pPr>
              <w:adjustRightInd w:val="0"/>
              <w:snapToGrid w:val="0"/>
              <w:jc w:val="both"/>
              <w:rPr>
                <w:rFonts w:ascii="Arial" w:hAnsi="Arial" w:cs="Arial"/>
                <w:color w:val="000000"/>
                <w:sz w:val="20"/>
                <w:szCs w:val="20"/>
              </w:rPr>
            </w:pPr>
            <w:r>
              <w:rPr>
                <w:rFonts w:ascii="Arial" w:hAnsi="Arial" w:cs="Arial"/>
                <w:color w:val="000000"/>
                <w:sz w:val="20"/>
                <w:szCs w:val="20"/>
              </w:rPr>
              <w:t>养老保险：安排被征地农民的社会保障费用，对符合资格的农民纳入养老保险系统；</w:t>
            </w:r>
          </w:p>
          <w:p w14:paraId="59214184">
            <w:pPr>
              <w:adjustRightInd w:val="0"/>
              <w:snapToGrid w:val="0"/>
              <w:jc w:val="both"/>
              <w:rPr>
                <w:rFonts w:ascii="Arial" w:hAnsi="Arial" w:cs="Arial"/>
                <w:color w:val="000000"/>
                <w:sz w:val="20"/>
                <w:szCs w:val="20"/>
              </w:rPr>
            </w:pPr>
            <w:r>
              <w:rPr>
                <w:rFonts w:ascii="Arial" w:hAnsi="Arial" w:cs="Arial"/>
                <w:color w:val="000000"/>
                <w:sz w:val="20"/>
                <w:szCs w:val="20"/>
              </w:rPr>
              <w:t>生计恢复：为受影响人制定并实施生计恢复措施，包括但不限于提供技能培训、项目用工优先考虑受影响人群、推荐其他就业机会等；</w:t>
            </w:r>
          </w:p>
          <w:p w14:paraId="0D9F55C7">
            <w:pPr>
              <w:adjustRightInd w:val="0"/>
              <w:snapToGrid w:val="0"/>
              <w:jc w:val="both"/>
              <w:rPr>
                <w:rFonts w:ascii="Arial" w:hAnsi="Arial" w:cs="Arial"/>
                <w:color w:val="000000"/>
                <w:sz w:val="20"/>
                <w:szCs w:val="20"/>
              </w:rPr>
            </w:pPr>
            <w:r>
              <w:rPr>
                <w:rFonts w:ascii="Arial" w:hAnsi="Arial" w:cs="Arial"/>
                <w:color w:val="000000"/>
                <w:sz w:val="20"/>
                <w:szCs w:val="20"/>
              </w:rPr>
              <w:t>组织开展信息公开与公众参与活动，充分征询受影响人意见；</w:t>
            </w:r>
          </w:p>
          <w:p w14:paraId="1D8982E8">
            <w:pPr>
              <w:adjustRightInd w:val="0"/>
              <w:snapToGrid w:val="0"/>
              <w:jc w:val="both"/>
              <w:rPr>
                <w:rFonts w:ascii="Arial" w:hAnsi="Arial" w:cs="Arial"/>
                <w:color w:val="000000"/>
                <w:sz w:val="20"/>
                <w:szCs w:val="20"/>
              </w:rPr>
            </w:pPr>
            <w:r>
              <w:rPr>
                <w:rFonts w:ascii="Arial" w:hAnsi="Arial" w:cs="Arial"/>
                <w:color w:val="000000"/>
                <w:sz w:val="20"/>
                <w:szCs w:val="20"/>
              </w:rPr>
              <w:t>建立申诉机制，及时接收、处理和反馈征地相关申诉、投诉和抱怨。</w:t>
            </w:r>
          </w:p>
        </w:tc>
      </w:tr>
      <w:tr w14:paraId="47B1102D">
        <w:tblPrEx>
          <w:tblCellMar>
            <w:top w:w="0" w:type="dxa"/>
            <w:left w:w="28" w:type="dxa"/>
            <w:bottom w:w="0" w:type="dxa"/>
            <w:right w:w="28" w:type="dxa"/>
          </w:tblCellMar>
        </w:tblPrEx>
        <w:trPr>
          <w:trHeight w:val="20" w:hRule="atLeast"/>
        </w:trPr>
        <w:tc>
          <w:tcPr>
            <w:tcW w:w="356" w:type="pct"/>
            <w:vMerge w:val="continue"/>
            <w:tcBorders>
              <w:left w:val="single" w:color="auto" w:sz="4" w:space="0"/>
              <w:right w:val="single" w:color="auto" w:sz="4" w:space="0"/>
            </w:tcBorders>
            <w:shd w:val="clear" w:color="auto" w:fill="auto"/>
          </w:tcPr>
          <w:p w14:paraId="14475F24">
            <w:pPr>
              <w:adjustRightInd w:val="0"/>
              <w:snapToGrid w:val="0"/>
              <w:jc w:val="both"/>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1119B149">
            <w:pPr>
              <w:adjustRightInd w:val="0"/>
              <w:snapToGrid w:val="0"/>
              <w:jc w:val="both"/>
              <w:rPr>
                <w:rFonts w:ascii="Arial" w:hAnsi="Arial" w:cs="Arial"/>
                <w:color w:val="000000"/>
                <w:sz w:val="20"/>
                <w:szCs w:val="20"/>
              </w:rPr>
            </w:pPr>
            <w:r>
              <w:rPr>
                <w:rFonts w:ascii="Arial" w:hAnsi="Arial" w:cs="Arial"/>
                <w:color w:val="000000"/>
                <w:sz w:val="20"/>
                <w:szCs w:val="20"/>
              </w:rPr>
              <w:t>畜禽粪污处理设施、秸秆加工处理设施</w:t>
            </w:r>
          </w:p>
        </w:tc>
        <w:tc>
          <w:tcPr>
            <w:tcW w:w="1031" w:type="pct"/>
            <w:tcBorders>
              <w:top w:val="nil"/>
              <w:left w:val="nil"/>
              <w:bottom w:val="single" w:color="auto" w:sz="4" w:space="0"/>
              <w:right w:val="single" w:color="auto" w:sz="4" w:space="0"/>
            </w:tcBorders>
            <w:shd w:val="clear" w:color="auto" w:fill="auto"/>
          </w:tcPr>
          <w:p w14:paraId="21B302C1">
            <w:pPr>
              <w:adjustRightInd w:val="0"/>
              <w:snapToGrid w:val="0"/>
              <w:jc w:val="both"/>
              <w:rPr>
                <w:rFonts w:ascii="Arial" w:hAnsi="Arial" w:cs="Arial"/>
                <w:color w:val="000000"/>
                <w:sz w:val="20"/>
                <w:szCs w:val="20"/>
              </w:rPr>
            </w:pPr>
            <w:r>
              <w:rPr>
                <w:rFonts w:ascii="Arial" w:hAnsi="Arial" w:cs="Arial"/>
                <w:color w:val="000000"/>
                <w:sz w:val="20"/>
                <w:szCs w:val="20"/>
              </w:rPr>
              <w:t>可能涉及设施农业用地</w:t>
            </w:r>
          </w:p>
        </w:tc>
        <w:tc>
          <w:tcPr>
            <w:tcW w:w="3088" w:type="pct"/>
            <w:tcBorders>
              <w:top w:val="nil"/>
              <w:left w:val="nil"/>
              <w:bottom w:val="single" w:color="auto" w:sz="4" w:space="0"/>
              <w:right w:val="single" w:color="auto" w:sz="4" w:space="0"/>
            </w:tcBorders>
            <w:shd w:val="clear" w:color="auto" w:fill="auto"/>
          </w:tcPr>
          <w:p w14:paraId="7550BB03">
            <w:pPr>
              <w:adjustRightInd w:val="0"/>
              <w:snapToGrid w:val="0"/>
              <w:jc w:val="both"/>
              <w:rPr>
                <w:rFonts w:ascii="Arial" w:hAnsi="Arial" w:cs="Arial"/>
                <w:sz w:val="20"/>
                <w:szCs w:val="20"/>
              </w:rPr>
            </w:pPr>
            <w:r>
              <w:rPr>
                <w:rFonts w:ascii="Arial" w:hAnsi="Arial" w:cs="Arial"/>
                <w:sz w:val="20"/>
                <w:szCs w:val="20"/>
              </w:rPr>
              <w:t>选址应尽量利用荒山、荒沟、荒丘、荒滩和农村集体建设用地；</w:t>
            </w:r>
          </w:p>
          <w:p w14:paraId="309167D6">
            <w:pPr>
              <w:adjustRightInd w:val="0"/>
              <w:snapToGrid w:val="0"/>
              <w:jc w:val="both"/>
              <w:rPr>
                <w:rFonts w:ascii="Arial" w:hAnsi="Arial" w:cs="Arial"/>
                <w:sz w:val="20"/>
                <w:szCs w:val="20"/>
              </w:rPr>
            </w:pPr>
            <w:r>
              <w:rPr>
                <w:rFonts w:ascii="Arial" w:hAnsi="Arial" w:cs="Arial"/>
                <w:sz w:val="22"/>
              </w:rPr>
              <w:t>确需占用耕地的，应尽量占用劣质耕地，避免滥占优质耕地</w:t>
            </w:r>
            <w:r>
              <w:rPr>
                <w:rFonts w:hint="eastAsia" w:ascii="Arial" w:hAnsi="Arial" w:cs="Arial"/>
                <w:sz w:val="22"/>
                <w:lang w:eastAsia="zh-CN"/>
              </w:rPr>
              <w:t>；</w:t>
            </w:r>
          </w:p>
          <w:p w14:paraId="1F6559D5">
            <w:pPr>
              <w:adjustRightInd w:val="0"/>
              <w:snapToGrid w:val="0"/>
              <w:jc w:val="both"/>
              <w:rPr>
                <w:rFonts w:ascii="Arial" w:hAnsi="Arial" w:cs="Arial"/>
                <w:color w:val="000000"/>
                <w:sz w:val="20"/>
                <w:szCs w:val="20"/>
              </w:rPr>
            </w:pPr>
            <w:r>
              <w:rPr>
                <w:rFonts w:ascii="Arial" w:hAnsi="Arial" w:cs="Arial"/>
                <w:color w:val="000000"/>
                <w:sz w:val="20"/>
                <w:szCs w:val="20"/>
              </w:rPr>
              <w:t>对耕地转为其他农用地及农业设施建设用地实行年度“进出平衡”，补足同等数量、质量的可以长期稳定利用的耕地；</w:t>
            </w:r>
          </w:p>
          <w:p w14:paraId="71ACFB73">
            <w:pPr>
              <w:adjustRightInd w:val="0"/>
              <w:snapToGrid w:val="0"/>
              <w:jc w:val="both"/>
              <w:rPr>
                <w:rFonts w:ascii="Arial" w:hAnsi="Arial" w:cs="Arial"/>
                <w:color w:val="000000"/>
                <w:sz w:val="20"/>
                <w:szCs w:val="20"/>
              </w:rPr>
            </w:pPr>
            <w:r>
              <w:rPr>
                <w:rFonts w:ascii="Arial" w:hAnsi="Arial" w:cs="Arial"/>
                <w:color w:val="000000"/>
                <w:sz w:val="20"/>
                <w:szCs w:val="20"/>
              </w:rPr>
              <w:t>组织开展信息公开与公众参与活动，充分征询农户意见；</w:t>
            </w:r>
          </w:p>
          <w:p w14:paraId="52FA455A">
            <w:pPr>
              <w:adjustRightInd w:val="0"/>
              <w:snapToGrid w:val="0"/>
              <w:jc w:val="both"/>
              <w:rPr>
                <w:rFonts w:ascii="Arial" w:hAnsi="Arial" w:cs="Arial"/>
                <w:color w:val="000000"/>
                <w:sz w:val="20"/>
                <w:szCs w:val="20"/>
              </w:rPr>
            </w:pPr>
            <w:r>
              <w:rPr>
                <w:rFonts w:ascii="Arial" w:hAnsi="Arial" w:cs="Arial"/>
                <w:color w:val="000000"/>
                <w:sz w:val="20"/>
                <w:szCs w:val="20"/>
              </w:rPr>
              <w:t>签订用地协议，在协议中约定用地范围、期限、租金、支付时间等；</w:t>
            </w:r>
          </w:p>
          <w:p w14:paraId="6B7D79A8">
            <w:pPr>
              <w:adjustRightInd w:val="0"/>
              <w:snapToGrid w:val="0"/>
              <w:jc w:val="both"/>
              <w:rPr>
                <w:rFonts w:ascii="Arial" w:hAnsi="Arial" w:cs="Arial"/>
                <w:color w:val="000000"/>
                <w:sz w:val="20"/>
                <w:szCs w:val="20"/>
              </w:rPr>
            </w:pPr>
            <w:r>
              <w:rPr>
                <w:rFonts w:ascii="Arial" w:hAnsi="Arial" w:cs="Arial"/>
                <w:color w:val="000000"/>
                <w:sz w:val="20"/>
                <w:szCs w:val="20"/>
              </w:rPr>
              <w:t>建立申诉机制，及时接收、处理和反馈相关申诉、投诉和抱怨。</w:t>
            </w:r>
          </w:p>
        </w:tc>
      </w:tr>
      <w:tr w14:paraId="169669E8">
        <w:tblPrEx>
          <w:tblCellMar>
            <w:top w:w="0" w:type="dxa"/>
            <w:left w:w="28" w:type="dxa"/>
            <w:bottom w:w="0" w:type="dxa"/>
            <w:right w:w="28" w:type="dxa"/>
          </w:tblCellMar>
        </w:tblPrEx>
        <w:trPr>
          <w:trHeight w:val="20" w:hRule="atLeast"/>
        </w:trPr>
        <w:tc>
          <w:tcPr>
            <w:tcW w:w="356" w:type="pct"/>
            <w:vMerge w:val="continue"/>
            <w:tcBorders>
              <w:left w:val="single" w:color="auto" w:sz="4" w:space="0"/>
              <w:bottom w:val="single" w:color="auto" w:sz="4" w:space="0"/>
              <w:right w:val="single" w:color="auto" w:sz="4" w:space="0"/>
            </w:tcBorders>
            <w:shd w:val="clear" w:color="auto" w:fill="auto"/>
          </w:tcPr>
          <w:p w14:paraId="186D7CAC">
            <w:pPr>
              <w:adjustRightInd w:val="0"/>
              <w:snapToGrid w:val="0"/>
              <w:jc w:val="both"/>
              <w:rPr>
                <w:rFonts w:ascii="Arial" w:hAnsi="Arial" w:cs="Arial"/>
                <w:color w:val="000000"/>
                <w:sz w:val="20"/>
                <w:szCs w:val="20"/>
              </w:rPr>
            </w:pPr>
          </w:p>
        </w:tc>
        <w:tc>
          <w:tcPr>
            <w:tcW w:w="525" w:type="pct"/>
            <w:tcBorders>
              <w:top w:val="nil"/>
              <w:left w:val="nil"/>
              <w:bottom w:val="single" w:color="auto" w:sz="4" w:space="0"/>
              <w:right w:val="single" w:color="auto" w:sz="4" w:space="0"/>
            </w:tcBorders>
            <w:shd w:val="clear" w:color="auto" w:fill="auto"/>
          </w:tcPr>
          <w:p w14:paraId="3B54A3B5">
            <w:pPr>
              <w:adjustRightInd w:val="0"/>
              <w:snapToGrid w:val="0"/>
              <w:jc w:val="both"/>
              <w:rPr>
                <w:rFonts w:ascii="Arial" w:hAnsi="Arial" w:cs="Arial"/>
                <w:color w:val="000000"/>
                <w:sz w:val="20"/>
                <w:szCs w:val="20"/>
              </w:rPr>
            </w:pPr>
            <w:r>
              <w:rPr>
                <w:rFonts w:ascii="Arial" w:hAnsi="Arial" w:cs="Arial"/>
                <w:color w:val="000000"/>
                <w:sz w:val="20"/>
                <w:szCs w:val="20"/>
              </w:rPr>
              <w:t>种植业生产</w:t>
            </w:r>
          </w:p>
        </w:tc>
        <w:tc>
          <w:tcPr>
            <w:tcW w:w="1031" w:type="pct"/>
            <w:tcBorders>
              <w:top w:val="nil"/>
              <w:left w:val="nil"/>
              <w:bottom w:val="single" w:color="auto" w:sz="4" w:space="0"/>
              <w:right w:val="single" w:color="auto" w:sz="4" w:space="0"/>
            </w:tcBorders>
            <w:shd w:val="clear" w:color="auto" w:fill="auto"/>
          </w:tcPr>
          <w:p w14:paraId="39192CB3">
            <w:pPr>
              <w:adjustRightInd w:val="0"/>
              <w:snapToGrid w:val="0"/>
              <w:jc w:val="both"/>
              <w:rPr>
                <w:rFonts w:ascii="Arial" w:hAnsi="Arial" w:cs="Arial"/>
                <w:color w:val="000000"/>
                <w:sz w:val="20"/>
                <w:szCs w:val="20"/>
              </w:rPr>
            </w:pPr>
            <w:r>
              <w:rPr>
                <w:rFonts w:ascii="Arial" w:hAnsi="Arial" w:cs="Arial"/>
                <w:color w:val="000000"/>
                <w:sz w:val="20"/>
                <w:szCs w:val="20"/>
              </w:rPr>
              <w:t>可能涉及土地流转</w:t>
            </w:r>
          </w:p>
        </w:tc>
        <w:tc>
          <w:tcPr>
            <w:tcW w:w="3088" w:type="pct"/>
            <w:tcBorders>
              <w:top w:val="nil"/>
              <w:left w:val="nil"/>
              <w:bottom w:val="single" w:color="auto" w:sz="4" w:space="0"/>
              <w:right w:val="single" w:color="auto" w:sz="4" w:space="0"/>
            </w:tcBorders>
            <w:shd w:val="clear" w:color="auto" w:fill="auto"/>
          </w:tcPr>
          <w:p w14:paraId="2AB2B00B">
            <w:pPr>
              <w:adjustRightInd w:val="0"/>
              <w:snapToGrid w:val="0"/>
              <w:jc w:val="both"/>
              <w:rPr>
                <w:rFonts w:ascii="Arial" w:hAnsi="Arial" w:cs="Arial"/>
                <w:color w:val="000000"/>
                <w:sz w:val="20"/>
                <w:szCs w:val="20"/>
              </w:rPr>
            </w:pPr>
            <w:r>
              <w:rPr>
                <w:rFonts w:ascii="Arial" w:hAnsi="Arial" w:cs="Arial"/>
                <w:color w:val="000000"/>
                <w:sz w:val="20"/>
                <w:szCs w:val="20"/>
              </w:rPr>
              <w:t>遵循依法、自愿、有偿原则；组织开展信息公开与公众参与活动，充分征询农户意见；</w:t>
            </w:r>
          </w:p>
          <w:p w14:paraId="47B8A349">
            <w:pPr>
              <w:adjustRightInd w:val="0"/>
              <w:snapToGrid w:val="0"/>
              <w:jc w:val="both"/>
              <w:rPr>
                <w:rFonts w:ascii="Arial" w:hAnsi="Arial" w:cs="Arial"/>
                <w:color w:val="000000"/>
                <w:sz w:val="20"/>
                <w:szCs w:val="20"/>
              </w:rPr>
            </w:pPr>
            <w:r>
              <w:rPr>
                <w:rFonts w:ascii="Arial" w:hAnsi="Arial" w:cs="Arial"/>
                <w:color w:val="000000"/>
                <w:sz w:val="20"/>
                <w:szCs w:val="20"/>
              </w:rPr>
              <w:t>签订土地流转协议，在协议中约定用地范围、期限、租金、支付时间等；</w:t>
            </w:r>
          </w:p>
          <w:p w14:paraId="55BC3E4C">
            <w:pPr>
              <w:adjustRightInd w:val="0"/>
              <w:snapToGrid w:val="0"/>
              <w:jc w:val="both"/>
              <w:rPr>
                <w:rFonts w:ascii="Arial" w:hAnsi="Arial" w:cs="Arial"/>
                <w:color w:val="000000"/>
                <w:sz w:val="20"/>
                <w:szCs w:val="20"/>
              </w:rPr>
            </w:pPr>
            <w:r>
              <w:rPr>
                <w:rFonts w:ascii="Arial" w:hAnsi="Arial" w:cs="Arial"/>
                <w:color w:val="000000"/>
                <w:sz w:val="20"/>
                <w:szCs w:val="20"/>
              </w:rPr>
              <w:t>涉及整村（组）土地经营权流转面积较大、涉及农户较多、经营风险较高的项目可以设立风险保障金；</w:t>
            </w:r>
          </w:p>
          <w:p w14:paraId="480C1B70">
            <w:pPr>
              <w:adjustRightInd w:val="0"/>
              <w:snapToGrid w:val="0"/>
              <w:jc w:val="both"/>
              <w:rPr>
                <w:rFonts w:ascii="Arial" w:hAnsi="Arial" w:cs="Arial"/>
                <w:color w:val="000000"/>
                <w:sz w:val="20"/>
                <w:szCs w:val="20"/>
              </w:rPr>
            </w:pPr>
            <w:r>
              <w:rPr>
                <w:rFonts w:ascii="Arial" w:hAnsi="Arial" w:cs="Arial"/>
                <w:color w:val="000000"/>
                <w:sz w:val="20"/>
                <w:szCs w:val="20"/>
              </w:rPr>
              <w:t>种植生产用工，优先考虑受影响农户；</w:t>
            </w:r>
          </w:p>
          <w:p w14:paraId="15D48F9E">
            <w:pPr>
              <w:adjustRightInd w:val="0"/>
              <w:snapToGrid w:val="0"/>
              <w:jc w:val="both"/>
              <w:rPr>
                <w:rFonts w:ascii="Arial" w:hAnsi="Arial" w:cs="Arial"/>
                <w:color w:val="000000"/>
                <w:sz w:val="20"/>
                <w:szCs w:val="20"/>
              </w:rPr>
            </w:pPr>
            <w:r>
              <w:rPr>
                <w:rFonts w:ascii="Arial" w:hAnsi="Arial" w:cs="Arial"/>
                <w:color w:val="000000"/>
                <w:sz w:val="20"/>
                <w:szCs w:val="20"/>
              </w:rPr>
              <w:t>建立申诉机制，及时接收、处理和反馈相关申诉、投诉和抱怨。</w:t>
            </w:r>
          </w:p>
        </w:tc>
      </w:tr>
      <w:tr w14:paraId="3EB69D2A">
        <w:tblPrEx>
          <w:tblCellMar>
            <w:top w:w="0" w:type="dxa"/>
            <w:left w:w="28" w:type="dxa"/>
            <w:bottom w:w="0" w:type="dxa"/>
            <w:right w:w="28" w:type="dxa"/>
          </w:tblCellMar>
        </w:tblPrEx>
        <w:trPr>
          <w:trHeight w:val="20" w:hRule="atLeast"/>
        </w:trPr>
        <w:tc>
          <w:tcPr>
            <w:tcW w:w="356" w:type="pct"/>
            <w:tcBorders>
              <w:top w:val="nil"/>
              <w:left w:val="single" w:color="auto" w:sz="4" w:space="0"/>
              <w:bottom w:val="single" w:color="auto" w:sz="4" w:space="0"/>
              <w:right w:val="single" w:color="auto" w:sz="4" w:space="0"/>
            </w:tcBorders>
            <w:shd w:val="clear" w:color="auto" w:fill="auto"/>
          </w:tcPr>
          <w:p w14:paraId="65E12717">
            <w:pPr>
              <w:adjustRightInd w:val="0"/>
              <w:snapToGrid w:val="0"/>
              <w:jc w:val="both"/>
              <w:rPr>
                <w:rFonts w:ascii="Arial" w:hAnsi="Arial" w:cs="Arial"/>
                <w:color w:val="000000"/>
                <w:sz w:val="20"/>
                <w:szCs w:val="20"/>
              </w:rPr>
            </w:pPr>
            <w:r>
              <w:rPr>
                <w:rFonts w:ascii="Arial" w:hAnsi="Arial" w:cs="Arial"/>
                <w:color w:val="000000"/>
                <w:sz w:val="20"/>
                <w:szCs w:val="20"/>
              </w:rPr>
              <w:t>少数民族权益保护</w:t>
            </w:r>
          </w:p>
        </w:tc>
        <w:tc>
          <w:tcPr>
            <w:tcW w:w="525" w:type="pct"/>
            <w:tcBorders>
              <w:top w:val="nil"/>
              <w:left w:val="nil"/>
              <w:bottom w:val="single" w:color="auto" w:sz="4" w:space="0"/>
              <w:right w:val="single" w:color="auto" w:sz="4" w:space="0"/>
            </w:tcBorders>
            <w:shd w:val="clear" w:color="auto" w:fill="auto"/>
          </w:tcPr>
          <w:p w14:paraId="09A57C38">
            <w:pPr>
              <w:adjustRightInd w:val="0"/>
              <w:snapToGrid w:val="0"/>
              <w:jc w:val="both"/>
              <w:rPr>
                <w:rFonts w:ascii="Arial" w:hAnsi="Arial" w:cs="Arial"/>
                <w:color w:val="000000"/>
                <w:sz w:val="20"/>
                <w:szCs w:val="20"/>
              </w:rPr>
            </w:pPr>
            <w:r>
              <w:rPr>
                <w:rFonts w:ascii="Arial" w:hAnsi="Arial" w:cs="Arial"/>
                <w:color w:val="000000"/>
                <w:sz w:val="20"/>
                <w:szCs w:val="20"/>
              </w:rPr>
              <w:t>所有项目活动</w:t>
            </w:r>
          </w:p>
        </w:tc>
        <w:tc>
          <w:tcPr>
            <w:tcW w:w="1031" w:type="pct"/>
            <w:tcBorders>
              <w:top w:val="nil"/>
              <w:left w:val="nil"/>
              <w:bottom w:val="single" w:color="auto" w:sz="4" w:space="0"/>
              <w:right w:val="single" w:color="auto" w:sz="4" w:space="0"/>
            </w:tcBorders>
            <w:shd w:val="clear" w:color="auto" w:fill="auto"/>
          </w:tcPr>
          <w:p w14:paraId="2C9B222C">
            <w:pPr>
              <w:adjustRightInd w:val="0"/>
              <w:snapToGrid w:val="0"/>
              <w:jc w:val="both"/>
              <w:rPr>
                <w:rFonts w:ascii="Arial" w:hAnsi="Arial" w:cs="Arial"/>
                <w:color w:val="000000"/>
                <w:sz w:val="20"/>
                <w:szCs w:val="20"/>
              </w:rPr>
            </w:pPr>
            <w:r>
              <w:rPr>
                <w:rFonts w:ascii="Arial" w:hAnsi="Arial" w:cs="Arial"/>
                <w:color w:val="000000"/>
                <w:sz w:val="20"/>
                <w:szCs w:val="20"/>
              </w:rPr>
              <w:t>项目活动区域可能涉及少数民族乡镇和村社</w:t>
            </w:r>
          </w:p>
        </w:tc>
        <w:tc>
          <w:tcPr>
            <w:tcW w:w="3088" w:type="pct"/>
            <w:tcBorders>
              <w:top w:val="nil"/>
              <w:left w:val="nil"/>
              <w:bottom w:val="single" w:color="auto" w:sz="4" w:space="0"/>
              <w:right w:val="single" w:color="auto" w:sz="4" w:space="0"/>
            </w:tcBorders>
            <w:shd w:val="clear" w:color="auto" w:fill="auto"/>
          </w:tcPr>
          <w:p w14:paraId="567AC3CE">
            <w:pPr>
              <w:adjustRightInd w:val="0"/>
              <w:snapToGrid w:val="0"/>
              <w:jc w:val="both"/>
              <w:rPr>
                <w:rFonts w:ascii="Arial" w:hAnsi="Arial" w:cs="Arial"/>
                <w:color w:val="000000"/>
                <w:sz w:val="20"/>
                <w:szCs w:val="20"/>
              </w:rPr>
            </w:pPr>
            <w:r>
              <w:rPr>
                <w:rFonts w:ascii="Arial" w:hAnsi="Arial" w:cs="Arial"/>
                <w:color w:val="000000"/>
                <w:sz w:val="20"/>
                <w:szCs w:val="20"/>
              </w:rPr>
              <w:t>在项目准备及实施阶段，与少数民族代表进行充分协商、咨询，尊重他们的意见并纳入项目设计。</w:t>
            </w:r>
          </w:p>
        </w:tc>
      </w:tr>
      <w:tr w14:paraId="332DA284">
        <w:tblPrEx>
          <w:tblCellMar>
            <w:top w:w="0" w:type="dxa"/>
            <w:left w:w="28" w:type="dxa"/>
            <w:bottom w:w="0" w:type="dxa"/>
            <w:right w:w="28" w:type="dxa"/>
          </w:tblCellMar>
        </w:tblPrEx>
        <w:trPr>
          <w:trHeight w:val="20" w:hRule="atLeast"/>
        </w:trPr>
        <w:tc>
          <w:tcPr>
            <w:tcW w:w="356" w:type="pct"/>
            <w:tcBorders>
              <w:top w:val="nil"/>
              <w:left w:val="single" w:color="auto" w:sz="4" w:space="0"/>
              <w:bottom w:val="single" w:color="auto" w:sz="4" w:space="0"/>
              <w:right w:val="single" w:color="auto" w:sz="4" w:space="0"/>
            </w:tcBorders>
            <w:shd w:val="clear" w:color="auto" w:fill="auto"/>
          </w:tcPr>
          <w:p w14:paraId="3EDD24CA">
            <w:pPr>
              <w:adjustRightInd w:val="0"/>
              <w:snapToGrid w:val="0"/>
              <w:jc w:val="both"/>
              <w:rPr>
                <w:rFonts w:ascii="Arial" w:hAnsi="Arial" w:cs="Arial"/>
                <w:color w:val="000000"/>
                <w:sz w:val="20"/>
                <w:szCs w:val="20"/>
              </w:rPr>
            </w:pPr>
            <w:r>
              <w:rPr>
                <w:rFonts w:ascii="Arial" w:hAnsi="Arial" w:cs="Arial"/>
                <w:color w:val="000000"/>
                <w:sz w:val="20"/>
                <w:szCs w:val="20"/>
              </w:rPr>
              <w:t>弱势群体权益保护</w:t>
            </w:r>
          </w:p>
        </w:tc>
        <w:tc>
          <w:tcPr>
            <w:tcW w:w="525" w:type="pct"/>
            <w:tcBorders>
              <w:top w:val="nil"/>
              <w:left w:val="nil"/>
              <w:bottom w:val="single" w:color="auto" w:sz="4" w:space="0"/>
              <w:right w:val="single" w:color="auto" w:sz="4" w:space="0"/>
            </w:tcBorders>
            <w:shd w:val="clear" w:color="auto" w:fill="auto"/>
          </w:tcPr>
          <w:p w14:paraId="44D938B1">
            <w:pPr>
              <w:adjustRightInd w:val="0"/>
              <w:snapToGrid w:val="0"/>
              <w:jc w:val="both"/>
              <w:rPr>
                <w:rFonts w:ascii="Arial" w:hAnsi="Arial" w:cs="Arial"/>
                <w:color w:val="000000"/>
                <w:sz w:val="20"/>
                <w:szCs w:val="20"/>
              </w:rPr>
            </w:pPr>
            <w:r>
              <w:rPr>
                <w:rFonts w:ascii="Arial" w:hAnsi="Arial" w:cs="Arial"/>
                <w:color w:val="000000"/>
                <w:sz w:val="20"/>
                <w:szCs w:val="20"/>
              </w:rPr>
              <w:t>所有项目活动</w:t>
            </w:r>
          </w:p>
        </w:tc>
        <w:tc>
          <w:tcPr>
            <w:tcW w:w="1031" w:type="pct"/>
            <w:tcBorders>
              <w:top w:val="nil"/>
              <w:left w:val="nil"/>
              <w:bottom w:val="single" w:color="auto" w:sz="4" w:space="0"/>
              <w:right w:val="single" w:color="auto" w:sz="4" w:space="0"/>
            </w:tcBorders>
            <w:shd w:val="clear" w:color="auto" w:fill="auto"/>
          </w:tcPr>
          <w:p w14:paraId="5C60B9F0">
            <w:pPr>
              <w:adjustRightInd w:val="0"/>
              <w:snapToGrid w:val="0"/>
              <w:jc w:val="both"/>
              <w:rPr>
                <w:rFonts w:ascii="Arial" w:hAnsi="Arial" w:cs="Arial"/>
                <w:color w:val="000000"/>
                <w:sz w:val="20"/>
                <w:szCs w:val="20"/>
              </w:rPr>
            </w:pPr>
            <w:r>
              <w:rPr>
                <w:rFonts w:ascii="Arial" w:hAnsi="Arial" w:cs="Arial"/>
                <w:color w:val="000000"/>
                <w:sz w:val="20"/>
                <w:szCs w:val="20"/>
              </w:rPr>
              <w:t>可能对弱势群体生产生活造成更大的影响</w:t>
            </w:r>
          </w:p>
        </w:tc>
        <w:tc>
          <w:tcPr>
            <w:tcW w:w="3088" w:type="pct"/>
            <w:tcBorders>
              <w:top w:val="nil"/>
              <w:left w:val="nil"/>
              <w:bottom w:val="single" w:color="auto" w:sz="4" w:space="0"/>
              <w:right w:val="single" w:color="auto" w:sz="4" w:space="0"/>
            </w:tcBorders>
            <w:shd w:val="clear" w:color="auto" w:fill="auto"/>
          </w:tcPr>
          <w:p w14:paraId="4D483DFB">
            <w:pPr>
              <w:adjustRightInd w:val="0"/>
              <w:snapToGrid w:val="0"/>
              <w:jc w:val="both"/>
              <w:rPr>
                <w:rFonts w:ascii="Arial" w:hAnsi="Arial" w:cs="Arial"/>
                <w:color w:val="000000"/>
                <w:sz w:val="20"/>
                <w:szCs w:val="20"/>
              </w:rPr>
            </w:pPr>
            <w:r>
              <w:rPr>
                <w:rFonts w:ascii="Arial" w:hAnsi="Arial" w:cs="Arial"/>
                <w:color w:val="000000"/>
                <w:sz w:val="20"/>
                <w:szCs w:val="20"/>
              </w:rPr>
              <w:t>在项目准备及实施阶段，与弱势群体代表进行充分协商、咨询，尊重他们的意见并纳入项目设计；</w:t>
            </w:r>
          </w:p>
          <w:p w14:paraId="05CA0BA6">
            <w:pPr>
              <w:adjustRightInd w:val="0"/>
              <w:snapToGrid w:val="0"/>
              <w:jc w:val="both"/>
              <w:rPr>
                <w:rFonts w:ascii="Arial" w:hAnsi="Arial" w:cs="Arial"/>
                <w:color w:val="000000"/>
                <w:sz w:val="20"/>
                <w:szCs w:val="20"/>
              </w:rPr>
            </w:pPr>
            <w:r>
              <w:rPr>
                <w:rFonts w:ascii="Arial" w:hAnsi="Arial" w:cs="Arial"/>
                <w:color w:val="000000"/>
                <w:sz w:val="20"/>
                <w:szCs w:val="20"/>
              </w:rPr>
              <w:t>针对受影响弱势群体，制定并实施帮扶措施，如项目用工优先受影响弱势群体，提供公益性就业岗位、纳入城乡低保补助等。</w:t>
            </w:r>
          </w:p>
        </w:tc>
      </w:tr>
    </w:tbl>
    <w:p w14:paraId="2B8ABF7B">
      <w:pPr>
        <w:widowControl w:val="0"/>
        <w:tabs>
          <w:tab w:val="left" w:pos="851"/>
        </w:tabs>
        <w:adjustRightInd w:val="0"/>
        <w:snapToGrid w:val="0"/>
        <w:spacing w:before="120" w:after="120"/>
        <w:jc w:val="both"/>
        <w:rPr>
          <w:rFonts w:ascii="Arial" w:hAnsi="Arial" w:cs="Arial"/>
          <w:sz w:val="22"/>
        </w:rPr>
      </w:pPr>
    </w:p>
    <w:p w14:paraId="61965D7E">
      <w:pPr>
        <w:rPr>
          <w:rFonts w:ascii="Arial" w:hAnsi="Arial" w:cs="Arial"/>
        </w:rPr>
      </w:pPr>
    </w:p>
    <w:sectPr>
      <w:type w:val="continuous"/>
      <w:pgSz w:w="11906" w:h="16838"/>
      <w:pgMar w:top="1134" w:right="1134" w:bottom="1134" w:left="1134" w:header="851" w:footer="75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19121D6-8444-494E-A49F-521ED99F96B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8A57F148-BD47-4AB6-94A2-BBBB8364BAE6}"/>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embedRegular r:id="rId3" w:fontKey="{3972D9A7-559C-4D2D-99E9-7FA7030BE8FF}"/>
  </w:font>
  <w:font w:name="等线 Light">
    <w:altName w:val="宋体"/>
    <w:panose1 w:val="02010600030101010101"/>
    <w:charset w:val="86"/>
    <w:family w:val="auto"/>
    <w:pitch w:val="default"/>
    <w:sig w:usb0="00000000" w:usb1="00000000" w:usb2="00000016" w:usb3="00000000" w:csb0="0004000F" w:csb1="00000000"/>
  </w:font>
  <w:font w:name="Times New Roman (Body CS)">
    <w:altName w:val="Times New Roman"/>
    <w:panose1 w:val="00000000000000000000"/>
    <w:charset w:val="00"/>
    <w:family w:val="roman"/>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A00002EF" w:usb1="420020EB" w:usb2="00000000" w:usb3="00000000" w:csb0="2000019F" w:csb1="00000000"/>
    <w:embedRegular r:id="rId4" w:fontKey="{1FDA8323-08FC-4C3C-B0EC-0C69BEC72D15}"/>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D183C">
    <w:pPr>
      <w:pStyle w:val="23"/>
      <w:jc w:val="right"/>
      <w:rPr>
        <w:rFonts w:ascii="Arial" w:hAnsi="Arial"/>
      </w:rPr>
    </w:pPr>
    <w:r>
      <w:rPr>
        <w:rFonts w:ascii="Arial" w:hAnsi="Arial"/>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page">
                <wp:align>bottom</wp:align>
              </wp:positionV>
              <wp:extent cx="7772400" cy="463550"/>
              <wp:effectExtent l="0" t="0" r="0" b="12700"/>
              <wp:wrapNone/>
              <wp:docPr id="25" name="MSIPCMf12b4622bd83453203b8c931"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50C98F56">
                          <w:pPr>
                            <w:jc w:val="right"/>
                            <w:rPr>
                              <w:rFonts w:ascii="Calibri" w:hAnsi="Calibri" w:cs="Calibri"/>
                              <w:color w:val="000000"/>
                            </w:rPr>
                          </w:pPr>
                          <w:r>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f12b4622bd83453203b8c931" o:spid="_x0000_s1026" o:spt="202" alt="{&quot;HashCode&quot;:1990712160,&quot;Height&quot;:9999999.0,&quot;Width&quot;:9999999.0,&quot;Placement&quot;:&quot;Footer&quot;,&quot;Index&quot;:&quot;Primary&quot;,&quot;Section&quot;:1,&quot;Top&quot;:0.0,&quot;Left&quot;:0.0}" type="#_x0000_t202" style="position:absolute;left:0pt;height:36.5pt;width:612pt;mso-position-horizontal:right;mso-position-horizontal-relative:page;mso-position-vertical:bottom;mso-position-vertical-relative:page;z-index:251659264;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NhXyRauAgAAZgUAAA4AAABkcnMvZTJvRG9jLnhtbK1US2/bMAy+&#10;D9h/EHTYaYsfeTVZnSJL0a1AugZIh54VWY4F2KIqKY2zYf99lOyka7cBPcwHmeJH8fGJ1PlFU1fk&#10;URgrQWU06cWUCMUhl2qb0W93Vx/OKLGOqZxVoERGD8LSi9nbN+d7PRUplFDlwhB0oux0rzNaOqen&#10;UWR5KWpme6CFQrAAUzOHW7ONcsP26L2uojSOR9EeTK4NcGEtai9bkHYezWscQlFILi6B72qhXOvV&#10;iIo5LMmWUls6C9kWheDutiiscKTKKFbqwopBUN74NZqds+nWMF1K3qXAXpPCi5pqJhUGPbm6ZI6R&#10;nZF/uKolN2ChcD0OddQWEhjBKpL4BTfrkmkRakGqrT6Rbv+fW/71cWWIzDOaDilRrMYbv1lfrxY3&#10;RZJuBqM03eRn/cGwn8b9zRmf9BNKcmE5Uvjj3cMO3McvzJYLyEW7myaTSTxO0mQUv+9wIbel69BJ&#10;+/WO4L3MXfkPbFUxLvwFd3j7uwJwwrRyF+Fa5aJ5ZrQysmbm8Mxqjb2A/dHZJd3ZO9CdJj4ltRTF&#10;MSYqf/oe2Ws7RarWGslyzSdocHKOeotKf/VNYWr/x0sliGOHHU4dJhpHOCrH43E6iBHiiA1G/eEw&#10;tGD0dFob6z4LqIkXMmow69BY7HFpHWaCpkcTH0zBlayq0MWVIvuMos84HDgheKJSeNDX0ObqJdds&#10;mq6wDeQHrMtAOx1W8yuJwZfMuhUzOA6YLz4Y7haXogIMAp1ESQnm+9/03h67FFFK9jheGbUPO2YE&#10;JdW1wv6dJIMBunVhg4IJQjpEcnC3OarVrl4Aji52HaYVRG/sqqNYGKjv8UGZ+3AIMcUxaEa5M8fN&#10;wrXzjk8SF/N5MMPh08wt1Vpz77xlcr5zUMhAsmeopaUjDscvcN89FX6+f98Hq6fncfY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DV2y9tMAAAAFAQAADwAAAAAAAAABACAAAAAiAAAAZHJzL2Rvd25y&#10;ZXYueG1sUEsBAhQAFAAAAAgAh07iQNhXyRauAgAAZgUAAA4AAAAAAAAAAQAgAAAAIgEAAGRycy9l&#10;Mm9Eb2MueG1sUEsFBgAAAAAGAAYAWQEAAEIGAAAAAA==&#10;">
              <v:fill on="f" focussize="0,0"/>
              <v:stroke on="f" weight="0.5pt"/>
              <v:imagedata o:title=""/>
              <o:lock v:ext="edit" aspectratio="f"/>
              <v:textbox inset="2.54mm,0mm,20pt,0mm">
                <w:txbxContent>
                  <w:p w14:paraId="50C98F56">
                    <w:pPr>
                      <w:jc w:val="right"/>
                      <w:rPr>
                        <w:rFonts w:ascii="Calibri" w:hAnsi="Calibri" w:cs="Calibri"/>
                        <w:color w:val="000000"/>
                      </w:rPr>
                    </w:pPr>
                    <w:r>
                      <w:rPr>
                        <w:rFonts w:ascii="Calibri" w:hAnsi="Calibri" w:cs="Calibri"/>
                        <w:color w:val="000000"/>
                      </w:rPr>
                      <w:t>Official Use</w:t>
                    </w:r>
                  </w:p>
                </w:txbxContent>
              </v:textbox>
            </v:shape>
          </w:pict>
        </mc:Fallback>
      </mc:AlternateContent>
    </w:r>
    <w:sdt>
      <w:sdtPr>
        <w:rPr>
          <w:rFonts w:ascii="Arial" w:hAnsi="Arial"/>
        </w:rPr>
        <w:id w:val="1508333722"/>
        <w:docPartObj>
          <w:docPartGallery w:val="autotext"/>
        </w:docPartObj>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54</w:t>
        </w:r>
        <w:r>
          <w:rPr>
            <w:rFonts w:ascii="Arial" w:hAnsi="Arial"/>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2E9F9">
    <w:pPr>
      <w:pStyle w:val="23"/>
    </w:pPr>
    <w:r>
      <mc:AlternateContent>
        <mc:Choice Requires="wps">
          <w:drawing>
            <wp:anchor distT="0" distB="0" distL="114300" distR="114300" simplePos="0" relativeHeight="251663360" behindDoc="0" locked="0" layoutInCell="0" allowOverlap="1">
              <wp:simplePos x="0" y="0"/>
              <wp:positionH relativeFrom="page">
                <wp:align>right</wp:align>
              </wp:positionH>
              <wp:positionV relativeFrom="page">
                <wp:align>bottom</wp:align>
              </wp:positionV>
              <wp:extent cx="7772400" cy="463550"/>
              <wp:effectExtent l="0" t="0" r="0" b="12700"/>
              <wp:wrapNone/>
              <wp:docPr id="27" name="MSIPCM94ed41e19ca73b6a806d0177" descr="{&quot;HashCode&quot;:199071216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329F6F10">
                          <w:pPr>
                            <w:jc w:val="right"/>
                            <w:rPr>
                              <w:rFonts w:ascii="Calibri" w:hAnsi="Calibri" w:cs="Calibri"/>
                              <w:color w:val="000000"/>
                            </w:rPr>
                          </w:pPr>
                          <w:r>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94ed41e19ca73b6a806d0177" o:spid="_x0000_s1026" o:spt="202" alt="{&quot;HashCode&quot;:1990712160,&quot;Height&quot;:9999999.0,&quot;Width&quot;:9999999.0,&quot;Placement&quot;:&quot;Footer&quot;,&quot;Index&quot;:&quot;FirstPage&quot;,&quot;Section&quot;:1,&quot;Top&quot;:0.0,&quot;Left&quot;:0.0}" type="#_x0000_t202" style="position:absolute;left:0pt;height:36.5pt;width:612pt;mso-position-horizontal:right;mso-position-horizontal-relative:page;mso-position-vertical:bottom;mso-position-vertical-relative:page;z-index:251663360;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Lt8Zx6tAgAAaAUAAA4AAABkcnMvZTJvRG9jLnhtbK1U32/TMBB+&#10;R+J/sPzAEzRJ1zVrWTqVTmWTOlapQ3t2HaeJlPg8210yEP87Z8ftYIC0B/LgnO8734/Pdz6/6Jqa&#10;PAptKpAZTQYxJUJyyCu5y+jXu+WHM0qMZTJnNUiR0Sdh6MXs7ZvzVk3FEEqoc6EJOpFm2qqMltaq&#10;aRQZXoqGmQEoIREsQDfM4lbvolyzFr03dTSM43HUgs6VBi6MQe1lD9LgUb/GIRRFxcUl8H0jpO29&#10;alEziyWZslKGzny2RSG4vS0KIyypM4qVWr9iEJS3bo1m52y600yVFQ8psNek8KKmhlUSgx5dXTLL&#10;yF5Xf7hqKq7BQGEHHJqoL8QzglUk8QtuNiVTwteCVBt1JN38P7f8y+NakyrP6DClRLIGb/xmc71e&#10;3ExGIh8lIplwlp5sx+wsHudxkqJVLgxHCr+/e9iD/XjFTLmAXPS7aTKZxGkyTMbx+4CLalfagE76&#10;b3AA76vclv/A1jXjwl1wwPvfEsAK3cshwrXMRfe7UaWNXbNdSCrYbbAbsEOCZRK0d6CCJj6mtRLF&#10;ISoqf7guaZWZIlkbhXTZ7hN0ODsHvUGlu/yu0I3747USxLHHno49JjpLOCrTNB2OYoQ4YqPxyemp&#10;b8Lo+bTC3D8LaIgTMqoxa99a7HFlLGaCpgcTF0zCsqpr38e1JG1G0WfsDxwRPFFLPOhq6HN1ku22&#10;XShsC/kT1qWhnw+j+NIxuGKORY0Dgfnik2FvcSlqwCAQJEpK0N/+pnf22KeIUtLigGXUPOyZFpTU&#10;1xI7eJKMRujW+g0K2gvDUyQHd9uDWu6bBeDwJvgqKe5FZ2zrg1hoaO7xSZm7cAgxyTFoRrnVh83C&#10;9hOPjxIX87k3w/FTzK7kRnHnvGdyvrdQVJ5kx1BPSyAOB9BzHx4LN+G/7r3V8wM5+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NXbL20wAAAAUBAAAPAAAAAAAAAAEAIAAAACIAAABkcnMvZG93bnJl&#10;di54bWxQSwECFAAUAAAACACHTuJAu3xnHq0CAABoBQAADgAAAAAAAAABACAAAAAiAQAAZHJzL2Uy&#10;b0RvYy54bWxQSwUGAAAAAAYABgBZAQAAQQYAAAAA&#10;">
              <v:fill on="f" focussize="0,0"/>
              <v:stroke on="f" weight="0.5pt"/>
              <v:imagedata o:title=""/>
              <o:lock v:ext="edit" aspectratio="f"/>
              <v:textbox inset="2.54mm,0mm,20pt,0mm">
                <w:txbxContent>
                  <w:p w14:paraId="329F6F10">
                    <w:pPr>
                      <w:jc w:val="right"/>
                      <w:rPr>
                        <w:rFonts w:ascii="Calibri" w:hAnsi="Calibri" w:cs="Calibri"/>
                        <w:color w:val="000000"/>
                      </w:rPr>
                    </w:pPr>
                    <w:r>
                      <w:rPr>
                        <w:rFonts w:ascii="Calibri" w:hAnsi="Calibri" w:cs="Calibri"/>
                        <w:color w:val="000000"/>
                      </w:rPr>
                      <w:t>Official Use</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BB67">
    <w:pPr>
      <w:pStyle w:val="23"/>
      <w:jc w:val="center"/>
      <w:rPr>
        <w:rFonts w:ascii="Arial" w:hAnsi="Arial"/>
      </w:rPr>
    </w:pPr>
    <w:r>
      <w:rPr>
        <w:rFonts w:ascii="Arial" w:hAnsi="Arial"/>
      </w:rPr>
      <mc:AlternateContent>
        <mc:Choice Requires="wps">
          <w:drawing>
            <wp:anchor distT="0" distB="0" distL="114300" distR="114300" simplePos="0" relativeHeight="251664384" behindDoc="0" locked="0" layoutInCell="0" allowOverlap="1">
              <wp:simplePos x="0" y="0"/>
              <wp:positionH relativeFrom="page">
                <wp:align>right</wp:align>
              </wp:positionH>
              <wp:positionV relativeFrom="page">
                <wp:align>bottom</wp:align>
              </wp:positionV>
              <wp:extent cx="7772400" cy="463550"/>
              <wp:effectExtent l="0" t="0" r="0" b="12700"/>
              <wp:wrapNone/>
              <wp:docPr id="9" name="MSIPCMb7db4d338d2925520cdb4b69"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wps:spPr>
                    <wps:txbx>
                      <w:txbxContent>
                        <w:p w14:paraId="74E947D7">
                          <w:pPr>
                            <w:jc w:val="right"/>
                            <w:rPr>
                              <w:rFonts w:ascii="Calibri" w:hAnsi="Calibri" w:cs="Calibri"/>
                              <w:color w:val="000000"/>
                            </w:rPr>
                          </w:pPr>
                          <w:r>
                            <w:rPr>
                              <w:rFonts w:ascii="Calibri" w:hAnsi="Calibri" w:cs="Calibri"/>
                              <w:color w:val="000000"/>
                            </w:rPr>
                            <w:t>Official Use</w:t>
                          </w:r>
                        </w:p>
                      </w:txbxContent>
                    </wps:txbx>
                    <wps:bodyPr rot="0" spcFirstLastPara="0" vertOverflow="overflow" horzOverflow="overflow" vert="horz" wrap="square" lIns="91440" tIns="0" rIns="254000" bIns="0" numCol="1" spcCol="0" rtlCol="0" fromWordArt="0" anchor="ctr" anchorCtr="0" forceAA="0" compatLnSpc="1">
                      <a:noAutofit/>
                    </wps:bodyPr>
                  </wps:wsp>
                </a:graphicData>
              </a:graphic>
            </wp:anchor>
          </w:drawing>
        </mc:Choice>
        <mc:Fallback>
          <w:pict>
            <v:shape id="MSIPCMb7db4d338d2925520cdb4b69" o:spid="_x0000_s1026" o:spt="202" alt="{&quot;HashCode&quot;:1990712160,&quot;Height&quot;:9999999.0,&quot;Width&quot;:9999999.0,&quot;Placement&quot;:&quot;Footer&quot;,&quot;Index&quot;:&quot;Primary&quot;,&quot;Section&quot;:2,&quot;Top&quot;:0.0,&quot;Left&quot;:0.0}" type="#_x0000_t202" style="position:absolute;left:0pt;height:36.5pt;width:612pt;mso-position-horizontal:right;mso-position-horizontal-relative:page;mso-position-vertical:bottom;mso-position-vertical-relative:page;z-index:251664384;v-text-anchor:middle;mso-width-relative:page;mso-height-relative:page;" filled="f" stroked="f" coordsize="21600,21600" o:allowincell="f" o:gfxdata="UEsDBAoAAAAAAIdO4kAAAAAAAAAAAAAAAAAEAAAAZHJzL1BLAwQUAAAACACHTuJADV2y9tMAAAAF&#10;AQAADwAAAGRycy9kb3ducmV2LnhtbE2PwU7DMBBE70j8g7VI3KjdgAoKcXqoVLhRtQXB0Y2XJEq8&#10;jmI7LX/Pthe4rDSa1cybYnlyvZhwDK0nDfOZAoFUedtSreF9v757AhGiIWt6T6jhBwMsy+urwuTW&#10;H2mL0y7WgkMo5EZDE+OQSxmqBp0JMz8gsfftR2ciy7GWdjRHDne9zJRaSGda4obGDLhqsOp2yXFJ&#10;+JhS9/WWpExZ7DaLV9y8fGp9ezNXzyAinuLfM5zxGR1KZjr4RDaIXgMPiZd79rLsgfVBw+O9AlkW&#10;8j99+QtQSwMEFAAAAAgAh07iQCPXiF+sAgAAZQUAAA4AAABkcnMvZTJvRG9jLnhtbK1US2/bMAy+&#10;D9h/EHTYaYsdN48mq1NkKbIVSNcA6dCzIsuxAFtUJaV2Nuy/j5KddO02oIfl4JD8KD4+kbq4bKqS&#10;PApjJaiU9nsxJUJxyKTapfTb3fLDOSXWMZWxEpRI6UFYejl7++ai1lORQAFlJgzBIMpOa53Swjk9&#10;jSLLC1Ex2wMtFII5mIo5VM0uygyrMXpVRkkcj6IaTKYNcGEtWq9akHYRzWsCQp5LLq6A7yuhXBvV&#10;iJI5bMkWUls6C9XmueDuNs+tcKRMKXbqwheToLz132h2waY7w3QheVcCe00JL3qqmFSY9BTqijlG&#10;9kb+EaqS3ICF3PU4VFHbSGAEu+jHL7jZFEyL0AtSbfWJdPv/wvKvj2tDZJbSCSWKVXjhN5vr9eJm&#10;O862g+zs7DxLJslwmMQc9e0IvTJhOTL4493DHtzHL8wWC8hEq037k0k87if9Ufy+w4XcFa5DJ+2v&#10;dwTvZeaKf2DrknHh77fD278lgBOmlbsM1yoTzTOntZEVM4dnXhscBRyPzi/pzt6B7izxqaiVyI85&#10;0fjTj0it7RSZ2mjkyjWfoMHFOdotGv3NN7mp/D/eKUEcB+xwGjDROMLROB6Pk0GMEEdsMDobDsME&#10;Rk+ntbHus4CKeCGlBqsOc8UeV9ZhJeh6dPHJFCxlWYYhLhWpU4ox43DghOCJUuFB30Nbq5dcs226&#10;xraQHbAvA+1yWM2XEpOvmHVrZnAbsF58L9wtfvISMAl0EiUFmO9/s3t/HFJEKalxu1JqH/bMCErK&#10;a4XjO+kPBhjWBQUFE4RkiOSgtj2a1b5aAG5uH58kzYPonV15FHMD1T2+J3OfDiGmOCZNKXfmqCxc&#10;u+74InExnwc33D3N3EptNPfBWybnewe5DCR7hlpaOuJw+wL33Uvh1/t3PXg9vY6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A1dsvbTAAAABQEAAA8AAAAAAAAAAQAgAAAAIgAAAGRycy9kb3ducmV2&#10;LnhtbFBLAQIUABQAAAAIAIdO4kAj14hfrAIAAGUFAAAOAAAAAAAAAAEAIAAAACIBAABkcnMvZTJv&#10;RG9jLnhtbFBLBQYAAAAABgAGAFkBAABABgAAAAA=&#10;">
              <v:fill on="f" focussize="0,0"/>
              <v:stroke on="f" weight="0.5pt"/>
              <v:imagedata o:title=""/>
              <o:lock v:ext="edit" aspectratio="f"/>
              <v:textbox inset="2.54mm,0mm,20pt,0mm">
                <w:txbxContent>
                  <w:p w14:paraId="74E947D7">
                    <w:pPr>
                      <w:jc w:val="right"/>
                      <w:rPr>
                        <w:rFonts w:ascii="Calibri" w:hAnsi="Calibri" w:cs="Calibri"/>
                        <w:color w:val="000000"/>
                      </w:rPr>
                    </w:pPr>
                    <w:r>
                      <w:rPr>
                        <w:rFonts w:ascii="Calibri" w:hAnsi="Calibri" w:cs="Calibri"/>
                        <w:color w:val="000000"/>
                      </w:rPr>
                      <w:t>Official Use</w:t>
                    </w:r>
                  </w:p>
                </w:txbxContent>
              </v:textbox>
            </v:shape>
          </w:pict>
        </mc:Fallback>
      </mc:AlternateContent>
    </w:r>
    <w:sdt>
      <w:sdtPr>
        <w:rPr>
          <w:rFonts w:ascii="Arial" w:hAnsi="Arial"/>
        </w:rPr>
        <w:id w:val="2048250513"/>
        <w:docPartObj>
          <w:docPartGallery w:val="autotext"/>
        </w:docPartObj>
      </w:sdtPr>
      <w:sdtEndPr>
        <w:rPr>
          <w:rFonts w:ascii="Arial" w:hAnsi="Arial"/>
        </w:rPr>
      </w:sdtEndPr>
      <w:sdtContent>
        <w:r>
          <w:rPr>
            <w:rFonts w:ascii="Arial" w:hAnsi="Arial"/>
          </w:rPr>
          <w:fldChar w:fldCharType="begin"/>
        </w:r>
        <w:r>
          <w:rPr>
            <w:rFonts w:ascii="Arial" w:hAnsi="Arial"/>
          </w:rPr>
          <w:instrText xml:space="preserve">PAGE   \* MERGEFORMAT</w:instrText>
        </w:r>
        <w:r>
          <w:rPr>
            <w:rFonts w:ascii="Arial" w:hAnsi="Arial"/>
          </w:rPr>
          <w:fldChar w:fldCharType="separate"/>
        </w:r>
        <w:r>
          <w:rPr>
            <w:rFonts w:ascii="Arial" w:hAnsi="Arial"/>
            <w:lang w:val="zh-CN"/>
          </w:rPr>
          <w:t>54</w:t>
        </w:r>
        <w:r>
          <w:rPr>
            <w:rFonts w:ascii="Arial" w:hAnsi="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14:paraId="6F26B72C">
      <w:pPr>
        <w:pStyle w:val="29"/>
        <w:snapToGrid w:val="0"/>
        <w:spacing w:afterLines="0" w:line="240" w:lineRule="auto"/>
        <w:ind w:firstLine="0" w:firstLineChars="0"/>
        <w:rPr>
          <w:lang w:val="en-GB" w:eastAsia="zh-CN"/>
        </w:rPr>
      </w:pPr>
      <w:r>
        <w:rPr>
          <w:rStyle w:val="46"/>
        </w:rPr>
        <w:footnoteRef/>
      </w:r>
      <w:r>
        <w:rPr>
          <w:rFonts w:hint="eastAsia"/>
          <w:lang w:val="en-US" w:eastAsia="zh-CN"/>
        </w:rPr>
        <w:t xml:space="preserve"> 本项目不支持在废弃矿区、厂区和其他棕地上开展种植、畜牧和水产养殖等农业活动，因为这些地域被工矿生产活动直接污染，存在</w:t>
      </w:r>
      <w:r>
        <w:rPr>
          <w:lang w:val="en-US" w:eastAsia="zh-CN"/>
        </w:rPr>
        <w:t>严重</w:t>
      </w:r>
      <w:r>
        <w:rPr>
          <w:rFonts w:hint="eastAsia"/>
          <w:lang w:val="en-US" w:eastAsia="zh-CN"/>
        </w:rPr>
        <w:t>的</w:t>
      </w:r>
      <w:r>
        <w:rPr>
          <w:lang w:val="en-US" w:eastAsia="zh-CN"/>
        </w:rPr>
        <w:t>遗留环境问题</w:t>
      </w:r>
      <w:r>
        <w:rPr>
          <w:rFonts w:hint="eastAsia"/>
          <w:lang w:val="en-US" w:eastAsia="zh-CN"/>
        </w:rPr>
        <w:t>而具有显著的环境风险。</w:t>
      </w:r>
    </w:p>
  </w:footnote>
  <w:footnote w:id="1">
    <w:p w14:paraId="39B46EEA">
      <w:pPr>
        <w:pStyle w:val="29"/>
        <w:spacing w:after="240" w:line="240" w:lineRule="auto"/>
        <w:ind w:firstLine="0" w:firstLineChars="0"/>
        <w:rPr>
          <w:szCs w:val="18"/>
          <w:lang w:eastAsia="zh-CN"/>
        </w:rPr>
      </w:pPr>
      <w:r>
        <w:rPr>
          <w:rStyle w:val="46"/>
          <w:szCs w:val="18"/>
        </w:rPr>
        <w:footnoteRef/>
      </w:r>
      <w:r>
        <w:rPr>
          <w:szCs w:val="18"/>
        </w:rPr>
        <w:t xml:space="preserve"> </w:t>
      </w:r>
      <w:r>
        <w:rPr>
          <w:rFonts w:hint="eastAsia"/>
          <w:szCs w:val="18"/>
          <w:lang w:eastAsia="zh-CN"/>
        </w:rPr>
        <w:t>邻避效应指居民或当地单位因担心建设项目（如垃圾场、污水处理设施等邻避设施）对身体健康、环境质量和资产价值等带来诸多负面影响，从而激发人们的嫌恶情结。</w:t>
      </w:r>
    </w:p>
  </w:footnote>
  <w:footnote w:id="2">
    <w:p w14:paraId="2ECFCF64">
      <w:pPr>
        <w:pStyle w:val="29"/>
        <w:adjustRightInd w:val="0"/>
        <w:snapToGrid w:val="0"/>
        <w:spacing w:afterLines="0" w:line="240" w:lineRule="auto"/>
        <w:ind w:firstLine="0" w:firstLineChars="0"/>
        <w:rPr>
          <w:lang w:val="en-US" w:eastAsia="zh-CN"/>
        </w:rPr>
      </w:pPr>
      <w:r>
        <w:rPr>
          <w:rStyle w:val="46"/>
        </w:rPr>
        <w:footnoteRef/>
      </w:r>
      <w:r>
        <w:rPr>
          <w:rFonts w:hint="eastAsia"/>
          <w:lang w:eastAsia="zh-CN"/>
        </w:rPr>
        <w:t xml:space="preserve"> </w:t>
      </w:r>
      <w:r>
        <w:rPr>
          <w:sz w:val="17"/>
          <w:szCs w:val="17"/>
          <w:lang w:eastAsia="zh-CN"/>
        </w:rPr>
        <w:t>王钰钦</w:t>
      </w:r>
      <w:r>
        <w:rPr>
          <w:rFonts w:hint="eastAsia"/>
          <w:sz w:val="17"/>
          <w:szCs w:val="17"/>
          <w:lang w:eastAsia="zh-CN"/>
        </w:rPr>
        <w:t>等，</w:t>
      </w:r>
      <w:r>
        <w:rPr>
          <w:sz w:val="17"/>
          <w:szCs w:val="17"/>
          <w:lang w:val="en-GB" w:eastAsia="zh-CN"/>
        </w:rPr>
        <w:t xml:space="preserve"> </w:t>
      </w:r>
      <w:r>
        <w:rPr>
          <w:rFonts w:hint="eastAsia"/>
          <w:sz w:val="17"/>
          <w:szCs w:val="17"/>
          <w:lang w:eastAsia="zh-CN"/>
        </w:rPr>
        <w:t>2</w:t>
      </w:r>
      <w:r>
        <w:rPr>
          <w:sz w:val="17"/>
          <w:szCs w:val="17"/>
          <w:lang w:eastAsia="zh-CN"/>
        </w:rPr>
        <w:t>022</w:t>
      </w:r>
      <w:r>
        <w:rPr>
          <w:rFonts w:hint="eastAsia"/>
          <w:sz w:val="17"/>
          <w:szCs w:val="17"/>
          <w:lang w:eastAsia="zh-CN"/>
        </w:rPr>
        <w:t>，</w:t>
      </w:r>
      <w:r>
        <w:rPr>
          <w:sz w:val="17"/>
          <w:szCs w:val="17"/>
          <w:lang w:val="en-GB" w:eastAsia="zh-CN"/>
        </w:rPr>
        <w:t xml:space="preserve"> </w:t>
      </w:r>
      <w:r>
        <w:rPr>
          <w:sz w:val="17"/>
          <w:szCs w:val="17"/>
        </w:rPr>
        <w:t>中国水产养殖尾水污染现状及净化技术研究进展</w:t>
      </w:r>
      <w:r>
        <w:rPr>
          <w:rFonts w:hint="eastAsia"/>
          <w:sz w:val="17"/>
          <w:szCs w:val="17"/>
          <w:lang w:val="en-GB" w:eastAsia="zh-CN"/>
        </w:rPr>
        <w:t>，</w:t>
      </w:r>
      <w:r>
        <w:rPr>
          <w:sz w:val="17"/>
          <w:szCs w:val="17"/>
          <w:lang w:val="en-GB" w:eastAsia="zh-CN"/>
        </w:rPr>
        <w:t xml:space="preserve"> </w:t>
      </w:r>
    </w:p>
  </w:footnote>
  <w:footnote w:id="3">
    <w:p w14:paraId="75540C3C">
      <w:pPr>
        <w:pStyle w:val="29"/>
        <w:adjustRightInd w:val="0"/>
        <w:snapToGrid w:val="0"/>
        <w:spacing w:afterLines="0" w:line="240" w:lineRule="auto"/>
        <w:ind w:firstLine="0" w:firstLineChars="0"/>
        <w:rPr>
          <w:sz w:val="20"/>
          <w:lang w:eastAsia="zh-CN"/>
        </w:rPr>
      </w:pPr>
      <w:r>
        <w:rPr>
          <w:rStyle w:val="46"/>
          <w:sz w:val="20"/>
        </w:rPr>
        <w:footnoteRef/>
      </w:r>
      <w:r>
        <w:rPr>
          <w:sz w:val="20"/>
        </w:rPr>
        <w:tab/>
      </w:r>
      <w:r>
        <w:rPr>
          <w:rFonts w:cs="Arial"/>
          <w:sz w:val="20"/>
          <w:lang w:eastAsia="zh-CN"/>
        </w:rPr>
        <w:t>国家在重点生态功能区、</w:t>
      </w:r>
      <w:r>
        <w:rPr>
          <w:sz w:val="20"/>
          <w:lang w:eastAsia="zh-CN"/>
        </w:rPr>
        <w:t>生态环境敏感区和脆弱区等区域划定生态保护红线</w:t>
      </w:r>
      <w:r>
        <w:rPr>
          <w:rFonts w:cs="Arial"/>
          <w:sz w:val="20"/>
          <w:lang w:eastAsia="zh-CN"/>
        </w:rPr>
        <w:t>，实行严格保护</w:t>
      </w:r>
      <w:r>
        <w:rPr>
          <w:rFonts w:hint="eastAsia" w:cs="Arial"/>
          <w:sz w:val="20"/>
          <w:lang w:eastAsia="zh-CN"/>
        </w:rPr>
        <w:t>。</w:t>
      </w:r>
    </w:p>
  </w:footnote>
  <w:footnote w:id="4">
    <w:p w14:paraId="346662FE">
      <w:pPr>
        <w:pStyle w:val="29"/>
        <w:adjustRightInd w:val="0"/>
        <w:snapToGrid w:val="0"/>
        <w:spacing w:afterLines="0" w:line="240" w:lineRule="auto"/>
        <w:ind w:firstLine="0" w:firstLineChars="0"/>
        <w:rPr>
          <w:sz w:val="20"/>
          <w:lang w:val="en-US" w:eastAsia="zh-CN"/>
        </w:rPr>
      </w:pPr>
      <w:r>
        <w:rPr>
          <w:rStyle w:val="46"/>
          <w:rFonts w:hint="eastAsia"/>
          <w:sz w:val="20"/>
          <w:lang w:eastAsia="zh-CN"/>
        </w:rPr>
        <w:footnoteRef/>
      </w:r>
      <w:r>
        <w:rPr>
          <w:sz w:val="20"/>
          <w:lang w:eastAsia="zh-CN"/>
        </w:rPr>
        <w:tab/>
      </w:r>
      <w:r>
        <w:rPr>
          <w:rFonts w:hint="eastAsia"/>
          <w:sz w:val="20"/>
          <w:lang w:eastAsia="zh-CN"/>
        </w:rPr>
        <w:t>环保“三同时”制度：防治污染的设施，应当与主体工程同时设计、同时施工、同时投产使用。</w:t>
      </w:r>
    </w:p>
  </w:footnote>
  <w:footnote w:id="5">
    <w:p w14:paraId="56F0743A">
      <w:pPr>
        <w:pStyle w:val="29"/>
        <w:adjustRightInd w:val="0"/>
        <w:snapToGrid w:val="0"/>
        <w:spacing w:afterLines="0" w:line="240" w:lineRule="auto"/>
        <w:ind w:left="425" w:hanging="425" w:firstLineChars="0"/>
        <w:rPr>
          <w:sz w:val="20"/>
          <w:lang w:eastAsia="zh-CN"/>
        </w:rPr>
      </w:pPr>
      <w:r>
        <w:rPr>
          <w:rStyle w:val="46"/>
          <w:sz w:val="20"/>
        </w:rPr>
        <w:footnoteRef/>
      </w:r>
      <w:r>
        <w:rPr>
          <w:sz w:val="20"/>
        </w:rPr>
        <w:tab/>
      </w:r>
      <w:r>
        <w:rPr>
          <w:rFonts w:cs="Arial"/>
          <w:sz w:val="20"/>
          <w:lang w:eastAsia="zh-CN"/>
        </w:rPr>
        <w:t>实行排污许可管理的企业事业单位和其他生产经营者应当按照排污许可证的要求排放污染物；未取得排污许可证的，不得排放污染物</w:t>
      </w:r>
      <w:r>
        <w:rPr>
          <w:rFonts w:hint="eastAsia" w:cs="Arial"/>
          <w:bCs/>
          <w:sz w:val="20"/>
          <w:lang w:eastAsia="zh-CN"/>
        </w:rPr>
        <w:t>。</w:t>
      </w:r>
    </w:p>
  </w:footnote>
  <w:footnote w:id="6">
    <w:p w14:paraId="61A7B99F">
      <w:pPr>
        <w:pStyle w:val="29"/>
        <w:adjustRightInd w:val="0"/>
        <w:snapToGrid w:val="0"/>
        <w:spacing w:afterLines="0" w:line="240" w:lineRule="auto"/>
        <w:ind w:left="140" w:hanging="140" w:hangingChars="78"/>
        <w:rPr>
          <w:lang w:eastAsia="zh-CN"/>
        </w:rPr>
      </w:pPr>
      <w:r>
        <w:rPr>
          <w:rStyle w:val="46"/>
        </w:rPr>
        <w:footnoteRef/>
      </w:r>
      <w:r>
        <w:t xml:space="preserve"> </w:t>
      </w:r>
      <w:r>
        <w:rPr>
          <w:rFonts w:hint="eastAsia"/>
          <w:sz w:val="20"/>
          <w:lang w:val="en-US" w:eastAsia="zh-CN"/>
        </w:rPr>
        <w:t>指</w:t>
      </w:r>
      <w:r>
        <w:rPr>
          <w:sz w:val="20"/>
          <w:lang w:val="en-US" w:eastAsia="zh-CN"/>
        </w:rPr>
        <w:t>土地利用</w:t>
      </w:r>
      <w:r>
        <w:rPr>
          <w:rFonts w:hint="eastAsia"/>
          <w:sz w:val="20"/>
          <w:lang w:val="en-US" w:eastAsia="zh-CN"/>
        </w:rPr>
        <w:t>有关</w:t>
      </w:r>
      <w:r>
        <w:rPr>
          <w:sz w:val="20"/>
          <w:lang w:val="en-US" w:eastAsia="zh-CN"/>
        </w:rPr>
        <w:t>规划，区域、流域、海域的建设、开发利用规划</w:t>
      </w:r>
      <w:r>
        <w:rPr>
          <w:rFonts w:hint="eastAsia"/>
          <w:sz w:val="20"/>
          <w:lang w:val="en-US" w:eastAsia="zh-CN"/>
        </w:rPr>
        <w:t>；以及</w:t>
      </w:r>
      <w:r>
        <w:rPr>
          <w:sz w:val="20"/>
          <w:lang w:val="en-US" w:eastAsia="zh-CN"/>
        </w:rPr>
        <w:t>工业、农业、畜牧业、林业、能源、水利、交通、城市建设、旅游、自然资源开发的有关专项规划</w:t>
      </w:r>
      <w:r>
        <w:rPr>
          <w:rFonts w:hint="eastAsia"/>
          <w:sz w:val="20"/>
          <w:lang w:eastAsia="zh-CN"/>
        </w:rPr>
        <w:t>。</w:t>
      </w:r>
    </w:p>
  </w:footnote>
  <w:footnote w:id="7">
    <w:p w14:paraId="7A88FFD2">
      <w:pPr>
        <w:pStyle w:val="29"/>
        <w:adjustRightInd w:val="0"/>
        <w:snapToGrid w:val="0"/>
        <w:spacing w:afterLines="0" w:line="240" w:lineRule="auto"/>
        <w:ind w:firstLine="0" w:firstLineChars="0"/>
        <w:rPr>
          <w:lang w:eastAsia="zh-CN"/>
        </w:rPr>
      </w:pPr>
      <w:r>
        <w:rPr>
          <w:rStyle w:val="46"/>
          <w:szCs w:val="18"/>
        </w:rPr>
        <w:footnoteRef/>
      </w:r>
      <w:r>
        <w:rPr>
          <w:szCs w:val="18"/>
        </w:rPr>
        <w:t xml:space="preserve"> </w:t>
      </w:r>
      <w:r>
        <w:rPr>
          <w:rFonts w:hint="eastAsia" w:cs="Arial"/>
          <w:szCs w:val="18"/>
          <w:lang w:val="en-GB"/>
        </w:rPr>
        <w:t>中央农办、农业农村部、生态环境部、住建部、水利部、科技部、国家发改委、财政部、银保监会</w:t>
      </w:r>
      <w:r>
        <w:rPr>
          <w:rFonts w:hint="eastAsia" w:cs="Arial"/>
          <w:szCs w:val="18"/>
          <w:lang w:val="en-GB" w:eastAsia="zh-CN"/>
        </w:rPr>
        <w:t>。</w:t>
      </w:r>
    </w:p>
  </w:footnote>
  <w:footnote w:id="8">
    <w:p w14:paraId="74CB0D2D">
      <w:pPr>
        <w:pStyle w:val="29"/>
        <w:widowControl w:val="0"/>
        <w:tabs>
          <w:tab w:val="left" w:pos="284"/>
        </w:tabs>
        <w:adjustRightInd w:val="0"/>
        <w:snapToGrid w:val="0"/>
        <w:spacing w:afterLines="0" w:line="240" w:lineRule="auto"/>
        <w:ind w:firstLine="0" w:firstLineChars="0"/>
        <w:rPr>
          <w:szCs w:val="18"/>
        </w:rPr>
      </w:pPr>
      <w:r>
        <w:rPr>
          <w:rStyle w:val="46"/>
          <w:szCs w:val="18"/>
        </w:rPr>
        <w:footnoteRef/>
      </w:r>
      <w:r>
        <w:rPr>
          <w:rFonts w:hint="eastAsia"/>
          <w:szCs w:val="18"/>
          <w:lang w:eastAsia="zh-CN"/>
        </w:rPr>
        <w:t xml:space="preserve"> </w:t>
      </w:r>
      <w:r>
        <w:rPr>
          <w:szCs w:val="18"/>
        </w:rPr>
        <w:t>自然保护区、风景名胜区、地质公园、森林公园、海洋公园、湿地公园、冰川公园、草原公园、沙漠公园、水产种质</w:t>
      </w:r>
    </w:p>
    <w:p w14:paraId="2CC57B26">
      <w:pPr>
        <w:pStyle w:val="29"/>
        <w:tabs>
          <w:tab w:val="left" w:pos="142"/>
        </w:tabs>
        <w:adjustRightInd w:val="0"/>
        <w:snapToGrid w:val="0"/>
        <w:spacing w:afterLines="0" w:line="240" w:lineRule="auto"/>
        <w:ind w:firstLine="0" w:firstLineChars="0"/>
        <w:rPr>
          <w:szCs w:val="18"/>
          <w:lang w:eastAsia="zh-CN"/>
        </w:rPr>
      </w:pPr>
      <w:r>
        <w:rPr>
          <w:szCs w:val="18"/>
        </w:rPr>
        <w:tab/>
      </w:r>
      <w:r>
        <w:rPr>
          <w:szCs w:val="18"/>
        </w:rPr>
        <w:t>保护区、野生植物原生境保护区（点）、自然保护小区、野生动物重要栖息地等</w:t>
      </w:r>
      <w:r>
        <w:rPr>
          <w:rFonts w:hint="eastAsia"/>
          <w:szCs w:val="18"/>
          <w:lang w:eastAsia="zh-CN"/>
        </w:rPr>
        <w:t>。</w:t>
      </w:r>
    </w:p>
  </w:footnote>
  <w:footnote w:id="9">
    <w:p w14:paraId="2F1227C3">
      <w:pPr>
        <w:pStyle w:val="29"/>
        <w:spacing w:afterLines="0" w:line="240" w:lineRule="auto"/>
        <w:ind w:firstLine="0" w:firstLineChars="0"/>
        <w:rPr>
          <w:szCs w:val="18"/>
          <w:lang w:eastAsia="zh-CN"/>
        </w:rPr>
      </w:pPr>
      <w:r>
        <w:rPr>
          <w:rStyle w:val="46"/>
          <w:szCs w:val="18"/>
        </w:rPr>
        <w:footnoteRef/>
      </w:r>
      <w:r>
        <w:rPr>
          <w:szCs w:val="18"/>
        </w:rPr>
        <w:t xml:space="preserve"> </w:t>
      </w:r>
      <w:r>
        <w:rPr>
          <w:rFonts w:hint="eastAsia"/>
          <w:szCs w:val="18"/>
          <w:lang w:eastAsia="zh-CN"/>
        </w:rPr>
        <w:t>本报告第5部分引用了《</w:t>
      </w:r>
      <w:r>
        <w:rPr>
          <w:rFonts w:hint="eastAsia" w:ascii="宋体" w:hAnsi="宋体"/>
          <w:szCs w:val="18"/>
          <w:lang w:eastAsia="zh-CN"/>
        </w:rPr>
        <w:t>结果导向型贷款环境和社会管理系统评估指南</w:t>
      </w:r>
      <w:r>
        <w:rPr>
          <w:rFonts w:hint="eastAsia"/>
          <w:szCs w:val="18"/>
          <w:lang w:eastAsia="zh-CN"/>
        </w:rPr>
        <w:t>》中核心原则和要素与社会系统分析相关的内容，以便进行一致性对比分析。</w:t>
      </w:r>
    </w:p>
  </w:footnote>
  <w:footnote w:id="10">
    <w:p w14:paraId="668C3E34">
      <w:pPr>
        <w:pStyle w:val="29"/>
        <w:adjustRightInd w:val="0"/>
        <w:snapToGrid w:val="0"/>
        <w:spacing w:afterLines="0" w:line="240" w:lineRule="auto"/>
        <w:ind w:firstLine="0" w:firstLineChars="0"/>
        <w:rPr>
          <w:lang w:eastAsia="zh-CN"/>
        </w:rPr>
      </w:pPr>
      <w:r>
        <w:rPr>
          <w:rStyle w:val="46"/>
        </w:rPr>
        <w:footnoteRef/>
      </w:r>
      <w:r>
        <w:t xml:space="preserve"> </w:t>
      </w:r>
      <w:r>
        <w:rPr>
          <w:rFonts w:hint="eastAsia"/>
          <w:lang w:eastAsia="zh-CN"/>
        </w:rPr>
        <w:t>《关于村庄建设项目施行简易审批的指导意见》（发改农经〔</w:t>
      </w:r>
      <w:r>
        <w:rPr>
          <w:lang w:eastAsia="zh-CN"/>
        </w:rPr>
        <w:t>2020〕1337号</w:t>
      </w:r>
      <w:r>
        <w:rPr>
          <w:rFonts w:hint="eastAsia"/>
          <w:lang w:eastAsia="zh-CN"/>
        </w:rPr>
        <w:t>）：生活垃圾污水、厕所粪污处理、村容村貌提升等农村人居环境建设，以及农村供排水、村内道路、文化体育等村庄建设领域。</w:t>
      </w:r>
    </w:p>
  </w:footnote>
  <w:footnote w:id="11">
    <w:p w14:paraId="2D3B2CFB">
      <w:pPr>
        <w:pStyle w:val="29"/>
        <w:spacing w:afterLines="0" w:line="240" w:lineRule="auto"/>
        <w:ind w:firstLine="360"/>
        <w:rPr>
          <w:lang w:eastAsia="zh-CN"/>
        </w:rPr>
      </w:pPr>
      <w:r>
        <w:rPr>
          <w:rStyle w:val="46"/>
        </w:rPr>
        <w:footnoteRef/>
      </w:r>
      <w:r>
        <w:t xml:space="preserve"> </w:t>
      </w:r>
      <w:r>
        <w:rPr>
          <w:rFonts w:hint="eastAsia"/>
          <w:lang w:eastAsia="zh-CN"/>
        </w:rPr>
        <w:t>本部分总结了相关机构与项目社会风险管理有关的职责，因此可能不是相关政府部门的全部职责。</w:t>
      </w:r>
    </w:p>
  </w:footnote>
  <w:footnote w:id="12">
    <w:p w14:paraId="523955BA">
      <w:pPr>
        <w:pStyle w:val="29"/>
        <w:spacing w:afterLines="0" w:line="240" w:lineRule="auto"/>
        <w:ind w:left="142" w:hanging="142" w:firstLineChars="0"/>
        <w:rPr>
          <w:szCs w:val="18"/>
          <w:lang w:eastAsia="zh-CN"/>
        </w:rPr>
      </w:pPr>
      <w:r>
        <w:rPr>
          <w:rStyle w:val="46"/>
          <w:rFonts w:hint="eastAsia"/>
          <w:szCs w:val="18"/>
          <w:lang w:eastAsia="zh-CN"/>
        </w:rPr>
        <w:footnoteRef/>
      </w:r>
      <w:r>
        <w:rPr>
          <w:rFonts w:hint="eastAsia"/>
          <w:szCs w:val="18"/>
          <w:lang w:eastAsia="zh-CN"/>
        </w:rPr>
        <w:t>世行结果导向型政策第12段，借款方负责准备和实施结果导向型项目。结果导向型项目的范围和目标，以及借款方的义务均在贷款协议中进行了明确。这些义务包括对结果导向型项目开展尽职调查和必要的监测评估（包括支付关联指标核验机制）、财务、环境与社会系统及管理机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796D5"/>
  <w:p w14:paraId="63220D7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D83DA">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6A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934037"/>
    <w:multiLevelType w:val="multilevel"/>
    <w:tmpl w:val="00934037"/>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5610F6E"/>
    <w:multiLevelType w:val="multilevel"/>
    <w:tmpl w:val="05610F6E"/>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81B1D4F"/>
    <w:multiLevelType w:val="multilevel"/>
    <w:tmpl w:val="081B1D4F"/>
    <w:lvl w:ilvl="0" w:tentative="0">
      <w:start w:val="4"/>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5.%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85E3EFC"/>
    <w:multiLevelType w:val="multilevel"/>
    <w:tmpl w:val="085E3EFC"/>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93D0C1A"/>
    <w:multiLevelType w:val="multilevel"/>
    <w:tmpl w:val="093D0C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B20724D"/>
    <w:multiLevelType w:val="multilevel"/>
    <w:tmpl w:val="0B20724D"/>
    <w:lvl w:ilvl="0" w:tentative="0">
      <w:start w:val="1"/>
      <w:numFmt w:val="bullet"/>
      <w:lvlText w:val="•"/>
      <w:lvlJc w:val="left"/>
      <w:pPr>
        <w:ind w:left="1140" w:hanging="360"/>
      </w:pPr>
      <w:rPr>
        <w:rFonts w:hint="default" w:ascii="Arial" w:hAnsi="Arial"/>
      </w:rPr>
    </w:lvl>
    <w:lvl w:ilvl="1" w:tentative="0">
      <w:start w:val="1"/>
      <w:numFmt w:val="lowerRoman"/>
      <w:lvlText w:val="(%2)"/>
      <w:lvlJc w:val="left"/>
      <w:pPr>
        <w:ind w:left="2220" w:hanging="720"/>
      </w:pPr>
      <w:rPr>
        <w:rFonts w:hint="default"/>
      </w:r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6">
    <w:nsid w:val="16683788"/>
    <w:multiLevelType w:val="multilevel"/>
    <w:tmpl w:val="16683788"/>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16C54208"/>
    <w:multiLevelType w:val="multilevel"/>
    <w:tmpl w:val="16C54208"/>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19FE4CD7"/>
    <w:multiLevelType w:val="multilevel"/>
    <w:tmpl w:val="19FE4CD7"/>
    <w:lvl w:ilvl="0" w:tentative="0">
      <w:start w:val="4"/>
      <w:numFmt w:val="decimal"/>
      <w:lvlText w:val="%1"/>
      <w:lvlJc w:val="left"/>
      <w:pPr>
        <w:ind w:left="425" w:hanging="425"/>
      </w:pPr>
      <w:rPr>
        <w:rFonts w:hint="eastAsia"/>
      </w:rPr>
    </w:lvl>
    <w:lvl w:ilvl="1" w:tentative="0">
      <w:start w:val="3"/>
      <w:numFmt w:val="decimal"/>
      <w:lvlText w:val="%1.%2"/>
      <w:lvlJc w:val="left"/>
      <w:pPr>
        <w:ind w:left="992" w:hanging="567"/>
      </w:pPr>
      <w:rPr>
        <w:rFonts w:hint="eastAsia"/>
      </w:rPr>
    </w:lvl>
    <w:lvl w:ilvl="2" w:tentative="0">
      <w:start w:val="1"/>
      <w:numFmt w:val="decimal"/>
      <w:lvlText w:val="5.%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1FC74AD2"/>
    <w:multiLevelType w:val="multilevel"/>
    <w:tmpl w:val="1FC74AD2"/>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0E70509"/>
    <w:multiLevelType w:val="multilevel"/>
    <w:tmpl w:val="20E70509"/>
    <w:lvl w:ilvl="0" w:tentative="0">
      <w:start w:val="1"/>
      <w:numFmt w:val="bullet"/>
      <w:lvlText w:val="•"/>
      <w:lvlJc w:val="left"/>
      <w:pPr>
        <w:ind w:left="114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24E47C73"/>
    <w:multiLevelType w:val="multilevel"/>
    <w:tmpl w:val="24E47C73"/>
    <w:lvl w:ilvl="0" w:tentative="0">
      <w:start w:val="1"/>
      <w:numFmt w:val="decimal"/>
      <w:lvlText w:val="%1."/>
      <w:lvlJc w:val="left"/>
      <w:pPr>
        <w:ind w:left="780" w:hanging="420"/>
      </w:pPr>
      <w:rPr>
        <w:rFonts w:hint="default"/>
        <w:b w:val="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738551E"/>
    <w:multiLevelType w:val="multilevel"/>
    <w:tmpl w:val="2738551E"/>
    <w:lvl w:ilvl="0" w:tentative="0">
      <w:start w:val="1"/>
      <w:numFmt w:val="decimal"/>
      <w:pStyle w:val="82"/>
      <w:lvlText w:val="%1."/>
      <w:lvlJc w:val="left"/>
      <w:pPr>
        <w:ind w:left="360" w:hanging="360"/>
      </w:pPr>
      <w:rPr>
        <w:rFonts w:hint="default" w:ascii="Calibri" w:hAnsi="Calibri" w:eastAsia="Times New Roman" w:cs="Arial"/>
        <w:b w:val="0"/>
        <w:bCs w:val="0"/>
        <w:i w:val="0"/>
        <w:iCs w:val="0"/>
        <w:caps w:val="0"/>
        <w:smallCaps w:val="0"/>
        <w:strike w:val="0"/>
        <w:dstrike w:val="0"/>
        <w:vanish w:val="0"/>
        <w:spacing w:val="0"/>
        <w:kern w:val="0"/>
        <w:position w:val="0"/>
        <w:sz w:val="20"/>
        <w:u w:val="none"/>
        <w:vertAlign w:val="baseline"/>
      </w:rPr>
    </w:lvl>
    <w:lvl w:ilvl="1" w:tentative="0">
      <w:start w:val="1"/>
      <w:numFmt w:val="lowerRoman"/>
      <w:lvlText w:val="(%2)"/>
      <w:lvlJc w:val="right"/>
      <w:pPr>
        <w:tabs>
          <w:tab w:val="left" w:pos="1530"/>
        </w:tabs>
        <w:ind w:left="1530" w:hanging="180"/>
      </w:pPr>
      <w:rPr>
        <w:rFonts w:hint="default" w:ascii="Verdana" w:hAnsi="Verdana"/>
        <w:sz w:val="20"/>
      </w:rPr>
    </w:lvl>
    <w:lvl w:ilvl="2" w:tentative="0">
      <w:start w:val="1"/>
      <w:numFmt w:val="upperLetter"/>
      <w:lvlText w:val="%3."/>
      <w:lvlJc w:val="left"/>
      <w:pPr>
        <w:ind w:left="1682" w:hanging="360"/>
      </w:pPr>
      <w:rPr>
        <w:rFonts w:hint="default"/>
      </w:rPr>
    </w:lvl>
    <w:lvl w:ilvl="3" w:tentative="0">
      <w:start w:val="1"/>
      <w:numFmt w:val="decimal"/>
      <w:lvlText w:val="%4."/>
      <w:lvlJc w:val="left"/>
      <w:pPr>
        <w:tabs>
          <w:tab w:val="left" w:pos="2222"/>
        </w:tabs>
        <w:ind w:left="2222" w:hanging="360"/>
      </w:pPr>
    </w:lvl>
    <w:lvl w:ilvl="4" w:tentative="0">
      <w:start w:val="1"/>
      <w:numFmt w:val="lowerLetter"/>
      <w:lvlText w:val="%5."/>
      <w:lvlJc w:val="left"/>
      <w:pPr>
        <w:tabs>
          <w:tab w:val="left" w:pos="2942"/>
        </w:tabs>
        <w:ind w:left="2942" w:hanging="360"/>
      </w:pPr>
    </w:lvl>
    <w:lvl w:ilvl="5" w:tentative="0">
      <w:start w:val="1"/>
      <w:numFmt w:val="lowerRoman"/>
      <w:lvlText w:val="%6."/>
      <w:lvlJc w:val="right"/>
      <w:pPr>
        <w:tabs>
          <w:tab w:val="left" w:pos="3662"/>
        </w:tabs>
        <w:ind w:left="3662" w:hanging="180"/>
      </w:pPr>
    </w:lvl>
    <w:lvl w:ilvl="6" w:tentative="0">
      <w:start w:val="1"/>
      <w:numFmt w:val="decimal"/>
      <w:lvlText w:val="%7."/>
      <w:lvlJc w:val="left"/>
      <w:pPr>
        <w:tabs>
          <w:tab w:val="left" w:pos="4382"/>
        </w:tabs>
        <w:ind w:left="4382" w:hanging="360"/>
      </w:pPr>
    </w:lvl>
    <w:lvl w:ilvl="7" w:tentative="0">
      <w:start w:val="1"/>
      <w:numFmt w:val="lowerLetter"/>
      <w:lvlText w:val="%8."/>
      <w:lvlJc w:val="left"/>
      <w:pPr>
        <w:tabs>
          <w:tab w:val="left" w:pos="5102"/>
        </w:tabs>
        <w:ind w:left="5102" w:hanging="360"/>
      </w:pPr>
    </w:lvl>
    <w:lvl w:ilvl="8" w:tentative="0">
      <w:start w:val="1"/>
      <w:numFmt w:val="lowerRoman"/>
      <w:lvlText w:val="%9."/>
      <w:lvlJc w:val="right"/>
      <w:pPr>
        <w:tabs>
          <w:tab w:val="left" w:pos="5822"/>
        </w:tabs>
        <w:ind w:left="5822" w:hanging="180"/>
      </w:pPr>
    </w:lvl>
  </w:abstractNum>
  <w:abstractNum w:abstractNumId="13">
    <w:nsid w:val="2AA4099F"/>
    <w:multiLevelType w:val="multilevel"/>
    <w:tmpl w:val="2AA4099F"/>
    <w:lvl w:ilvl="0" w:tentative="0">
      <w:start w:val="1"/>
      <w:numFmt w:val="decimal"/>
      <w:pStyle w:val="56"/>
      <w:lvlText w:val="%1."/>
      <w:lvlJc w:val="left"/>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2623" w:hanging="360"/>
      </w:pPr>
      <w:rPr>
        <w:rFonts w:hint="default"/>
      </w:rPr>
    </w:lvl>
    <w:lvl w:ilvl="2" w:tentative="0">
      <w:start w:val="1"/>
      <w:numFmt w:val="lowerRoman"/>
      <w:lvlText w:val="%3."/>
      <w:lvlJc w:val="right"/>
      <w:pPr>
        <w:ind w:left="3103" w:hanging="420"/>
      </w:pPr>
      <w:rPr>
        <w:rFonts w:cs="Times New Roman"/>
      </w:rPr>
    </w:lvl>
    <w:lvl w:ilvl="3" w:tentative="0">
      <w:start w:val="1"/>
      <w:numFmt w:val="decimal"/>
      <w:lvlText w:val="%4."/>
      <w:lvlJc w:val="left"/>
      <w:pPr>
        <w:ind w:left="3523" w:hanging="420"/>
      </w:pPr>
      <w:rPr>
        <w:rFonts w:cs="Times New Roman"/>
      </w:rPr>
    </w:lvl>
    <w:lvl w:ilvl="4" w:tentative="0">
      <w:start w:val="1"/>
      <w:numFmt w:val="lowerLetter"/>
      <w:lvlText w:val="%5)"/>
      <w:lvlJc w:val="left"/>
      <w:pPr>
        <w:ind w:left="3943" w:hanging="420"/>
      </w:pPr>
      <w:rPr>
        <w:rFonts w:cs="Times New Roman"/>
      </w:rPr>
    </w:lvl>
    <w:lvl w:ilvl="5" w:tentative="0">
      <w:start w:val="1"/>
      <w:numFmt w:val="lowerRoman"/>
      <w:lvlText w:val="%6."/>
      <w:lvlJc w:val="right"/>
      <w:pPr>
        <w:ind w:left="4363" w:hanging="420"/>
      </w:pPr>
      <w:rPr>
        <w:rFonts w:cs="Times New Roman"/>
      </w:rPr>
    </w:lvl>
    <w:lvl w:ilvl="6" w:tentative="0">
      <w:start w:val="1"/>
      <w:numFmt w:val="decimal"/>
      <w:lvlText w:val="%7."/>
      <w:lvlJc w:val="left"/>
      <w:pPr>
        <w:ind w:left="4783" w:hanging="420"/>
      </w:pPr>
      <w:rPr>
        <w:rFonts w:cs="Times New Roman"/>
      </w:rPr>
    </w:lvl>
    <w:lvl w:ilvl="7" w:tentative="0">
      <w:start w:val="1"/>
      <w:numFmt w:val="lowerLetter"/>
      <w:lvlText w:val="%8)"/>
      <w:lvlJc w:val="left"/>
      <w:pPr>
        <w:ind w:left="5203" w:hanging="420"/>
      </w:pPr>
      <w:rPr>
        <w:rFonts w:cs="Times New Roman"/>
      </w:rPr>
    </w:lvl>
    <w:lvl w:ilvl="8" w:tentative="0">
      <w:start w:val="1"/>
      <w:numFmt w:val="lowerRoman"/>
      <w:lvlText w:val="%9."/>
      <w:lvlJc w:val="right"/>
      <w:pPr>
        <w:ind w:left="5623" w:hanging="420"/>
      </w:pPr>
      <w:rPr>
        <w:rFonts w:cs="Times New Roman"/>
      </w:rPr>
    </w:lvl>
  </w:abstractNum>
  <w:abstractNum w:abstractNumId="14">
    <w:nsid w:val="2E147F85"/>
    <w:multiLevelType w:val="multilevel"/>
    <w:tmpl w:val="2E147F8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E5A6122"/>
    <w:multiLevelType w:val="multilevel"/>
    <w:tmpl w:val="2E5A61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307B0A0B"/>
    <w:multiLevelType w:val="multilevel"/>
    <w:tmpl w:val="307B0A0B"/>
    <w:lvl w:ilvl="0" w:tentative="0">
      <w:start w:val="1"/>
      <w:numFmt w:val="decimal"/>
      <w:lvlText w:val="%1."/>
      <w:lvlJc w:val="left"/>
      <w:pPr>
        <w:ind w:left="2340" w:hanging="360"/>
      </w:p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17">
    <w:nsid w:val="30EB5384"/>
    <w:multiLevelType w:val="multilevel"/>
    <w:tmpl w:val="30EB5384"/>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34166A5C"/>
    <w:multiLevelType w:val="multilevel"/>
    <w:tmpl w:val="34166A5C"/>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35141155"/>
    <w:multiLevelType w:val="multilevel"/>
    <w:tmpl w:val="35141155"/>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357D3754"/>
    <w:multiLevelType w:val="multilevel"/>
    <w:tmpl w:val="357D3754"/>
    <w:lvl w:ilvl="0" w:tentative="0">
      <w:start w:val="1"/>
      <w:numFmt w:val="decimal"/>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21">
    <w:nsid w:val="38315BB6"/>
    <w:multiLevelType w:val="multilevel"/>
    <w:tmpl w:val="38315BB6"/>
    <w:lvl w:ilvl="0" w:tentative="0">
      <w:start w:val="3"/>
      <w:numFmt w:val="bullet"/>
      <w:lvlText w:val="•"/>
      <w:lvlJc w:val="left"/>
      <w:pPr>
        <w:ind w:left="720" w:hanging="360"/>
      </w:pPr>
      <w:rPr>
        <w:rFonts w:hint="eastAsia" w:ascii="宋体" w:hAnsi="宋体" w:eastAsia="宋体" w:cs="宋体"/>
      </w:rPr>
    </w:lvl>
    <w:lvl w:ilvl="1" w:tentative="0">
      <w:start w:val="1"/>
      <w:numFmt w:val="bullet"/>
      <w:lvlText w:val="-"/>
      <w:lvlJc w:val="left"/>
      <w:pPr>
        <w:ind w:left="1500" w:hanging="420"/>
      </w:pPr>
      <w:rPr>
        <w:rFonts w:hint="default" w:ascii="Calibri" w:hAnsi="Calibri"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ED53773"/>
    <w:multiLevelType w:val="multilevel"/>
    <w:tmpl w:val="3ED53773"/>
    <w:lvl w:ilvl="0" w:tentative="0">
      <w:start w:val="5"/>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43B6712B"/>
    <w:multiLevelType w:val="multilevel"/>
    <w:tmpl w:val="43B6712B"/>
    <w:lvl w:ilvl="0" w:tentative="0">
      <w:start w:val="1"/>
      <w:numFmt w:val="decimal"/>
      <w:pStyle w:val="60"/>
      <w:lvlText w:val="%1."/>
      <w:lvlJc w:val="left"/>
      <w:pPr>
        <w:ind w:left="1080" w:hanging="360"/>
      </w:pPr>
      <w:rPr>
        <w:b/>
        <w:i w:val="0"/>
        <w:color w:val="203864" w:themeColor="accent1" w:themeShade="80"/>
        <w:sz w:val="28"/>
        <w:szCs w:val="28"/>
      </w:rPr>
    </w:lvl>
    <w:lvl w:ilvl="1" w:tentative="0">
      <w:start w:val="1"/>
      <w:numFmt w:val="lowerLetter"/>
      <w:lvlText w:val="%2."/>
      <w:lvlJc w:val="left"/>
      <w:pPr>
        <w:ind w:left="360" w:hanging="360"/>
      </w:pPr>
      <w:rPr>
        <w:rFonts w:asciiTheme="minorHAnsi" w:hAnsiTheme="minorHAnsi" w:eastAsiaTheme="minorHAnsi" w:cstheme="minorBidi"/>
        <w:b/>
      </w:rPr>
    </w:lvl>
    <w:lvl w:ilvl="2" w:tentative="0">
      <w:start w:val="1"/>
      <w:numFmt w:val="lowerRoman"/>
      <w:lvlText w:val="%3."/>
      <w:lvlJc w:val="right"/>
      <w:pPr>
        <w:ind w:left="2880" w:hanging="180"/>
      </w:pPr>
    </w:lvl>
    <w:lvl w:ilvl="3" w:tentative="0">
      <w:start w:val="1"/>
      <w:numFmt w:val="decimal"/>
      <w:lvlText w:val="%4."/>
      <w:lvlJc w:val="left"/>
      <w:pPr>
        <w:ind w:left="720" w:hanging="360"/>
      </w:pPr>
      <w:rPr>
        <w:b w:val="0"/>
      </w:r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4">
    <w:nsid w:val="478C7CBD"/>
    <w:multiLevelType w:val="multilevel"/>
    <w:tmpl w:val="478C7CB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5">
    <w:nsid w:val="4CA811AB"/>
    <w:multiLevelType w:val="multilevel"/>
    <w:tmpl w:val="4CA811AB"/>
    <w:lvl w:ilvl="0" w:tentative="0">
      <w:start w:val="3"/>
      <w:numFmt w:val="bullet"/>
      <w:lvlText w:val="•"/>
      <w:lvlJc w:val="left"/>
      <w:pPr>
        <w:ind w:left="2400" w:hanging="420"/>
      </w:pPr>
      <w:rPr>
        <w:rFonts w:hint="eastAsia" w:ascii="宋体" w:hAnsi="宋体" w:eastAsia="宋体" w:cs="宋体"/>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6">
    <w:nsid w:val="50941708"/>
    <w:multiLevelType w:val="multilevel"/>
    <w:tmpl w:val="50941708"/>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513102C9"/>
    <w:multiLevelType w:val="multilevel"/>
    <w:tmpl w:val="513102C9"/>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55FA28B9"/>
    <w:multiLevelType w:val="multilevel"/>
    <w:tmpl w:val="55FA28B9"/>
    <w:lvl w:ilvl="0" w:tentative="0">
      <w:start w:val="0"/>
      <w:numFmt w:val="bullet"/>
      <w:lvlText w:val=""/>
      <w:lvlJc w:val="left"/>
      <w:pPr>
        <w:ind w:left="859"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700" w:hanging="360"/>
      </w:pPr>
      <w:rPr>
        <w:rFonts w:hint="default"/>
        <w:lang w:val="en-US" w:eastAsia="en-US" w:bidi="ar-SA"/>
      </w:rPr>
    </w:lvl>
    <w:lvl w:ilvl="2" w:tentative="0">
      <w:start w:val="0"/>
      <w:numFmt w:val="bullet"/>
      <w:lvlText w:val="•"/>
      <w:lvlJc w:val="left"/>
      <w:pPr>
        <w:ind w:left="2540" w:hanging="360"/>
      </w:pPr>
      <w:rPr>
        <w:rFonts w:hint="default"/>
        <w:lang w:val="en-US" w:eastAsia="en-US" w:bidi="ar-SA"/>
      </w:rPr>
    </w:lvl>
    <w:lvl w:ilvl="3" w:tentative="0">
      <w:start w:val="0"/>
      <w:numFmt w:val="bullet"/>
      <w:lvlText w:val="•"/>
      <w:lvlJc w:val="left"/>
      <w:pPr>
        <w:ind w:left="3380" w:hanging="360"/>
      </w:pPr>
      <w:rPr>
        <w:rFonts w:hint="default"/>
        <w:lang w:val="en-US" w:eastAsia="en-US" w:bidi="ar-SA"/>
      </w:rPr>
    </w:lvl>
    <w:lvl w:ilvl="4" w:tentative="0">
      <w:start w:val="0"/>
      <w:numFmt w:val="bullet"/>
      <w:lvlText w:val="•"/>
      <w:lvlJc w:val="left"/>
      <w:pPr>
        <w:ind w:left="4220" w:hanging="360"/>
      </w:pPr>
      <w:rPr>
        <w:rFonts w:hint="default"/>
        <w:lang w:val="en-US" w:eastAsia="en-US" w:bidi="ar-SA"/>
      </w:rPr>
    </w:lvl>
    <w:lvl w:ilvl="5" w:tentative="0">
      <w:start w:val="0"/>
      <w:numFmt w:val="bullet"/>
      <w:lvlText w:val="•"/>
      <w:lvlJc w:val="left"/>
      <w:pPr>
        <w:ind w:left="5060" w:hanging="360"/>
      </w:pPr>
      <w:rPr>
        <w:rFonts w:hint="default"/>
        <w:lang w:val="en-US" w:eastAsia="en-US" w:bidi="ar-SA"/>
      </w:rPr>
    </w:lvl>
    <w:lvl w:ilvl="6" w:tentative="0">
      <w:start w:val="0"/>
      <w:numFmt w:val="bullet"/>
      <w:lvlText w:val="•"/>
      <w:lvlJc w:val="left"/>
      <w:pPr>
        <w:ind w:left="5900" w:hanging="360"/>
      </w:pPr>
      <w:rPr>
        <w:rFonts w:hint="default"/>
        <w:lang w:val="en-US" w:eastAsia="en-US" w:bidi="ar-SA"/>
      </w:rPr>
    </w:lvl>
    <w:lvl w:ilvl="7" w:tentative="0">
      <w:start w:val="0"/>
      <w:numFmt w:val="bullet"/>
      <w:lvlText w:val="•"/>
      <w:lvlJc w:val="left"/>
      <w:pPr>
        <w:ind w:left="6740" w:hanging="360"/>
      </w:pPr>
      <w:rPr>
        <w:rFonts w:hint="default"/>
        <w:lang w:val="en-US" w:eastAsia="en-US" w:bidi="ar-SA"/>
      </w:rPr>
    </w:lvl>
    <w:lvl w:ilvl="8" w:tentative="0">
      <w:start w:val="0"/>
      <w:numFmt w:val="bullet"/>
      <w:lvlText w:val="•"/>
      <w:lvlJc w:val="left"/>
      <w:pPr>
        <w:ind w:left="7580" w:hanging="360"/>
      </w:pPr>
      <w:rPr>
        <w:rFonts w:hint="default"/>
        <w:lang w:val="en-US" w:eastAsia="en-US" w:bidi="ar-SA"/>
      </w:rPr>
    </w:lvl>
  </w:abstractNum>
  <w:abstractNum w:abstractNumId="29">
    <w:nsid w:val="5B618C43"/>
    <w:multiLevelType w:val="singleLevel"/>
    <w:tmpl w:val="5B618C43"/>
    <w:lvl w:ilvl="0" w:tentative="0">
      <w:start w:val="1"/>
      <w:numFmt w:val="lowerRoman"/>
      <w:lvlText w:val="%1)"/>
      <w:lvlJc w:val="left"/>
      <w:pPr>
        <w:tabs>
          <w:tab w:val="left" w:pos="312"/>
        </w:tabs>
      </w:pPr>
    </w:lvl>
  </w:abstractNum>
  <w:abstractNum w:abstractNumId="30">
    <w:nsid w:val="5C113A14"/>
    <w:multiLevelType w:val="multilevel"/>
    <w:tmpl w:val="5C113A1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3C30260"/>
    <w:multiLevelType w:val="multilevel"/>
    <w:tmpl w:val="63C30260"/>
    <w:lvl w:ilvl="0" w:tentative="0">
      <w:start w:val="1"/>
      <w:numFmt w:val="decimal"/>
      <w:lvlText w:val="%1)"/>
      <w:lvlJc w:val="left"/>
      <w:pPr>
        <w:ind w:left="840" w:hanging="420"/>
      </w:pPr>
    </w:lvl>
    <w:lvl w:ilvl="1" w:tentative="0">
      <w:start w:val="1"/>
      <w:numFmt w:val="decimal"/>
      <w:lvlText w:val="%2）"/>
      <w:lvlJc w:val="left"/>
      <w:pPr>
        <w:ind w:left="1200" w:hanging="360"/>
      </w:pPr>
      <w:rPr>
        <w:rFonts w:hint="default"/>
      </w:rPr>
    </w:lvl>
    <w:lvl w:ilvl="2" w:tentative="0">
      <w:start w:val="1"/>
      <w:numFmt w:val="upperLetter"/>
      <w:lvlText w:val="%3."/>
      <w:lvlJc w:val="left"/>
      <w:pPr>
        <w:ind w:left="1620" w:hanging="360"/>
      </w:pPr>
      <w:rPr>
        <w:rFonts w:hint="default"/>
      </w:rPr>
    </w:lvl>
    <w:lvl w:ilvl="3" w:tentative="0">
      <w:start w:val="1"/>
      <w:numFmt w:val="lowerLetter"/>
      <w:lvlText w:val="%4."/>
      <w:lvlJc w:val="left"/>
      <w:pPr>
        <w:ind w:left="2040" w:hanging="36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686827D2"/>
    <w:multiLevelType w:val="multilevel"/>
    <w:tmpl w:val="686827D2"/>
    <w:lvl w:ilvl="0" w:tentative="0">
      <w:start w:val="3"/>
      <w:numFmt w:val="bullet"/>
      <w:lvlText w:val="•"/>
      <w:lvlJc w:val="left"/>
      <w:pPr>
        <w:ind w:left="420" w:hanging="420"/>
      </w:pPr>
      <w:rPr>
        <w:rFonts w:hint="eastAsia" w:ascii="宋体" w:hAnsi="宋体" w:eastAsia="宋体" w:cs="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69F22A77"/>
    <w:multiLevelType w:val="multilevel"/>
    <w:tmpl w:val="69F22A77"/>
    <w:lvl w:ilvl="0" w:tentative="0">
      <w:start w:val="3"/>
      <w:numFmt w:val="bullet"/>
      <w:lvlText w:val="•"/>
      <w:lvlJc w:val="left"/>
      <w:pPr>
        <w:ind w:left="720" w:hanging="360"/>
      </w:pPr>
      <w:rPr>
        <w:rFonts w:hint="eastAsia" w:ascii="宋体" w:hAnsi="宋体" w:eastAsia="宋体" w:cs="宋体"/>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6A131CEF"/>
    <w:multiLevelType w:val="multilevel"/>
    <w:tmpl w:val="6A131CEF"/>
    <w:lvl w:ilvl="0" w:tentative="0">
      <w:start w:val="1"/>
      <w:numFmt w:val="decimal"/>
      <w:lvlText w:val="%1."/>
      <w:lvlJc w:val="left"/>
      <w:pPr>
        <w:ind w:left="360" w:hanging="360"/>
      </w:pPr>
      <w:rPr>
        <w:rFonts w:hint="default"/>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5">
    <w:nsid w:val="72560B2A"/>
    <w:multiLevelType w:val="multilevel"/>
    <w:tmpl w:val="72560B2A"/>
    <w:lvl w:ilvl="0" w:tentative="0">
      <w:start w:val="1"/>
      <w:numFmt w:val="decimal"/>
      <w:lvlText w:val="%1."/>
      <w:lvlJc w:val="left"/>
      <w:pPr>
        <w:ind w:left="1980" w:hanging="420"/>
      </w:pPr>
      <w:rPr>
        <w:rFonts w:hint="default"/>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3961187"/>
    <w:multiLevelType w:val="multilevel"/>
    <w:tmpl w:val="73961187"/>
    <w:lvl w:ilvl="0" w:tentative="0">
      <w:start w:val="1"/>
      <w:numFmt w:val="decimal"/>
      <w:lvlText w:val="%1."/>
      <w:lvlJc w:val="left"/>
      <w:pPr>
        <w:ind w:left="780" w:hanging="420"/>
      </w:pPr>
      <w:rPr>
        <w:rFonts w:hint="default"/>
        <w:b w:val="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68B72A7"/>
    <w:multiLevelType w:val="multilevel"/>
    <w:tmpl w:val="768B72A7"/>
    <w:lvl w:ilvl="0" w:tentative="0">
      <w:start w:val="4"/>
      <w:numFmt w:val="decimal"/>
      <w:lvlText w:val="%1"/>
      <w:lvlJc w:val="left"/>
      <w:pPr>
        <w:ind w:left="425" w:hanging="425"/>
      </w:pPr>
      <w:rPr>
        <w:rFonts w:hint="eastAsia"/>
      </w:rPr>
    </w:lvl>
    <w:lvl w:ilvl="1" w:tentative="0">
      <w:start w:val="4"/>
      <w:numFmt w:val="decimal"/>
      <w:lvlText w:val="%1.%2"/>
      <w:lvlJc w:val="left"/>
      <w:pPr>
        <w:ind w:left="992" w:hanging="567"/>
      </w:pPr>
      <w:rPr>
        <w:rFonts w:hint="eastAsia"/>
      </w:rPr>
    </w:lvl>
    <w:lvl w:ilvl="2" w:tentative="0">
      <w:start w:val="1"/>
      <w:numFmt w:val="decimal"/>
      <w:lvlText w:val="5.%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8">
    <w:nsid w:val="78940E91"/>
    <w:multiLevelType w:val="multilevel"/>
    <w:tmpl w:val="78940E91"/>
    <w:lvl w:ilvl="0" w:tentative="0">
      <w:start w:val="1"/>
      <w:numFmt w:val="bullet"/>
      <w:lvlText w:val=""/>
      <w:lvlJc w:val="left"/>
      <w:pPr>
        <w:ind w:left="1195" w:hanging="360"/>
      </w:pPr>
      <w:rPr>
        <w:rFonts w:hint="default" w:ascii="Symbol" w:hAnsi="Symbol"/>
      </w:rPr>
    </w:lvl>
    <w:lvl w:ilvl="1" w:tentative="0">
      <w:start w:val="1"/>
      <w:numFmt w:val="bullet"/>
      <w:lvlText w:val="o"/>
      <w:lvlJc w:val="left"/>
      <w:pPr>
        <w:ind w:left="1915" w:hanging="360"/>
      </w:pPr>
      <w:rPr>
        <w:rFonts w:hint="default" w:ascii="Courier New" w:hAnsi="Courier New" w:cs="Courier New"/>
      </w:rPr>
    </w:lvl>
    <w:lvl w:ilvl="2" w:tentative="0">
      <w:start w:val="1"/>
      <w:numFmt w:val="bullet"/>
      <w:lvlText w:val=""/>
      <w:lvlJc w:val="left"/>
      <w:pPr>
        <w:ind w:left="2635" w:hanging="360"/>
      </w:pPr>
      <w:rPr>
        <w:rFonts w:hint="default" w:ascii="Wingdings" w:hAnsi="Wingdings"/>
      </w:rPr>
    </w:lvl>
    <w:lvl w:ilvl="3" w:tentative="0">
      <w:start w:val="1"/>
      <w:numFmt w:val="bullet"/>
      <w:lvlText w:val=""/>
      <w:lvlJc w:val="left"/>
      <w:pPr>
        <w:ind w:left="3355" w:hanging="360"/>
      </w:pPr>
      <w:rPr>
        <w:rFonts w:hint="default" w:ascii="Symbol" w:hAnsi="Symbol"/>
      </w:rPr>
    </w:lvl>
    <w:lvl w:ilvl="4" w:tentative="0">
      <w:start w:val="1"/>
      <w:numFmt w:val="bullet"/>
      <w:lvlText w:val="o"/>
      <w:lvlJc w:val="left"/>
      <w:pPr>
        <w:ind w:left="4075" w:hanging="360"/>
      </w:pPr>
      <w:rPr>
        <w:rFonts w:hint="default" w:ascii="Courier New" w:hAnsi="Courier New" w:cs="Courier New"/>
      </w:rPr>
    </w:lvl>
    <w:lvl w:ilvl="5" w:tentative="0">
      <w:start w:val="1"/>
      <w:numFmt w:val="bullet"/>
      <w:lvlText w:val=""/>
      <w:lvlJc w:val="left"/>
      <w:pPr>
        <w:ind w:left="4795" w:hanging="360"/>
      </w:pPr>
      <w:rPr>
        <w:rFonts w:hint="default" w:ascii="Wingdings" w:hAnsi="Wingdings"/>
      </w:rPr>
    </w:lvl>
    <w:lvl w:ilvl="6" w:tentative="0">
      <w:start w:val="1"/>
      <w:numFmt w:val="bullet"/>
      <w:lvlText w:val=""/>
      <w:lvlJc w:val="left"/>
      <w:pPr>
        <w:ind w:left="5515" w:hanging="360"/>
      </w:pPr>
      <w:rPr>
        <w:rFonts w:hint="default" w:ascii="Symbol" w:hAnsi="Symbol"/>
      </w:rPr>
    </w:lvl>
    <w:lvl w:ilvl="7" w:tentative="0">
      <w:start w:val="1"/>
      <w:numFmt w:val="bullet"/>
      <w:lvlText w:val="o"/>
      <w:lvlJc w:val="left"/>
      <w:pPr>
        <w:ind w:left="6235" w:hanging="360"/>
      </w:pPr>
      <w:rPr>
        <w:rFonts w:hint="default" w:ascii="Courier New" w:hAnsi="Courier New" w:cs="Courier New"/>
      </w:rPr>
    </w:lvl>
    <w:lvl w:ilvl="8" w:tentative="0">
      <w:start w:val="1"/>
      <w:numFmt w:val="bullet"/>
      <w:lvlText w:val=""/>
      <w:lvlJc w:val="left"/>
      <w:pPr>
        <w:ind w:left="6955" w:hanging="360"/>
      </w:pPr>
      <w:rPr>
        <w:rFonts w:hint="default" w:ascii="Wingdings" w:hAnsi="Wingdings"/>
      </w:rPr>
    </w:lvl>
  </w:abstractNum>
  <w:abstractNum w:abstractNumId="39">
    <w:nsid w:val="792C4CFB"/>
    <w:multiLevelType w:val="multilevel"/>
    <w:tmpl w:val="792C4CFB"/>
    <w:lvl w:ilvl="0" w:tentative="0">
      <w:start w:val="1"/>
      <w:numFmt w:val="decimal"/>
      <w:lvlText w:val="%1."/>
      <w:lvlJc w:val="left"/>
      <w:pPr>
        <w:ind w:left="780" w:hanging="420"/>
      </w:pPr>
      <w:rPr>
        <w:rFonts w:hint="default"/>
        <w:b w:val="0"/>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A3A4BE5"/>
    <w:multiLevelType w:val="multilevel"/>
    <w:tmpl w:val="7A3A4BE5"/>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7EE72D6C"/>
    <w:multiLevelType w:val="multilevel"/>
    <w:tmpl w:val="7EE72D6C"/>
    <w:lvl w:ilvl="0" w:tentative="0">
      <w:start w:val="1"/>
      <w:numFmt w:val="decimal"/>
      <w:lvlText w:val="%1."/>
      <w:lvlJc w:val="righ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3"/>
  </w:num>
  <w:num w:numId="2">
    <w:abstractNumId w:val="23"/>
  </w:num>
  <w:num w:numId="3">
    <w:abstractNumId w:val="12"/>
  </w:num>
  <w:num w:numId="4">
    <w:abstractNumId w:val="34"/>
  </w:num>
  <w:num w:numId="5">
    <w:abstractNumId w:val="16"/>
  </w:num>
  <w:num w:numId="6">
    <w:abstractNumId w:val="20"/>
  </w:num>
  <w:num w:numId="7">
    <w:abstractNumId w:val="5"/>
  </w:num>
  <w:num w:numId="8">
    <w:abstractNumId w:val="41"/>
  </w:num>
  <w:num w:numId="9">
    <w:abstractNumId w:val="7"/>
  </w:num>
  <w:num w:numId="10">
    <w:abstractNumId w:val="18"/>
  </w:num>
  <w:num w:numId="11">
    <w:abstractNumId w:val="1"/>
  </w:num>
  <w:num w:numId="12">
    <w:abstractNumId w:val="6"/>
  </w:num>
  <w:num w:numId="13">
    <w:abstractNumId w:val="35"/>
  </w:num>
  <w:num w:numId="14">
    <w:abstractNumId w:val="3"/>
  </w:num>
  <w:num w:numId="15">
    <w:abstractNumId w:val="11"/>
  </w:num>
  <w:num w:numId="16">
    <w:abstractNumId w:val="9"/>
  </w:num>
  <w:num w:numId="17">
    <w:abstractNumId w:val="39"/>
  </w:num>
  <w:num w:numId="18">
    <w:abstractNumId w:val="36"/>
  </w:num>
  <w:num w:numId="19">
    <w:abstractNumId w:val="40"/>
  </w:num>
  <w:num w:numId="20">
    <w:abstractNumId w:val="25"/>
  </w:num>
  <w:num w:numId="21">
    <w:abstractNumId w:val="22"/>
  </w:num>
  <w:num w:numId="22">
    <w:abstractNumId w:val="19"/>
  </w:num>
  <w:num w:numId="23">
    <w:abstractNumId w:val="2"/>
  </w:num>
  <w:num w:numId="24">
    <w:abstractNumId w:val="38"/>
  </w:num>
  <w:num w:numId="25">
    <w:abstractNumId w:val="8"/>
  </w:num>
  <w:num w:numId="26">
    <w:abstractNumId w:val="28"/>
  </w:num>
  <w:num w:numId="27">
    <w:abstractNumId w:val="26"/>
  </w:num>
  <w:num w:numId="28">
    <w:abstractNumId w:val="27"/>
  </w:num>
  <w:num w:numId="29">
    <w:abstractNumId w:val="37"/>
  </w:num>
  <w:num w:numId="30">
    <w:abstractNumId w:val="17"/>
  </w:num>
  <w:num w:numId="31">
    <w:abstractNumId w:val="4"/>
  </w:num>
  <w:num w:numId="32">
    <w:abstractNumId w:val="31"/>
  </w:num>
  <w:num w:numId="33">
    <w:abstractNumId w:val="15"/>
  </w:num>
  <w:num w:numId="34">
    <w:abstractNumId w:val="14"/>
  </w:num>
  <w:num w:numId="35">
    <w:abstractNumId w:val="24"/>
  </w:num>
  <w:num w:numId="36">
    <w:abstractNumId w:val="10"/>
  </w:num>
  <w:num w:numId="37">
    <w:abstractNumId w:val="30"/>
  </w:num>
  <w:num w:numId="38">
    <w:abstractNumId w:val="0"/>
  </w:num>
  <w:num w:numId="39">
    <w:abstractNumId w:val="29"/>
  </w:num>
  <w:num w:numId="40">
    <w:abstractNumId w:val="32"/>
  </w:num>
  <w:num w:numId="41">
    <w:abstractNumId w:val="33"/>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2"/>
  <w:displayVerticalDrawingGridEvery w:val="2"/>
  <w:characterSpacingControl w:val="doNotCompress"/>
  <w:footnotePr>
    <w:footnote w:id="26"/>
    <w:footnote w:id="27"/>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429"/>
    <w:rsid w:val="0000022E"/>
    <w:rsid w:val="000003C7"/>
    <w:rsid w:val="00000594"/>
    <w:rsid w:val="000005F7"/>
    <w:rsid w:val="000007B8"/>
    <w:rsid w:val="00000AE5"/>
    <w:rsid w:val="00000BEB"/>
    <w:rsid w:val="000012B2"/>
    <w:rsid w:val="00001341"/>
    <w:rsid w:val="000014BE"/>
    <w:rsid w:val="0000163F"/>
    <w:rsid w:val="000016A5"/>
    <w:rsid w:val="000016D3"/>
    <w:rsid w:val="00001986"/>
    <w:rsid w:val="00001A46"/>
    <w:rsid w:val="00001FE1"/>
    <w:rsid w:val="00002032"/>
    <w:rsid w:val="0000212C"/>
    <w:rsid w:val="000021B1"/>
    <w:rsid w:val="0000260D"/>
    <w:rsid w:val="00002745"/>
    <w:rsid w:val="00002C7B"/>
    <w:rsid w:val="00002F84"/>
    <w:rsid w:val="00003135"/>
    <w:rsid w:val="000035B7"/>
    <w:rsid w:val="00003A0D"/>
    <w:rsid w:val="00003DD4"/>
    <w:rsid w:val="000042D7"/>
    <w:rsid w:val="0000465F"/>
    <w:rsid w:val="00004801"/>
    <w:rsid w:val="00004890"/>
    <w:rsid w:val="00004B4E"/>
    <w:rsid w:val="00004C65"/>
    <w:rsid w:val="00004D14"/>
    <w:rsid w:val="000052BF"/>
    <w:rsid w:val="000052FB"/>
    <w:rsid w:val="000054D6"/>
    <w:rsid w:val="0000576B"/>
    <w:rsid w:val="000057F2"/>
    <w:rsid w:val="000058F1"/>
    <w:rsid w:val="00005ACA"/>
    <w:rsid w:val="00005C8D"/>
    <w:rsid w:val="00005CD4"/>
    <w:rsid w:val="00005DF8"/>
    <w:rsid w:val="000064B9"/>
    <w:rsid w:val="0000654C"/>
    <w:rsid w:val="00006A7B"/>
    <w:rsid w:val="00006B51"/>
    <w:rsid w:val="00006D0E"/>
    <w:rsid w:val="0000715F"/>
    <w:rsid w:val="0000735A"/>
    <w:rsid w:val="000073F2"/>
    <w:rsid w:val="000074A8"/>
    <w:rsid w:val="00007689"/>
    <w:rsid w:val="00007D90"/>
    <w:rsid w:val="000101B5"/>
    <w:rsid w:val="000101EA"/>
    <w:rsid w:val="000102BD"/>
    <w:rsid w:val="00010606"/>
    <w:rsid w:val="00010616"/>
    <w:rsid w:val="00010627"/>
    <w:rsid w:val="00010973"/>
    <w:rsid w:val="00010D9B"/>
    <w:rsid w:val="00011284"/>
    <w:rsid w:val="000114A6"/>
    <w:rsid w:val="00011584"/>
    <w:rsid w:val="000117A1"/>
    <w:rsid w:val="00011950"/>
    <w:rsid w:val="00011FCF"/>
    <w:rsid w:val="00011FF1"/>
    <w:rsid w:val="000122DB"/>
    <w:rsid w:val="000123BB"/>
    <w:rsid w:val="0001245D"/>
    <w:rsid w:val="000126D4"/>
    <w:rsid w:val="00012861"/>
    <w:rsid w:val="00012A4E"/>
    <w:rsid w:val="00012C52"/>
    <w:rsid w:val="00012D16"/>
    <w:rsid w:val="00012EEA"/>
    <w:rsid w:val="00012F2D"/>
    <w:rsid w:val="00012F65"/>
    <w:rsid w:val="00013007"/>
    <w:rsid w:val="0001302B"/>
    <w:rsid w:val="0001343E"/>
    <w:rsid w:val="00013A57"/>
    <w:rsid w:val="00013A65"/>
    <w:rsid w:val="00013D83"/>
    <w:rsid w:val="000143DF"/>
    <w:rsid w:val="00014765"/>
    <w:rsid w:val="000150A6"/>
    <w:rsid w:val="0001534A"/>
    <w:rsid w:val="00015390"/>
    <w:rsid w:val="0001541B"/>
    <w:rsid w:val="0001566C"/>
    <w:rsid w:val="0001571C"/>
    <w:rsid w:val="00015AD1"/>
    <w:rsid w:val="00015CBC"/>
    <w:rsid w:val="00015F77"/>
    <w:rsid w:val="000160D2"/>
    <w:rsid w:val="00016281"/>
    <w:rsid w:val="000162CA"/>
    <w:rsid w:val="0001698A"/>
    <w:rsid w:val="00016AE4"/>
    <w:rsid w:val="00016D16"/>
    <w:rsid w:val="00016D18"/>
    <w:rsid w:val="000171C3"/>
    <w:rsid w:val="00017237"/>
    <w:rsid w:val="000175A4"/>
    <w:rsid w:val="000176F9"/>
    <w:rsid w:val="00017CED"/>
    <w:rsid w:val="00017D74"/>
    <w:rsid w:val="00017DCA"/>
    <w:rsid w:val="00017F44"/>
    <w:rsid w:val="00020040"/>
    <w:rsid w:val="00020254"/>
    <w:rsid w:val="00020538"/>
    <w:rsid w:val="00020602"/>
    <w:rsid w:val="000208EB"/>
    <w:rsid w:val="00020ABF"/>
    <w:rsid w:val="00020EB3"/>
    <w:rsid w:val="00020F96"/>
    <w:rsid w:val="00021199"/>
    <w:rsid w:val="00021208"/>
    <w:rsid w:val="00021229"/>
    <w:rsid w:val="0002138F"/>
    <w:rsid w:val="00021892"/>
    <w:rsid w:val="0002192F"/>
    <w:rsid w:val="00021A51"/>
    <w:rsid w:val="00021A88"/>
    <w:rsid w:val="00021AF3"/>
    <w:rsid w:val="00021BFE"/>
    <w:rsid w:val="00021E5A"/>
    <w:rsid w:val="000222C3"/>
    <w:rsid w:val="00022478"/>
    <w:rsid w:val="000227F6"/>
    <w:rsid w:val="0002299C"/>
    <w:rsid w:val="00022E64"/>
    <w:rsid w:val="00022F8D"/>
    <w:rsid w:val="0002342A"/>
    <w:rsid w:val="0002376D"/>
    <w:rsid w:val="000238DE"/>
    <w:rsid w:val="00023C58"/>
    <w:rsid w:val="00023D7C"/>
    <w:rsid w:val="00023ED7"/>
    <w:rsid w:val="000242EC"/>
    <w:rsid w:val="000245D0"/>
    <w:rsid w:val="00024887"/>
    <w:rsid w:val="0002499F"/>
    <w:rsid w:val="000249EF"/>
    <w:rsid w:val="00024A5A"/>
    <w:rsid w:val="00024AD5"/>
    <w:rsid w:val="00024D3C"/>
    <w:rsid w:val="00024D4E"/>
    <w:rsid w:val="00024EF7"/>
    <w:rsid w:val="00024F3B"/>
    <w:rsid w:val="000253E5"/>
    <w:rsid w:val="00025673"/>
    <w:rsid w:val="0002573F"/>
    <w:rsid w:val="00025803"/>
    <w:rsid w:val="0002598D"/>
    <w:rsid w:val="00025B4C"/>
    <w:rsid w:val="00025D20"/>
    <w:rsid w:val="000260DD"/>
    <w:rsid w:val="00026188"/>
    <w:rsid w:val="000262A0"/>
    <w:rsid w:val="00026330"/>
    <w:rsid w:val="0002663D"/>
    <w:rsid w:val="00026677"/>
    <w:rsid w:val="000266AC"/>
    <w:rsid w:val="00026754"/>
    <w:rsid w:val="00026B45"/>
    <w:rsid w:val="00026F92"/>
    <w:rsid w:val="00026FD5"/>
    <w:rsid w:val="00027735"/>
    <w:rsid w:val="00027F82"/>
    <w:rsid w:val="00027FC8"/>
    <w:rsid w:val="000303C9"/>
    <w:rsid w:val="0003041F"/>
    <w:rsid w:val="00030447"/>
    <w:rsid w:val="00030984"/>
    <w:rsid w:val="00030CF8"/>
    <w:rsid w:val="00030F7D"/>
    <w:rsid w:val="0003113B"/>
    <w:rsid w:val="000312BE"/>
    <w:rsid w:val="000314BB"/>
    <w:rsid w:val="00031615"/>
    <w:rsid w:val="0003197A"/>
    <w:rsid w:val="00031AE3"/>
    <w:rsid w:val="00031C02"/>
    <w:rsid w:val="00031D04"/>
    <w:rsid w:val="00031DC7"/>
    <w:rsid w:val="0003208C"/>
    <w:rsid w:val="0003208F"/>
    <w:rsid w:val="0003267F"/>
    <w:rsid w:val="0003272F"/>
    <w:rsid w:val="00032CE9"/>
    <w:rsid w:val="00032DBE"/>
    <w:rsid w:val="0003330E"/>
    <w:rsid w:val="00033AB4"/>
    <w:rsid w:val="00033C0E"/>
    <w:rsid w:val="00033D42"/>
    <w:rsid w:val="00034081"/>
    <w:rsid w:val="000341C6"/>
    <w:rsid w:val="00034554"/>
    <w:rsid w:val="00034597"/>
    <w:rsid w:val="00035221"/>
    <w:rsid w:val="000352DF"/>
    <w:rsid w:val="00035859"/>
    <w:rsid w:val="000359D4"/>
    <w:rsid w:val="00035A3A"/>
    <w:rsid w:val="00035A4B"/>
    <w:rsid w:val="00035BCD"/>
    <w:rsid w:val="00035C75"/>
    <w:rsid w:val="00035F81"/>
    <w:rsid w:val="000361C9"/>
    <w:rsid w:val="00036621"/>
    <w:rsid w:val="000366FC"/>
    <w:rsid w:val="00036CE9"/>
    <w:rsid w:val="00036DC1"/>
    <w:rsid w:val="00036F14"/>
    <w:rsid w:val="00036F56"/>
    <w:rsid w:val="00037485"/>
    <w:rsid w:val="000376E0"/>
    <w:rsid w:val="00037DD6"/>
    <w:rsid w:val="00037E8A"/>
    <w:rsid w:val="000400DB"/>
    <w:rsid w:val="00040633"/>
    <w:rsid w:val="000407CD"/>
    <w:rsid w:val="00040906"/>
    <w:rsid w:val="00040F64"/>
    <w:rsid w:val="000416E9"/>
    <w:rsid w:val="00041813"/>
    <w:rsid w:val="00041844"/>
    <w:rsid w:val="000419B4"/>
    <w:rsid w:val="00041B51"/>
    <w:rsid w:val="00041BDB"/>
    <w:rsid w:val="0004217C"/>
    <w:rsid w:val="0004219C"/>
    <w:rsid w:val="000421B5"/>
    <w:rsid w:val="00042228"/>
    <w:rsid w:val="00042547"/>
    <w:rsid w:val="000426B5"/>
    <w:rsid w:val="000428C5"/>
    <w:rsid w:val="000429B9"/>
    <w:rsid w:val="00042CE0"/>
    <w:rsid w:val="00042E84"/>
    <w:rsid w:val="00042E95"/>
    <w:rsid w:val="000433A3"/>
    <w:rsid w:val="000434C8"/>
    <w:rsid w:val="000435C3"/>
    <w:rsid w:val="00043647"/>
    <w:rsid w:val="0004388A"/>
    <w:rsid w:val="000438DC"/>
    <w:rsid w:val="00043AA9"/>
    <w:rsid w:val="00043DC5"/>
    <w:rsid w:val="00043F83"/>
    <w:rsid w:val="00043F9D"/>
    <w:rsid w:val="0004407F"/>
    <w:rsid w:val="00044566"/>
    <w:rsid w:val="000446E1"/>
    <w:rsid w:val="00044A21"/>
    <w:rsid w:val="000454B0"/>
    <w:rsid w:val="0004576B"/>
    <w:rsid w:val="000457CF"/>
    <w:rsid w:val="0004584C"/>
    <w:rsid w:val="00045C5B"/>
    <w:rsid w:val="00045CFA"/>
    <w:rsid w:val="00045D19"/>
    <w:rsid w:val="0004691A"/>
    <w:rsid w:val="00046B35"/>
    <w:rsid w:val="00046CD2"/>
    <w:rsid w:val="00047026"/>
    <w:rsid w:val="00047054"/>
    <w:rsid w:val="00047204"/>
    <w:rsid w:val="00047289"/>
    <w:rsid w:val="00047291"/>
    <w:rsid w:val="0004732A"/>
    <w:rsid w:val="00047495"/>
    <w:rsid w:val="0004769D"/>
    <w:rsid w:val="00047724"/>
    <w:rsid w:val="000477F1"/>
    <w:rsid w:val="00047E44"/>
    <w:rsid w:val="000500BF"/>
    <w:rsid w:val="000503BB"/>
    <w:rsid w:val="000504DF"/>
    <w:rsid w:val="00050523"/>
    <w:rsid w:val="000505D9"/>
    <w:rsid w:val="0005067F"/>
    <w:rsid w:val="000507A7"/>
    <w:rsid w:val="000507C8"/>
    <w:rsid w:val="0005089D"/>
    <w:rsid w:val="000509D0"/>
    <w:rsid w:val="00050F13"/>
    <w:rsid w:val="000512E3"/>
    <w:rsid w:val="000514BD"/>
    <w:rsid w:val="000514DD"/>
    <w:rsid w:val="0005152D"/>
    <w:rsid w:val="00051A08"/>
    <w:rsid w:val="00051C01"/>
    <w:rsid w:val="00051D6C"/>
    <w:rsid w:val="00052000"/>
    <w:rsid w:val="00052357"/>
    <w:rsid w:val="000524CF"/>
    <w:rsid w:val="00052647"/>
    <w:rsid w:val="00052F91"/>
    <w:rsid w:val="00052FF3"/>
    <w:rsid w:val="00053087"/>
    <w:rsid w:val="000534A2"/>
    <w:rsid w:val="00053C02"/>
    <w:rsid w:val="00053CAA"/>
    <w:rsid w:val="000541BA"/>
    <w:rsid w:val="000541C5"/>
    <w:rsid w:val="000541E2"/>
    <w:rsid w:val="00054348"/>
    <w:rsid w:val="000547D8"/>
    <w:rsid w:val="000548D8"/>
    <w:rsid w:val="0005519C"/>
    <w:rsid w:val="000554D1"/>
    <w:rsid w:val="00055D09"/>
    <w:rsid w:val="00055E9F"/>
    <w:rsid w:val="00056053"/>
    <w:rsid w:val="000560CC"/>
    <w:rsid w:val="00056386"/>
    <w:rsid w:val="00056576"/>
    <w:rsid w:val="000568F5"/>
    <w:rsid w:val="00056A2D"/>
    <w:rsid w:val="00056A64"/>
    <w:rsid w:val="00056F97"/>
    <w:rsid w:val="0005719E"/>
    <w:rsid w:val="00057272"/>
    <w:rsid w:val="00057793"/>
    <w:rsid w:val="00057B2E"/>
    <w:rsid w:val="00057DC7"/>
    <w:rsid w:val="00057DD8"/>
    <w:rsid w:val="00057FC9"/>
    <w:rsid w:val="00060086"/>
    <w:rsid w:val="0006017F"/>
    <w:rsid w:val="000604AF"/>
    <w:rsid w:val="00060767"/>
    <w:rsid w:val="000608B6"/>
    <w:rsid w:val="00060C26"/>
    <w:rsid w:val="00060C50"/>
    <w:rsid w:val="00060D2B"/>
    <w:rsid w:val="00060D87"/>
    <w:rsid w:val="00060D88"/>
    <w:rsid w:val="00060E78"/>
    <w:rsid w:val="0006124C"/>
    <w:rsid w:val="00061250"/>
    <w:rsid w:val="00061253"/>
    <w:rsid w:val="00061605"/>
    <w:rsid w:val="00061620"/>
    <w:rsid w:val="000618B8"/>
    <w:rsid w:val="000618FC"/>
    <w:rsid w:val="00061BF9"/>
    <w:rsid w:val="00061C9E"/>
    <w:rsid w:val="00061D81"/>
    <w:rsid w:val="00061DFC"/>
    <w:rsid w:val="00061E12"/>
    <w:rsid w:val="0006210C"/>
    <w:rsid w:val="00062116"/>
    <w:rsid w:val="00062266"/>
    <w:rsid w:val="0006252B"/>
    <w:rsid w:val="00062833"/>
    <w:rsid w:val="00062C5D"/>
    <w:rsid w:val="00062E2A"/>
    <w:rsid w:val="00062FBF"/>
    <w:rsid w:val="000631C4"/>
    <w:rsid w:val="0006383D"/>
    <w:rsid w:val="0006385B"/>
    <w:rsid w:val="0006385F"/>
    <w:rsid w:val="0006398D"/>
    <w:rsid w:val="000639A6"/>
    <w:rsid w:val="00063BC3"/>
    <w:rsid w:val="00063BC8"/>
    <w:rsid w:val="00063BE1"/>
    <w:rsid w:val="00063D22"/>
    <w:rsid w:val="00063DF7"/>
    <w:rsid w:val="00064167"/>
    <w:rsid w:val="000644DC"/>
    <w:rsid w:val="00064779"/>
    <w:rsid w:val="00064964"/>
    <w:rsid w:val="00064AFD"/>
    <w:rsid w:val="00064B1E"/>
    <w:rsid w:val="0006553F"/>
    <w:rsid w:val="00065576"/>
    <w:rsid w:val="00065872"/>
    <w:rsid w:val="00065BC2"/>
    <w:rsid w:val="00065E15"/>
    <w:rsid w:val="00065FC3"/>
    <w:rsid w:val="00066189"/>
    <w:rsid w:val="000661FD"/>
    <w:rsid w:val="00066283"/>
    <w:rsid w:val="000663CD"/>
    <w:rsid w:val="00066497"/>
    <w:rsid w:val="00066619"/>
    <w:rsid w:val="0006667F"/>
    <w:rsid w:val="00066AC7"/>
    <w:rsid w:val="00067493"/>
    <w:rsid w:val="00067650"/>
    <w:rsid w:val="0006795A"/>
    <w:rsid w:val="00067A54"/>
    <w:rsid w:val="00067B39"/>
    <w:rsid w:val="00067B7E"/>
    <w:rsid w:val="00067C90"/>
    <w:rsid w:val="000705F3"/>
    <w:rsid w:val="000707A5"/>
    <w:rsid w:val="000708CD"/>
    <w:rsid w:val="00070A93"/>
    <w:rsid w:val="00070C89"/>
    <w:rsid w:val="00070F3C"/>
    <w:rsid w:val="00070F58"/>
    <w:rsid w:val="00071312"/>
    <w:rsid w:val="0007140D"/>
    <w:rsid w:val="00071472"/>
    <w:rsid w:val="000716B3"/>
    <w:rsid w:val="0007178D"/>
    <w:rsid w:val="00071A11"/>
    <w:rsid w:val="00071A25"/>
    <w:rsid w:val="00072120"/>
    <w:rsid w:val="0007221E"/>
    <w:rsid w:val="00072532"/>
    <w:rsid w:val="000727F2"/>
    <w:rsid w:val="000728D7"/>
    <w:rsid w:val="000729B0"/>
    <w:rsid w:val="00072AF8"/>
    <w:rsid w:val="00072C03"/>
    <w:rsid w:val="00072FF1"/>
    <w:rsid w:val="000731D7"/>
    <w:rsid w:val="0007334D"/>
    <w:rsid w:val="0007379B"/>
    <w:rsid w:val="000737B7"/>
    <w:rsid w:val="0007398F"/>
    <w:rsid w:val="00073B17"/>
    <w:rsid w:val="00073BA8"/>
    <w:rsid w:val="00073D0F"/>
    <w:rsid w:val="00073EE7"/>
    <w:rsid w:val="00073F77"/>
    <w:rsid w:val="00074135"/>
    <w:rsid w:val="000741FD"/>
    <w:rsid w:val="0007448E"/>
    <w:rsid w:val="000747C9"/>
    <w:rsid w:val="00074968"/>
    <w:rsid w:val="00074A61"/>
    <w:rsid w:val="0007515A"/>
    <w:rsid w:val="00075629"/>
    <w:rsid w:val="000756CC"/>
    <w:rsid w:val="0007572F"/>
    <w:rsid w:val="0007589B"/>
    <w:rsid w:val="0007593C"/>
    <w:rsid w:val="00075AA1"/>
    <w:rsid w:val="00075CB2"/>
    <w:rsid w:val="0007620E"/>
    <w:rsid w:val="0007628C"/>
    <w:rsid w:val="0007628E"/>
    <w:rsid w:val="000767EC"/>
    <w:rsid w:val="00076835"/>
    <w:rsid w:val="000768DA"/>
    <w:rsid w:val="000769E2"/>
    <w:rsid w:val="00076F60"/>
    <w:rsid w:val="00076FF6"/>
    <w:rsid w:val="0007735A"/>
    <w:rsid w:val="0007746D"/>
    <w:rsid w:val="00077AB1"/>
    <w:rsid w:val="00077E34"/>
    <w:rsid w:val="00080345"/>
    <w:rsid w:val="000803ED"/>
    <w:rsid w:val="0008087F"/>
    <w:rsid w:val="000808CC"/>
    <w:rsid w:val="0008092D"/>
    <w:rsid w:val="00080DBB"/>
    <w:rsid w:val="00080F3C"/>
    <w:rsid w:val="000810FB"/>
    <w:rsid w:val="000812D3"/>
    <w:rsid w:val="000814F6"/>
    <w:rsid w:val="00081577"/>
    <w:rsid w:val="000815F2"/>
    <w:rsid w:val="0008190D"/>
    <w:rsid w:val="00081C3B"/>
    <w:rsid w:val="00081E91"/>
    <w:rsid w:val="00081EFA"/>
    <w:rsid w:val="0008210F"/>
    <w:rsid w:val="0008220A"/>
    <w:rsid w:val="0008251E"/>
    <w:rsid w:val="00082585"/>
    <w:rsid w:val="00082688"/>
    <w:rsid w:val="000826C8"/>
    <w:rsid w:val="000828DB"/>
    <w:rsid w:val="000828F6"/>
    <w:rsid w:val="000829DD"/>
    <w:rsid w:val="00082B2A"/>
    <w:rsid w:val="00082D42"/>
    <w:rsid w:val="000830AA"/>
    <w:rsid w:val="00083154"/>
    <w:rsid w:val="00083531"/>
    <w:rsid w:val="00083598"/>
    <w:rsid w:val="000838A3"/>
    <w:rsid w:val="00083DAB"/>
    <w:rsid w:val="000842EA"/>
    <w:rsid w:val="00084352"/>
    <w:rsid w:val="00084458"/>
    <w:rsid w:val="00084635"/>
    <w:rsid w:val="00084705"/>
    <w:rsid w:val="00084907"/>
    <w:rsid w:val="00084A06"/>
    <w:rsid w:val="00084B85"/>
    <w:rsid w:val="00084BF9"/>
    <w:rsid w:val="00084DE4"/>
    <w:rsid w:val="00085116"/>
    <w:rsid w:val="00085225"/>
    <w:rsid w:val="00085DC6"/>
    <w:rsid w:val="00085E0D"/>
    <w:rsid w:val="00085E88"/>
    <w:rsid w:val="00085F73"/>
    <w:rsid w:val="00085FD8"/>
    <w:rsid w:val="000866A2"/>
    <w:rsid w:val="00086A81"/>
    <w:rsid w:val="00086B51"/>
    <w:rsid w:val="00086BDF"/>
    <w:rsid w:val="000876C4"/>
    <w:rsid w:val="0008770C"/>
    <w:rsid w:val="000879DE"/>
    <w:rsid w:val="00087A70"/>
    <w:rsid w:val="00087A93"/>
    <w:rsid w:val="00087E80"/>
    <w:rsid w:val="00087F4E"/>
    <w:rsid w:val="000900D1"/>
    <w:rsid w:val="0009019B"/>
    <w:rsid w:val="000902DB"/>
    <w:rsid w:val="00090387"/>
    <w:rsid w:val="00090472"/>
    <w:rsid w:val="000909A5"/>
    <w:rsid w:val="00090EAB"/>
    <w:rsid w:val="000911E0"/>
    <w:rsid w:val="0009169C"/>
    <w:rsid w:val="0009184E"/>
    <w:rsid w:val="00091B0C"/>
    <w:rsid w:val="00091B83"/>
    <w:rsid w:val="00091BD5"/>
    <w:rsid w:val="00091D84"/>
    <w:rsid w:val="00091E93"/>
    <w:rsid w:val="00091EB8"/>
    <w:rsid w:val="00091FB9"/>
    <w:rsid w:val="000920AB"/>
    <w:rsid w:val="000922DB"/>
    <w:rsid w:val="0009265D"/>
    <w:rsid w:val="000927FA"/>
    <w:rsid w:val="00092A85"/>
    <w:rsid w:val="00092CD2"/>
    <w:rsid w:val="00092FF1"/>
    <w:rsid w:val="0009320A"/>
    <w:rsid w:val="00093233"/>
    <w:rsid w:val="00093678"/>
    <w:rsid w:val="0009391F"/>
    <w:rsid w:val="000939F1"/>
    <w:rsid w:val="00093C74"/>
    <w:rsid w:val="00093FDC"/>
    <w:rsid w:val="0009434D"/>
    <w:rsid w:val="0009464A"/>
    <w:rsid w:val="00094B56"/>
    <w:rsid w:val="00094DEC"/>
    <w:rsid w:val="00095192"/>
    <w:rsid w:val="00095301"/>
    <w:rsid w:val="00095383"/>
    <w:rsid w:val="00095A72"/>
    <w:rsid w:val="00095B24"/>
    <w:rsid w:val="00095BE4"/>
    <w:rsid w:val="00095CE7"/>
    <w:rsid w:val="00095DEA"/>
    <w:rsid w:val="00096079"/>
    <w:rsid w:val="000960FB"/>
    <w:rsid w:val="00096166"/>
    <w:rsid w:val="00096186"/>
    <w:rsid w:val="0009654F"/>
    <w:rsid w:val="0009692B"/>
    <w:rsid w:val="00096A92"/>
    <w:rsid w:val="00096ADA"/>
    <w:rsid w:val="00096B00"/>
    <w:rsid w:val="00096FED"/>
    <w:rsid w:val="00097087"/>
    <w:rsid w:val="00097323"/>
    <w:rsid w:val="00097406"/>
    <w:rsid w:val="000976E3"/>
    <w:rsid w:val="00097890"/>
    <w:rsid w:val="00097AF6"/>
    <w:rsid w:val="00097C4A"/>
    <w:rsid w:val="00097EC4"/>
    <w:rsid w:val="000A01BB"/>
    <w:rsid w:val="000A0630"/>
    <w:rsid w:val="000A06D6"/>
    <w:rsid w:val="000A0769"/>
    <w:rsid w:val="000A081C"/>
    <w:rsid w:val="000A0EA4"/>
    <w:rsid w:val="000A0F1B"/>
    <w:rsid w:val="000A102E"/>
    <w:rsid w:val="000A1080"/>
    <w:rsid w:val="000A10AC"/>
    <w:rsid w:val="000A187F"/>
    <w:rsid w:val="000A19DB"/>
    <w:rsid w:val="000A1C12"/>
    <w:rsid w:val="000A1C5D"/>
    <w:rsid w:val="000A233C"/>
    <w:rsid w:val="000A2426"/>
    <w:rsid w:val="000A2515"/>
    <w:rsid w:val="000A272D"/>
    <w:rsid w:val="000A2908"/>
    <w:rsid w:val="000A2CA6"/>
    <w:rsid w:val="000A2F20"/>
    <w:rsid w:val="000A31F5"/>
    <w:rsid w:val="000A32E2"/>
    <w:rsid w:val="000A3838"/>
    <w:rsid w:val="000A39C8"/>
    <w:rsid w:val="000A3B4D"/>
    <w:rsid w:val="000A3E2A"/>
    <w:rsid w:val="000A3E8C"/>
    <w:rsid w:val="000A44C4"/>
    <w:rsid w:val="000A4650"/>
    <w:rsid w:val="000A4737"/>
    <w:rsid w:val="000A4759"/>
    <w:rsid w:val="000A4CB5"/>
    <w:rsid w:val="000A4DA7"/>
    <w:rsid w:val="000A57B7"/>
    <w:rsid w:val="000A5844"/>
    <w:rsid w:val="000A658B"/>
    <w:rsid w:val="000A661B"/>
    <w:rsid w:val="000A6A41"/>
    <w:rsid w:val="000A6B61"/>
    <w:rsid w:val="000A6DBE"/>
    <w:rsid w:val="000A6FA3"/>
    <w:rsid w:val="000A7678"/>
    <w:rsid w:val="000A77B6"/>
    <w:rsid w:val="000A7993"/>
    <w:rsid w:val="000A7BDE"/>
    <w:rsid w:val="000A7C16"/>
    <w:rsid w:val="000B0002"/>
    <w:rsid w:val="000B01BB"/>
    <w:rsid w:val="000B0CE2"/>
    <w:rsid w:val="000B0D8A"/>
    <w:rsid w:val="000B0F98"/>
    <w:rsid w:val="000B1013"/>
    <w:rsid w:val="000B114B"/>
    <w:rsid w:val="000B16EE"/>
    <w:rsid w:val="000B18CF"/>
    <w:rsid w:val="000B191F"/>
    <w:rsid w:val="000B1C37"/>
    <w:rsid w:val="000B1E07"/>
    <w:rsid w:val="000B26EA"/>
    <w:rsid w:val="000B28E9"/>
    <w:rsid w:val="000B2920"/>
    <w:rsid w:val="000B31BA"/>
    <w:rsid w:val="000B3394"/>
    <w:rsid w:val="000B34DC"/>
    <w:rsid w:val="000B35D7"/>
    <w:rsid w:val="000B367F"/>
    <w:rsid w:val="000B36E7"/>
    <w:rsid w:val="000B36E8"/>
    <w:rsid w:val="000B3727"/>
    <w:rsid w:val="000B379C"/>
    <w:rsid w:val="000B37BD"/>
    <w:rsid w:val="000B386F"/>
    <w:rsid w:val="000B3BD7"/>
    <w:rsid w:val="000B3BDE"/>
    <w:rsid w:val="000B3C49"/>
    <w:rsid w:val="000B3D41"/>
    <w:rsid w:val="000B43C3"/>
    <w:rsid w:val="000B459C"/>
    <w:rsid w:val="000B476D"/>
    <w:rsid w:val="000B47B2"/>
    <w:rsid w:val="000B4992"/>
    <w:rsid w:val="000B4A02"/>
    <w:rsid w:val="000B4D66"/>
    <w:rsid w:val="000B5042"/>
    <w:rsid w:val="000B5400"/>
    <w:rsid w:val="000B5572"/>
    <w:rsid w:val="000B585C"/>
    <w:rsid w:val="000B58FF"/>
    <w:rsid w:val="000B5A2E"/>
    <w:rsid w:val="000B5D07"/>
    <w:rsid w:val="000B5DA6"/>
    <w:rsid w:val="000B60A6"/>
    <w:rsid w:val="000B6318"/>
    <w:rsid w:val="000B63D2"/>
    <w:rsid w:val="000B643F"/>
    <w:rsid w:val="000B6A3C"/>
    <w:rsid w:val="000B6E7C"/>
    <w:rsid w:val="000B6EFF"/>
    <w:rsid w:val="000B6F3C"/>
    <w:rsid w:val="000B704A"/>
    <w:rsid w:val="000B7177"/>
    <w:rsid w:val="000B7405"/>
    <w:rsid w:val="000B766D"/>
    <w:rsid w:val="000B77BC"/>
    <w:rsid w:val="000B7825"/>
    <w:rsid w:val="000B786C"/>
    <w:rsid w:val="000B7F84"/>
    <w:rsid w:val="000C007B"/>
    <w:rsid w:val="000C02E8"/>
    <w:rsid w:val="000C03D1"/>
    <w:rsid w:val="000C0773"/>
    <w:rsid w:val="000C085A"/>
    <w:rsid w:val="000C08C5"/>
    <w:rsid w:val="000C08DE"/>
    <w:rsid w:val="000C0A7E"/>
    <w:rsid w:val="000C0D26"/>
    <w:rsid w:val="000C0DA5"/>
    <w:rsid w:val="000C0E37"/>
    <w:rsid w:val="000C0F5A"/>
    <w:rsid w:val="000C1070"/>
    <w:rsid w:val="000C111B"/>
    <w:rsid w:val="000C11F4"/>
    <w:rsid w:val="000C1871"/>
    <w:rsid w:val="000C1B81"/>
    <w:rsid w:val="000C1F0D"/>
    <w:rsid w:val="000C1F96"/>
    <w:rsid w:val="000C2208"/>
    <w:rsid w:val="000C269D"/>
    <w:rsid w:val="000C27E6"/>
    <w:rsid w:val="000C2918"/>
    <w:rsid w:val="000C2924"/>
    <w:rsid w:val="000C29CD"/>
    <w:rsid w:val="000C2B6A"/>
    <w:rsid w:val="000C2C12"/>
    <w:rsid w:val="000C2E5E"/>
    <w:rsid w:val="000C2EE9"/>
    <w:rsid w:val="000C3019"/>
    <w:rsid w:val="000C31ED"/>
    <w:rsid w:val="000C3312"/>
    <w:rsid w:val="000C3978"/>
    <w:rsid w:val="000C3B60"/>
    <w:rsid w:val="000C3CE3"/>
    <w:rsid w:val="000C3EFB"/>
    <w:rsid w:val="000C43C4"/>
    <w:rsid w:val="000C46DA"/>
    <w:rsid w:val="000C5091"/>
    <w:rsid w:val="000C50C0"/>
    <w:rsid w:val="000C5474"/>
    <w:rsid w:val="000C5618"/>
    <w:rsid w:val="000C56E4"/>
    <w:rsid w:val="000C582C"/>
    <w:rsid w:val="000C5836"/>
    <w:rsid w:val="000C5AEB"/>
    <w:rsid w:val="000C5BE9"/>
    <w:rsid w:val="000C5C4A"/>
    <w:rsid w:val="000C655F"/>
    <w:rsid w:val="000C676C"/>
    <w:rsid w:val="000C6A12"/>
    <w:rsid w:val="000C6B99"/>
    <w:rsid w:val="000C6D52"/>
    <w:rsid w:val="000C6D7A"/>
    <w:rsid w:val="000C6DCC"/>
    <w:rsid w:val="000C6E51"/>
    <w:rsid w:val="000C707F"/>
    <w:rsid w:val="000C7490"/>
    <w:rsid w:val="000C7517"/>
    <w:rsid w:val="000C75C9"/>
    <w:rsid w:val="000C7655"/>
    <w:rsid w:val="000C78F6"/>
    <w:rsid w:val="000C79C2"/>
    <w:rsid w:val="000C79C5"/>
    <w:rsid w:val="000C7A2E"/>
    <w:rsid w:val="000C7EEA"/>
    <w:rsid w:val="000C7F20"/>
    <w:rsid w:val="000D06A1"/>
    <w:rsid w:val="000D06EE"/>
    <w:rsid w:val="000D0905"/>
    <w:rsid w:val="000D0938"/>
    <w:rsid w:val="000D1070"/>
    <w:rsid w:val="000D121B"/>
    <w:rsid w:val="000D13BC"/>
    <w:rsid w:val="000D1465"/>
    <w:rsid w:val="000D14C4"/>
    <w:rsid w:val="000D15F9"/>
    <w:rsid w:val="000D1D36"/>
    <w:rsid w:val="000D20F4"/>
    <w:rsid w:val="000D2166"/>
    <w:rsid w:val="000D251E"/>
    <w:rsid w:val="000D26BD"/>
    <w:rsid w:val="000D279B"/>
    <w:rsid w:val="000D2958"/>
    <w:rsid w:val="000D2A1A"/>
    <w:rsid w:val="000D2DAE"/>
    <w:rsid w:val="000D2E2F"/>
    <w:rsid w:val="000D2F9A"/>
    <w:rsid w:val="000D300B"/>
    <w:rsid w:val="000D303F"/>
    <w:rsid w:val="000D35CF"/>
    <w:rsid w:val="000D3653"/>
    <w:rsid w:val="000D3BBD"/>
    <w:rsid w:val="000D3BF5"/>
    <w:rsid w:val="000D3D12"/>
    <w:rsid w:val="000D3E58"/>
    <w:rsid w:val="000D3E93"/>
    <w:rsid w:val="000D403F"/>
    <w:rsid w:val="000D40DD"/>
    <w:rsid w:val="000D425B"/>
    <w:rsid w:val="000D42A9"/>
    <w:rsid w:val="000D43E0"/>
    <w:rsid w:val="000D484D"/>
    <w:rsid w:val="000D4A4B"/>
    <w:rsid w:val="000D4E71"/>
    <w:rsid w:val="000D4F1E"/>
    <w:rsid w:val="000D4F50"/>
    <w:rsid w:val="000D507E"/>
    <w:rsid w:val="000D51D0"/>
    <w:rsid w:val="000D57E4"/>
    <w:rsid w:val="000D5914"/>
    <w:rsid w:val="000D5A3C"/>
    <w:rsid w:val="000D5B08"/>
    <w:rsid w:val="000D5E66"/>
    <w:rsid w:val="000D6395"/>
    <w:rsid w:val="000D63CC"/>
    <w:rsid w:val="000D653A"/>
    <w:rsid w:val="000D66CF"/>
    <w:rsid w:val="000D6B5B"/>
    <w:rsid w:val="000D6D85"/>
    <w:rsid w:val="000D6D92"/>
    <w:rsid w:val="000D773E"/>
    <w:rsid w:val="000D7768"/>
    <w:rsid w:val="000D77A1"/>
    <w:rsid w:val="000D7955"/>
    <w:rsid w:val="000D799A"/>
    <w:rsid w:val="000D7B5F"/>
    <w:rsid w:val="000E049E"/>
    <w:rsid w:val="000E0A67"/>
    <w:rsid w:val="000E0E99"/>
    <w:rsid w:val="000E108D"/>
    <w:rsid w:val="000E114E"/>
    <w:rsid w:val="000E1263"/>
    <w:rsid w:val="000E1449"/>
    <w:rsid w:val="000E1495"/>
    <w:rsid w:val="000E14E1"/>
    <w:rsid w:val="000E160B"/>
    <w:rsid w:val="000E160D"/>
    <w:rsid w:val="000E1813"/>
    <w:rsid w:val="000E1879"/>
    <w:rsid w:val="000E1EF5"/>
    <w:rsid w:val="000E1FC0"/>
    <w:rsid w:val="000E2028"/>
    <w:rsid w:val="000E22AA"/>
    <w:rsid w:val="000E2493"/>
    <w:rsid w:val="000E24D9"/>
    <w:rsid w:val="000E25FA"/>
    <w:rsid w:val="000E283B"/>
    <w:rsid w:val="000E2B02"/>
    <w:rsid w:val="000E3002"/>
    <w:rsid w:val="000E3333"/>
    <w:rsid w:val="000E35E5"/>
    <w:rsid w:val="000E3BA1"/>
    <w:rsid w:val="000E3C98"/>
    <w:rsid w:val="000E3CDD"/>
    <w:rsid w:val="000E3DC7"/>
    <w:rsid w:val="000E3FDB"/>
    <w:rsid w:val="000E40FC"/>
    <w:rsid w:val="000E440C"/>
    <w:rsid w:val="000E4680"/>
    <w:rsid w:val="000E4812"/>
    <w:rsid w:val="000E4CD5"/>
    <w:rsid w:val="000E4E7B"/>
    <w:rsid w:val="000E4F1A"/>
    <w:rsid w:val="000E5066"/>
    <w:rsid w:val="000E52FF"/>
    <w:rsid w:val="000E5369"/>
    <w:rsid w:val="000E583E"/>
    <w:rsid w:val="000E5967"/>
    <w:rsid w:val="000E5CC2"/>
    <w:rsid w:val="000E5D25"/>
    <w:rsid w:val="000E5F53"/>
    <w:rsid w:val="000E602A"/>
    <w:rsid w:val="000E6D85"/>
    <w:rsid w:val="000E6DDF"/>
    <w:rsid w:val="000E6F4B"/>
    <w:rsid w:val="000E708B"/>
    <w:rsid w:val="000E747A"/>
    <w:rsid w:val="000E76D0"/>
    <w:rsid w:val="000E789F"/>
    <w:rsid w:val="000E7A7B"/>
    <w:rsid w:val="000E7C1F"/>
    <w:rsid w:val="000E7D08"/>
    <w:rsid w:val="000E7FAB"/>
    <w:rsid w:val="000F0328"/>
    <w:rsid w:val="000F0475"/>
    <w:rsid w:val="000F05FC"/>
    <w:rsid w:val="000F07B1"/>
    <w:rsid w:val="000F09D2"/>
    <w:rsid w:val="000F0BAF"/>
    <w:rsid w:val="000F0CF6"/>
    <w:rsid w:val="000F0EDA"/>
    <w:rsid w:val="000F10AF"/>
    <w:rsid w:val="000F1574"/>
    <w:rsid w:val="000F18A0"/>
    <w:rsid w:val="000F1DA2"/>
    <w:rsid w:val="000F1FB4"/>
    <w:rsid w:val="000F2ACB"/>
    <w:rsid w:val="000F2D8B"/>
    <w:rsid w:val="000F3032"/>
    <w:rsid w:val="000F3271"/>
    <w:rsid w:val="000F3402"/>
    <w:rsid w:val="000F384B"/>
    <w:rsid w:val="000F3855"/>
    <w:rsid w:val="000F39C7"/>
    <w:rsid w:val="000F422A"/>
    <w:rsid w:val="000F42EC"/>
    <w:rsid w:val="000F4456"/>
    <w:rsid w:val="000F46B5"/>
    <w:rsid w:val="000F476F"/>
    <w:rsid w:val="000F4770"/>
    <w:rsid w:val="000F47AB"/>
    <w:rsid w:val="000F47C8"/>
    <w:rsid w:val="000F484C"/>
    <w:rsid w:val="000F4913"/>
    <w:rsid w:val="000F49A2"/>
    <w:rsid w:val="000F4C8B"/>
    <w:rsid w:val="000F4D38"/>
    <w:rsid w:val="000F5145"/>
    <w:rsid w:val="000F54E3"/>
    <w:rsid w:val="000F5876"/>
    <w:rsid w:val="000F58AA"/>
    <w:rsid w:val="000F592B"/>
    <w:rsid w:val="000F5A2D"/>
    <w:rsid w:val="000F5D2F"/>
    <w:rsid w:val="000F5FD9"/>
    <w:rsid w:val="000F63CB"/>
    <w:rsid w:val="000F6484"/>
    <w:rsid w:val="000F6520"/>
    <w:rsid w:val="000F6940"/>
    <w:rsid w:val="000F6988"/>
    <w:rsid w:val="000F6A65"/>
    <w:rsid w:val="000F7177"/>
    <w:rsid w:val="000F71AD"/>
    <w:rsid w:val="000F72C8"/>
    <w:rsid w:val="000F75C9"/>
    <w:rsid w:val="000F77BC"/>
    <w:rsid w:val="000F7844"/>
    <w:rsid w:val="000F791B"/>
    <w:rsid w:val="000F7D3D"/>
    <w:rsid w:val="000F7E86"/>
    <w:rsid w:val="000F7F48"/>
    <w:rsid w:val="00100014"/>
    <w:rsid w:val="00100429"/>
    <w:rsid w:val="00100596"/>
    <w:rsid w:val="00100610"/>
    <w:rsid w:val="0010082B"/>
    <w:rsid w:val="00101014"/>
    <w:rsid w:val="00101061"/>
    <w:rsid w:val="0010136C"/>
    <w:rsid w:val="00101541"/>
    <w:rsid w:val="001019F5"/>
    <w:rsid w:val="00101F07"/>
    <w:rsid w:val="001022A7"/>
    <w:rsid w:val="00102397"/>
    <w:rsid w:val="001024A2"/>
    <w:rsid w:val="0010284E"/>
    <w:rsid w:val="00102B06"/>
    <w:rsid w:val="00102D2A"/>
    <w:rsid w:val="00102EED"/>
    <w:rsid w:val="001030CC"/>
    <w:rsid w:val="001031E4"/>
    <w:rsid w:val="00103227"/>
    <w:rsid w:val="00103606"/>
    <w:rsid w:val="00103640"/>
    <w:rsid w:val="001037A6"/>
    <w:rsid w:val="00103BD0"/>
    <w:rsid w:val="00103C9A"/>
    <w:rsid w:val="00103D88"/>
    <w:rsid w:val="00104042"/>
    <w:rsid w:val="001040D5"/>
    <w:rsid w:val="00104312"/>
    <w:rsid w:val="00104A67"/>
    <w:rsid w:val="00104B13"/>
    <w:rsid w:val="00104B5C"/>
    <w:rsid w:val="001054B3"/>
    <w:rsid w:val="001055B3"/>
    <w:rsid w:val="00105916"/>
    <w:rsid w:val="00105C75"/>
    <w:rsid w:val="001060C3"/>
    <w:rsid w:val="001064B4"/>
    <w:rsid w:val="001069A9"/>
    <w:rsid w:val="001071FA"/>
    <w:rsid w:val="001073C3"/>
    <w:rsid w:val="0010758C"/>
    <w:rsid w:val="001075C3"/>
    <w:rsid w:val="001075C9"/>
    <w:rsid w:val="0010761B"/>
    <w:rsid w:val="00107A6E"/>
    <w:rsid w:val="00107BD5"/>
    <w:rsid w:val="00107C58"/>
    <w:rsid w:val="00107D73"/>
    <w:rsid w:val="00107D81"/>
    <w:rsid w:val="00107F89"/>
    <w:rsid w:val="00107FF2"/>
    <w:rsid w:val="00110187"/>
    <w:rsid w:val="00110248"/>
    <w:rsid w:val="0011066C"/>
    <w:rsid w:val="00110930"/>
    <w:rsid w:val="00110D41"/>
    <w:rsid w:val="00110F48"/>
    <w:rsid w:val="00110FBD"/>
    <w:rsid w:val="00111029"/>
    <w:rsid w:val="00111056"/>
    <w:rsid w:val="00111116"/>
    <w:rsid w:val="001112EF"/>
    <w:rsid w:val="0011133D"/>
    <w:rsid w:val="001113DF"/>
    <w:rsid w:val="00111651"/>
    <w:rsid w:val="001117F9"/>
    <w:rsid w:val="00111BDF"/>
    <w:rsid w:val="00111E0B"/>
    <w:rsid w:val="00112052"/>
    <w:rsid w:val="001128B8"/>
    <w:rsid w:val="00112CF6"/>
    <w:rsid w:val="00113441"/>
    <w:rsid w:val="001135D2"/>
    <w:rsid w:val="001137BB"/>
    <w:rsid w:val="001138E2"/>
    <w:rsid w:val="0011393F"/>
    <w:rsid w:val="00113963"/>
    <w:rsid w:val="00113A28"/>
    <w:rsid w:val="00113A60"/>
    <w:rsid w:val="00113ECF"/>
    <w:rsid w:val="001141F9"/>
    <w:rsid w:val="0011445B"/>
    <w:rsid w:val="001149A4"/>
    <w:rsid w:val="00114B1D"/>
    <w:rsid w:val="0011507B"/>
    <w:rsid w:val="00115111"/>
    <w:rsid w:val="001151C5"/>
    <w:rsid w:val="001154D4"/>
    <w:rsid w:val="00115568"/>
    <w:rsid w:val="0011578E"/>
    <w:rsid w:val="0011597E"/>
    <w:rsid w:val="00115ADD"/>
    <w:rsid w:val="00115B55"/>
    <w:rsid w:val="0011604A"/>
    <w:rsid w:val="0011697E"/>
    <w:rsid w:val="001169C2"/>
    <w:rsid w:val="00116EFC"/>
    <w:rsid w:val="0011710C"/>
    <w:rsid w:val="0011729A"/>
    <w:rsid w:val="00117531"/>
    <w:rsid w:val="0011758C"/>
    <w:rsid w:val="001175F2"/>
    <w:rsid w:val="00117742"/>
    <w:rsid w:val="0011783F"/>
    <w:rsid w:val="00117BBC"/>
    <w:rsid w:val="00117BC4"/>
    <w:rsid w:val="00117C99"/>
    <w:rsid w:val="00117D09"/>
    <w:rsid w:val="00117DB5"/>
    <w:rsid w:val="00117FB9"/>
    <w:rsid w:val="001201D9"/>
    <w:rsid w:val="001202BD"/>
    <w:rsid w:val="00120417"/>
    <w:rsid w:val="00120510"/>
    <w:rsid w:val="00120683"/>
    <w:rsid w:val="00120725"/>
    <w:rsid w:val="00120756"/>
    <w:rsid w:val="0012082F"/>
    <w:rsid w:val="0012087A"/>
    <w:rsid w:val="001209C4"/>
    <w:rsid w:val="00120BB4"/>
    <w:rsid w:val="00120C5A"/>
    <w:rsid w:val="0012113C"/>
    <w:rsid w:val="00121224"/>
    <w:rsid w:val="0012123B"/>
    <w:rsid w:val="0012185A"/>
    <w:rsid w:val="00121AA3"/>
    <w:rsid w:val="00121B64"/>
    <w:rsid w:val="00121BF4"/>
    <w:rsid w:val="0012284B"/>
    <w:rsid w:val="00122A34"/>
    <w:rsid w:val="00122C7A"/>
    <w:rsid w:val="00122D3B"/>
    <w:rsid w:val="001231FD"/>
    <w:rsid w:val="00123401"/>
    <w:rsid w:val="00123568"/>
    <w:rsid w:val="001235C2"/>
    <w:rsid w:val="00123B35"/>
    <w:rsid w:val="00123B7E"/>
    <w:rsid w:val="00123E79"/>
    <w:rsid w:val="00124025"/>
    <w:rsid w:val="00124057"/>
    <w:rsid w:val="001240F3"/>
    <w:rsid w:val="00124100"/>
    <w:rsid w:val="001241A3"/>
    <w:rsid w:val="001242D2"/>
    <w:rsid w:val="0012446E"/>
    <w:rsid w:val="001247E5"/>
    <w:rsid w:val="001247F6"/>
    <w:rsid w:val="00125073"/>
    <w:rsid w:val="0012562A"/>
    <w:rsid w:val="00125666"/>
    <w:rsid w:val="001256AA"/>
    <w:rsid w:val="0012590B"/>
    <w:rsid w:val="00125AD8"/>
    <w:rsid w:val="00125D25"/>
    <w:rsid w:val="00125E49"/>
    <w:rsid w:val="00125F74"/>
    <w:rsid w:val="00126AE5"/>
    <w:rsid w:val="00126C56"/>
    <w:rsid w:val="00126EC9"/>
    <w:rsid w:val="0012706A"/>
    <w:rsid w:val="001270C9"/>
    <w:rsid w:val="0012714F"/>
    <w:rsid w:val="00127371"/>
    <w:rsid w:val="0012794D"/>
    <w:rsid w:val="00127B30"/>
    <w:rsid w:val="00130204"/>
    <w:rsid w:val="00130AC8"/>
    <w:rsid w:val="00130C51"/>
    <w:rsid w:val="00130C5B"/>
    <w:rsid w:val="00130FAE"/>
    <w:rsid w:val="00131093"/>
    <w:rsid w:val="00131103"/>
    <w:rsid w:val="00131163"/>
    <w:rsid w:val="001311D6"/>
    <w:rsid w:val="0013141E"/>
    <w:rsid w:val="001314F6"/>
    <w:rsid w:val="0013168F"/>
    <w:rsid w:val="001317E5"/>
    <w:rsid w:val="00131AC8"/>
    <w:rsid w:val="00131CE0"/>
    <w:rsid w:val="00131E0C"/>
    <w:rsid w:val="00132119"/>
    <w:rsid w:val="00132432"/>
    <w:rsid w:val="00132921"/>
    <w:rsid w:val="00132B47"/>
    <w:rsid w:val="00132B7D"/>
    <w:rsid w:val="00132D32"/>
    <w:rsid w:val="00132ECB"/>
    <w:rsid w:val="00133080"/>
    <w:rsid w:val="00133291"/>
    <w:rsid w:val="001334D2"/>
    <w:rsid w:val="0013362D"/>
    <w:rsid w:val="00133661"/>
    <w:rsid w:val="00133760"/>
    <w:rsid w:val="0013389C"/>
    <w:rsid w:val="001339B4"/>
    <w:rsid w:val="00133A11"/>
    <w:rsid w:val="00133DE7"/>
    <w:rsid w:val="00133EEF"/>
    <w:rsid w:val="00133F19"/>
    <w:rsid w:val="00133FA2"/>
    <w:rsid w:val="001341B6"/>
    <w:rsid w:val="00134447"/>
    <w:rsid w:val="00134A3C"/>
    <w:rsid w:val="00134C32"/>
    <w:rsid w:val="00135BBE"/>
    <w:rsid w:val="00135D0D"/>
    <w:rsid w:val="00135D51"/>
    <w:rsid w:val="001360CD"/>
    <w:rsid w:val="001361AC"/>
    <w:rsid w:val="0013629B"/>
    <w:rsid w:val="001362ED"/>
    <w:rsid w:val="00136ACB"/>
    <w:rsid w:val="00136CD2"/>
    <w:rsid w:val="00136FD9"/>
    <w:rsid w:val="00137444"/>
    <w:rsid w:val="0013787A"/>
    <w:rsid w:val="001378B4"/>
    <w:rsid w:val="00137CC3"/>
    <w:rsid w:val="001403FA"/>
    <w:rsid w:val="001408B8"/>
    <w:rsid w:val="00140AA5"/>
    <w:rsid w:val="00140B7A"/>
    <w:rsid w:val="001411E6"/>
    <w:rsid w:val="00141D18"/>
    <w:rsid w:val="00141EFC"/>
    <w:rsid w:val="001421A9"/>
    <w:rsid w:val="001423BA"/>
    <w:rsid w:val="001424A7"/>
    <w:rsid w:val="001427C5"/>
    <w:rsid w:val="001429A1"/>
    <w:rsid w:val="00142B1B"/>
    <w:rsid w:val="00142DAC"/>
    <w:rsid w:val="00142EF5"/>
    <w:rsid w:val="00143025"/>
    <w:rsid w:val="00143550"/>
    <w:rsid w:val="0014375D"/>
    <w:rsid w:val="0014393F"/>
    <w:rsid w:val="00143BB7"/>
    <w:rsid w:val="00143C48"/>
    <w:rsid w:val="00143E1D"/>
    <w:rsid w:val="00144204"/>
    <w:rsid w:val="00144282"/>
    <w:rsid w:val="00144698"/>
    <w:rsid w:val="00144875"/>
    <w:rsid w:val="001448E3"/>
    <w:rsid w:val="00144D16"/>
    <w:rsid w:val="00144DA2"/>
    <w:rsid w:val="00144E3B"/>
    <w:rsid w:val="0014545B"/>
    <w:rsid w:val="001454DB"/>
    <w:rsid w:val="00145532"/>
    <w:rsid w:val="00145A88"/>
    <w:rsid w:val="00145CD5"/>
    <w:rsid w:val="00145E0D"/>
    <w:rsid w:val="00146145"/>
    <w:rsid w:val="00146295"/>
    <w:rsid w:val="00146B82"/>
    <w:rsid w:val="00146CBE"/>
    <w:rsid w:val="00146D2B"/>
    <w:rsid w:val="00146E19"/>
    <w:rsid w:val="00146F50"/>
    <w:rsid w:val="0014703D"/>
    <w:rsid w:val="001470EF"/>
    <w:rsid w:val="0014726A"/>
    <w:rsid w:val="00147414"/>
    <w:rsid w:val="00147491"/>
    <w:rsid w:val="001474CE"/>
    <w:rsid w:val="0014763F"/>
    <w:rsid w:val="001477F2"/>
    <w:rsid w:val="00147EDB"/>
    <w:rsid w:val="00150048"/>
    <w:rsid w:val="001503D4"/>
    <w:rsid w:val="0015042C"/>
    <w:rsid w:val="00150AA3"/>
    <w:rsid w:val="00150B09"/>
    <w:rsid w:val="00150C04"/>
    <w:rsid w:val="00150C9F"/>
    <w:rsid w:val="00150DDF"/>
    <w:rsid w:val="00150F60"/>
    <w:rsid w:val="00151095"/>
    <w:rsid w:val="001513B0"/>
    <w:rsid w:val="00151688"/>
    <w:rsid w:val="001518D9"/>
    <w:rsid w:val="00151943"/>
    <w:rsid w:val="00151DD0"/>
    <w:rsid w:val="00151DD8"/>
    <w:rsid w:val="00151F94"/>
    <w:rsid w:val="0015218E"/>
    <w:rsid w:val="00152504"/>
    <w:rsid w:val="0015260A"/>
    <w:rsid w:val="00152D3D"/>
    <w:rsid w:val="00153185"/>
    <w:rsid w:val="001532A5"/>
    <w:rsid w:val="00153658"/>
    <w:rsid w:val="001537C6"/>
    <w:rsid w:val="00153960"/>
    <w:rsid w:val="00153A58"/>
    <w:rsid w:val="00153BF0"/>
    <w:rsid w:val="00153C6D"/>
    <w:rsid w:val="00153CE0"/>
    <w:rsid w:val="001545C5"/>
    <w:rsid w:val="00154638"/>
    <w:rsid w:val="00154952"/>
    <w:rsid w:val="00154A8D"/>
    <w:rsid w:val="00154E5A"/>
    <w:rsid w:val="00155508"/>
    <w:rsid w:val="00155708"/>
    <w:rsid w:val="00155858"/>
    <w:rsid w:val="0015586B"/>
    <w:rsid w:val="0015599D"/>
    <w:rsid w:val="00155A20"/>
    <w:rsid w:val="00155BE8"/>
    <w:rsid w:val="001562F6"/>
    <w:rsid w:val="001563EF"/>
    <w:rsid w:val="00156428"/>
    <w:rsid w:val="0015643F"/>
    <w:rsid w:val="0015646E"/>
    <w:rsid w:val="00156475"/>
    <w:rsid w:val="00156551"/>
    <w:rsid w:val="00156AB3"/>
    <w:rsid w:val="00156AEA"/>
    <w:rsid w:val="00156FD6"/>
    <w:rsid w:val="00157037"/>
    <w:rsid w:val="001574D7"/>
    <w:rsid w:val="00157BFB"/>
    <w:rsid w:val="00157D97"/>
    <w:rsid w:val="0016023E"/>
    <w:rsid w:val="001603DE"/>
    <w:rsid w:val="00160A59"/>
    <w:rsid w:val="00160D19"/>
    <w:rsid w:val="00160E16"/>
    <w:rsid w:val="00160FD9"/>
    <w:rsid w:val="001612A7"/>
    <w:rsid w:val="00161785"/>
    <w:rsid w:val="00161E21"/>
    <w:rsid w:val="00161EB9"/>
    <w:rsid w:val="00161F7C"/>
    <w:rsid w:val="001623D3"/>
    <w:rsid w:val="0016267A"/>
    <w:rsid w:val="00162686"/>
    <w:rsid w:val="00162933"/>
    <w:rsid w:val="00162A5D"/>
    <w:rsid w:val="00162BDD"/>
    <w:rsid w:val="00162D42"/>
    <w:rsid w:val="001632F9"/>
    <w:rsid w:val="00163503"/>
    <w:rsid w:val="001636AC"/>
    <w:rsid w:val="00163A6B"/>
    <w:rsid w:val="00164199"/>
    <w:rsid w:val="001641A3"/>
    <w:rsid w:val="00164980"/>
    <w:rsid w:val="00165018"/>
    <w:rsid w:val="0016545E"/>
    <w:rsid w:val="0016559D"/>
    <w:rsid w:val="00165643"/>
    <w:rsid w:val="00165657"/>
    <w:rsid w:val="00165A12"/>
    <w:rsid w:val="00166264"/>
    <w:rsid w:val="001669A5"/>
    <w:rsid w:val="00166C98"/>
    <w:rsid w:val="0016713A"/>
    <w:rsid w:val="0016738B"/>
    <w:rsid w:val="00167779"/>
    <w:rsid w:val="00167A6A"/>
    <w:rsid w:val="00167B16"/>
    <w:rsid w:val="00167C41"/>
    <w:rsid w:val="00170154"/>
    <w:rsid w:val="00170242"/>
    <w:rsid w:val="0017062F"/>
    <w:rsid w:val="00170D90"/>
    <w:rsid w:val="00170E6A"/>
    <w:rsid w:val="00171023"/>
    <w:rsid w:val="00171046"/>
    <w:rsid w:val="001711EB"/>
    <w:rsid w:val="0017141D"/>
    <w:rsid w:val="00171447"/>
    <w:rsid w:val="0017146B"/>
    <w:rsid w:val="00171552"/>
    <w:rsid w:val="00171EBA"/>
    <w:rsid w:val="00171F1F"/>
    <w:rsid w:val="00172028"/>
    <w:rsid w:val="0017233E"/>
    <w:rsid w:val="00172C45"/>
    <w:rsid w:val="00172D85"/>
    <w:rsid w:val="00172DB9"/>
    <w:rsid w:val="00172DF4"/>
    <w:rsid w:val="001734D8"/>
    <w:rsid w:val="00173FA4"/>
    <w:rsid w:val="00174333"/>
    <w:rsid w:val="00174591"/>
    <w:rsid w:val="001746D3"/>
    <w:rsid w:val="00174A5D"/>
    <w:rsid w:val="00174C04"/>
    <w:rsid w:val="00175128"/>
    <w:rsid w:val="001751C2"/>
    <w:rsid w:val="00175237"/>
    <w:rsid w:val="0017533E"/>
    <w:rsid w:val="00175356"/>
    <w:rsid w:val="001753FC"/>
    <w:rsid w:val="00175586"/>
    <w:rsid w:val="00175690"/>
    <w:rsid w:val="00175723"/>
    <w:rsid w:val="00175A3E"/>
    <w:rsid w:val="00175D74"/>
    <w:rsid w:val="00175DDC"/>
    <w:rsid w:val="001764DF"/>
    <w:rsid w:val="00176607"/>
    <w:rsid w:val="0017688A"/>
    <w:rsid w:val="00176A42"/>
    <w:rsid w:val="00176DA5"/>
    <w:rsid w:val="00176FA3"/>
    <w:rsid w:val="001773E5"/>
    <w:rsid w:val="00177426"/>
    <w:rsid w:val="00177CA7"/>
    <w:rsid w:val="00177D0D"/>
    <w:rsid w:val="00177D3A"/>
    <w:rsid w:val="00177DA2"/>
    <w:rsid w:val="00180279"/>
    <w:rsid w:val="001805F2"/>
    <w:rsid w:val="0018077B"/>
    <w:rsid w:val="00180901"/>
    <w:rsid w:val="00181228"/>
    <w:rsid w:val="001819E0"/>
    <w:rsid w:val="00181B2B"/>
    <w:rsid w:val="00181B63"/>
    <w:rsid w:val="00181BDD"/>
    <w:rsid w:val="00181EB0"/>
    <w:rsid w:val="0018223B"/>
    <w:rsid w:val="001826E3"/>
    <w:rsid w:val="00182B38"/>
    <w:rsid w:val="0018305E"/>
    <w:rsid w:val="00183202"/>
    <w:rsid w:val="00183275"/>
    <w:rsid w:val="001836A5"/>
    <w:rsid w:val="00183839"/>
    <w:rsid w:val="00183CA1"/>
    <w:rsid w:val="00183DF6"/>
    <w:rsid w:val="00183F1D"/>
    <w:rsid w:val="00183F26"/>
    <w:rsid w:val="0018403A"/>
    <w:rsid w:val="00184066"/>
    <w:rsid w:val="00184148"/>
    <w:rsid w:val="00184760"/>
    <w:rsid w:val="00184A5E"/>
    <w:rsid w:val="00184AC3"/>
    <w:rsid w:val="00184E20"/>
    <w:rsid w:val="00185265"/>
    <w:rsid w:val="00185878"/>
    <w:rsid w:val="00185FB3"/>
    <w:rsid w:val="00186453"/>
    <w:rsid w:val="001864B4"/>
    <w:rsid w:val="00186598"/>
    <w:rsid w:val="00186D01"/>
    <w:rsid w:val="00186EC0"/>
    <w:rsid w:val="0018701C"/>
    <w:rsid w:val="00187586"/>
    <w:rsid w:val="00187781"/>
    <w:rsid w:val="00187B6D"/>
    <w:rsid w:val="00187C8A"/>
    <w:rsid w:val="00190189"/>
    <w:rsid w:val="00190940"/>
    <w:rsid w:val="001909BD"/>
    <w:rsid w:val="00190C36"/>
    <w:rsid w:val="00190E1B"/>
    <w:rsid w:val="00190E4D"/>
    <w:rsid w:val="001911ED"/>
    <w:rsid w:val="001912D0"/>
    <w:rsid w:val="001915E3"/>
    <w:rsid w:val="0019175D"/>
    <w:rsid w:val="001919AF"/>
    <w:rsid w:val="00191B88"/>
    <w:rsid w:val="00191D83"/>
    <w:rsid w:val="00191EE7"/>
    <w:rsid w:val="001921F8"/>
    <w:rsid w:val="001922DF"/>
    <w:rsid w:val="001923A6"/>
    <w:rsid w:val="001927F7"/>
    <w:rsid w:val="00192921"/>
    <w:rsid w:val="00192AC5"/>
    <w:rsid w:val="00192B07"/>
    <w:rsid w:val="00192D2E"/>
    <w:rsid w:val="00192E7A"/>
    <w:rsid w:val="001930DD"/>
    <w:rsid w:val="00193264"/>
    <w:rsid w:val="00193768"/>
    <w:rsid w:val="00193888"/>
    <w:rsid w:val="00193966"/>
    <w:rsid w:val="00193D76"/>
    <w:rsid w:val="00193E4D"/>
    <w:rsid w:val="001940C6"/>
    <w:rsid w:val="00194723"/>
    <w:rsid w:val="001948CB"/>
    <w:rsid w:val="00194D96"/>
    <w:rsid w:val="00195041"/>
    <w:rsid w:val="0019529C"/>
    <w:rsid w:val="00195680"/>
    <w:rsid w:val="001958A5"/>
    <w:rsid w:val="00195A79"/>
    <w:rsid w:val="00195D16"/>
    <w:rsid w:val="00196491"/>
    <w:rsid w:val="00196E88"/>
    <w:rsid w:val="00196F05"/>
    <w:rsid w:val="001970F0"/>
    <w:rsid w:val="001975A5"/>
    <w:rsid w:val="001976A4"/>
    <w:rsid w:val="001977E9"/>
    <w:rsid w:val="00197923"/>
    <w:rsid w:val="00197F13"/>
    <w:rsid w:val="001A0118"/>
    <w:rsid w:val="001A011C"/>
    <w:rsid w:val="001A0227"/>
    <w:rsid w:val="001A058B"/>
    <w:rsid w:val="001A0988"/>
    <w:rsid w:val="001A0B0B"/>
    <w:rsid w:val="001A0D65"/>
    <w:rsid w:val="001A0E1F"/>
    <w:rsid w:val="001A0ED5"/>
    <w:rsid w:val="001A1170"/>
    <w:rsid w:val="001A1341"/>
    <w:rsid w:val="001A16B0"/>
    <w:rsid w:val="001A17DF"/>
    <w:rsid w:val="001A1846"/>
    <w:rsid w:val="001A195A"/>
    <w:rsid w:val="001A1B34"/>
    <w:rsid w:val="001A1FD5"/>
    <w:rsid w:val="001A210A"/>
    <w:rsid w:val="001A2630"/>
    <w:rsid w:val="001A2B63"/>
    <w:rsid w:val="001A2D60"/>
    <w:rsid w:val="001A3481"/>
    <w:rsid w:val="001A3DDA"/>
    <w:rsid w:val="001A3E19"/>
    <w:rsid w:val="001A3EA1"/>
    <w:rsid w:val="001A3ED1"/>
    <w:rsid w:val="001A4861"/>
    <w:rsid w:val="001A4963"/>
    <w:rsid w:val="001A4FD1"/>
    <w:rsid w:val="001A5403"/>
    <w:rsid w:val="001A5557"/>
    <w:rsid w:val="001A556F"/>
    <w:rsid w:val="001A57E3"/>
    <w:rsid w:val="001A695C"/>
    <w:rsid w:val="001A6A4D"/>
    <w:rsid w:val="001A6AE5"/>
    <w:rsid w:val="001A6E36"/>
    <w:rsid w:val="001A7328"/>
    <w:rsid w:val="001A73AF"/>
    <w:rsid w:val="001A7400"/>
    <w:rsid w:val="001A7976"/>
    <w:rsid w:val="001A7D38"/>
    <w:rsid w:val="001B0196"/>
    <w:rsid w:val="001B085A"/>
    <w:rsid w:val="001B0AE4"/>
    <w:rsid w:val="001B0D12"/>
    <w:rsid w:val="001B0FBA"/>
    <w:rsid w:val="001B11A8"/>
    <w:rsid w:val="001B124F"/>
    <w:rsid w:val="001B134D"/>
    <w:rsid w:val="001B186A"/>
    <w:rsid w:val="001B1902"/>
    <w:rsid w:val="001B1E3F"/>
    <w:rsid w:val="001B2349"/>
    <w:rsid w:val="001B27B0"/>
    <w:rsid w:val="001B295B"/>
    <w:rsid w:val="001B333D"/>
    <w:rsid w:val="001B33E5"/>
    <w:rsid w:val="001B3546"/>
    <w:rsid w:val="001B3EDA"/>
    <w:rsid w:val="001B414F"/>
    <w:rsid w:val="001B44BC"/>
    <w:rsid w:val="001B45BA"/>
    <w:rsid w:val="001B4700"/>
    <w:rsid w:val="001B480E"/>
    <w:rsid w:val="001B481C"/>
    <w:rsid w:val="001B4AD7"/>
    <w:rsid w:val="001B4C57"/>
    <w:rsid w:val="001B4D51"/>
    <w:rsid w:val="001B4DED"/>
    <w:rsid w:val="001B4F99"/>
    <w:rsid w:val="001B5478"/>
    <w:rsid w:val="001B56DE"/>
    <w:rsid w:val="001B5954"/>
    <w:rsid w:val="001B598A"/>
    <w:rsid w:val="001B59B4"/>
    <w:rsid w:val="001B5BD9"/>
    <w:rsid w:val="001B5C9F"/>
    <w:rsid w:val="001B5D62"/>
    <w:rsid w:val="001B6088"/>
    <w:rsid w:val="001B6257"/>
    <w:rsid w:val="001B630F"/>
    <w:rsid w:val="001B631D"/>
    <w:rsid w:val="001B63FC"/>
    <w:rsid w:val="001B6724"/>
    <w:rsid w:val="001B6797"/>
    <w:rsid w:val="001B6824"/>
    <w:rsid w:val="001B69EC"/>
    <w:rsid w:val="001B6AC7"/>
    <w:rsid w:val="001B6EEB"/>
    <w:rsid w:val="001B6F06"/>
    <w:rsid w:val="001B7103"/>
    <w:rsid w:val="001B728C"/>
    <w:rsid w:val="001B7419"/>
    <w:rsid w:val="001B7481"/>
    <w:rsid w:val="001B7651"/>
    <w:rsid w:val="001B7C50"/>
    <w:rsid w:val="001B7E21"/>
    <w:rsid w:val="001B7F6A"/>
    <w:rsid w:val="001C0060"/>
    <w:rsid w:val="001C07A7"/>
    <w:rsid w:val="001C07C1"/>
    <w:rsid w:val="001C0B5E"/>
    <w:rsid w:val="001C0CCE"/>
    <w:rsid w:val="001C0D22"/>
    <w:rsid w:val="001C1293"/>
    <w:rsid w:val="001C1300"/>
    <w:rsid w:val="001C1552"/>
    <w:rsid w:val="001C1585"/>
    <w:rsid w:val="001C168D"/>
    <w:rsid w:val="001C1875"/>
    <w:rsid w:val="001C21AF"/>
    <w:rsid w:val="001C22F1"/>
    <w:rsid w:val="001C2470"/>
    <w:rsid w:val="001C24E7"/>
    <w:rsid w:val="001C2597"/>
    <w:rsid w:val="001C28D4"/>
    <w:rsid w:val="001C2D49"/>
    <w:rsid w:val="001C2E32"/>
    <w:rsid w:val="001C2E75"/>
    <w:rsid w:val="001C350A"/>
    <w:rsid w:val="001C35EA"/>
    <w:rsid w:val="001C3627"/>
    <w:rsid w:val="001C389E"/>
    <w:rsid w:val="001C38BC"/>
    <w:rsid w:val="001C395B"/>
    <w:rsid w:val="001C39A7"/>
    <w:rsid w:val="001C3AC0"/>
    <w:rsid w:val="001C3C8F"/>
    <w:rsid w:val="001C3EAA"/>
    <w:rsid w:val="001C3F47"/>
    <w:rsid w:val="001C4269"/>
    <w:rsid w:val="001C45C8"/>
    <w:rsid w:val="001C47DB"/>
    <w:rsid w:val="001C48C7"/>
    <w:rsid w:val="001C4A0B"/>
    <w:rsid w:val="001C4A56"/>
    <w:rsid w:val="001C4BA9"/>
    <w:rsid w:val="001C51B6"/>
    <w:rsid w:val="001C530E"/>
    <w:rsid w:val="001C555C"/>
    <w:rsid w:val="001C5906"/>
    <w:rsid w:val="001C5C23"/>
    <w:rsid w:val="001C605E"/>
    <w:rsid w:val="001C6084"/>
    <w:rsid w:val="001C63CD"/>
    <w:rsid w:val="001C643C"/>
    <w:rsid w:val="001C6468"/>
    <w:rsid w:val="001C65C5"/>
    <w:rsid w:val="001C7126"/>
    <w:rsid w:val="001C74AA"/>
    <w:rsid w:val="001C76A8"/>
    <w:rsid w:val="001C7783"/>
    <w:rsid w:val="001C79D0"/>
    <w:rsid w:val="001D0001"/>
    <w:rsid w:val="001D0051"/>
    <w:rsid w:val="001D0799"/>
    <w:rsid w:val="001D0BCD"/>
    <w:rsid w:val="001D1304"/>
    <w:rsid w:val="001D1750"/>
    <w:rsid w:val="001D1805"/>
    <w:rsid w:val="001D1845"/>
    <w:rsid w:val="001D1977"/>
    <w:rsid w:val="001D1E36"/>
    <w:rsid w:val="001D1FAD"/>
    <w:rsid w:val="001D2497"/>
    <w:rsid w:val="001D25B3"/>
    <w:rsid w:val="001D28CA"/>
    <w:rsid w:val="001D2A3C"/>
    <w:rsid w:val="001D3A1A"/>
    <w:rsid w:val="001D3C36"/>
    <w:rsid w:val="001D417F"/>
    <w:rsid w:val="001D447F"/>
    <w:rsid w:val="001D45BA"/>
    <w:rsid w:val="001D464A"/>
    <w:rsid w:val="001D470D"/>
    <w:rsid w:val="001D4A73"/>
    <w:rsid w:val="001D51B5"/>
    <w:rsid w:val="001D547C"/>
    <w:rsid w:val="001D5641"/>
    <w:rsid w:val="001D5AF1"/>
    <w:rsid w:val="001D5B44"/>
    <w:rsid w:val="001D5C23"/>
    <w:rsid w:val="001D5D49"/>
    <w:rsid w:val="001D5E1E"/>
    <w:rsid w:val="001D5EE3"/>
    <w:rsid w:val="001D61F7"/>
    <w:rsid w:val="001D63F8"/>
    <w:rsid w:val="001D65B9"/>
    <w:rsid w:val="001D6C05"/>
    <w:rsid w:val="001D713A"/>
    <w:rsid w:val="001D7565"/>
    <w:rsid w:val="001D7945"/>
    <w:rsid w:val="001D7DB8"/>
    <w:rsid w:val="001E03C9"/>
    <w:rsid w:val="001E0447"/>
    <w:rsid w:val="001E0512"/>
    <w:rsid w:val="001E07DF"/>
    <w:rsid w:val="001E0939"/>
    <w:rsid w:val="001E09D9"/>
    <w:rsid w:val="001E0DF6"/>
    <w:rsid w:val="001E0F13"/>
    <w:rsid w:val="001E103F"/>
    <w:rsid w:val="001E11B9"/>
    <w:rsid w:val="001E145D"/>
    <w:rsid w:val="001E148D"/>
    <w:rsid w:val="001E15EA"/>
    <w:rsid w:val="001E180C"/>
    <w:rsid w:val="001E1A04"/>
    <w:rsid w:val="001E1B03"/>
    <w:rsid w:val="001E1C7A"/>
    <w:rsid w:val="001E1D4D"/>
    <w:rsid w:val="001E29A0"/>
    <w:rsid w:val="001E2B32"/>
    <w:rsid w:val="001E2B98"/>
    <w:rsid w:val="001E2C4C"/>
    <w:rsid w:val="001E2F20"/>
    <w:rsid w:val="001E312F"/>
    <w:rsid w:val="001E3354"/>
    <w:rsid w:val="001E34CB"/>
    <w:rsid w:val="001E3660"/>
    <w:rsid w:val="001E3692"/>
    <w:rsid w:val="001E39D2"/>
    <w:rsid w:val="001E3E4A"/>
    <w:rsid w:val="001E418C"/>
    <w:rsid w:val="001E4264"/>
    <w:rsid w:val="001E456D"/>
    <w:rsid w:val="001E47A1"/>
    <w:rsid w:val="001E4B4C"/>
    <w:rsid w:val="001E4DA3"/>
    <w:rsid w:val="001E5194"/>
    <w:rsid w:val="001E5391"/>
    <w:rsid w:val="001E561E"/>
    <w:rsid w:val="001E58E6"/>
    <w:rsid w:val="001E5A3A"/>
    <w:rsid w:val="001E5EE1"/>
    <w:rsid w:val="001E6005"/>
    <w:rsid w:val="001E60A0"/>
    <w:rsid w:val="001E61AC"/>
    <w:rsid w:val="001E64CE"/>
    <w:rsid w:val="001E65FE"/>
    <w:rsid w:val="001E6710"/>
    <w:rsid w:val="001E678E"/>
    <w:rsid w:val="001E6982"/>
    <w:rsid w:val="001E6A4B"/>
    <w:rsid w:val="001E6C8C"/>
    <w:rsid w:val="001E6F88"/>
    <w:rsid w:val="001E7015"/>
    <w:rsid w:val="001E714F"/>
    <w:rsid w:val="001E7182"/>
    <w:rsid w:val="001E7677"/>
    <w:rsid w:val="001E7687"/>
    <w:rsid w:val="001E77A3"/>
    <w:rsid w:val="001E7964"/>
    <w:rsid w:val="001E7D0B"/>
    <w:rsid w:val="001E7E76"/>
    <w:rsid w:val="001F03C8"/>
    <w:rsid w:val="001F044E"/>
    <w:rsid w:val="001F0AEC"/>
    <w:rsid w:val="001F0BDC"/>
    <w:rsid w:val="001F0E49"/>
    <w:rsid w:val="001F1575"/>
    <w:rsid w:val="001F15D9"/>
    <w:rsid w:val="001F1691"/>
    <w:rsid w:val="001F1991"/>
    <w:rsid w:val="001F1A2C"/>
    <w:rsid w:val="001F1D32"/>
    <w:rsid w:val="001F1EC4"/>
    <w:rsid w:val="001F1ECD"/>
    <w:rsid w:val="001F1F4F"/>
    <w:rsid w:val="001F237C"/>
    <w:rsid w:val="001F2826"/>
    <w:rsid w:val="001F2D20"/>
    <w:rsid w:val="001F2D34"/>
    <w:rsid w:val="001F3301"/>
    <w:rsid w:val="001F33A9"/>
    <w:rsid w:val="001F36D3"/>
    <w:rsid w:val="001F378B"/>
    <w:rsid w:val="001F39AC"/>
    <w:rsid w:val="001F3C23"/>
    <w:rsid w:val="001F40CB"/>
    <w:rsid w:val="001F417A"/>
    <w:rsid w:val="001F4442"/>
    <w:rsid w:val="001F46AA"/>
    <w:rsid w:val="001F4A01"/>
    <w:rsid w:val="001F4C14"/>
    <w:rsid w:val="001F524A"/>
    <w:rsid w:val="001F52F8"/>
    <w:rsid w:val="001F5549"/>
    <w:rsid w:val="001F5986"/>
    <w:rsid w:val="001F5BF1"/>
    <w:rsid w:val="001F5CE0"/>
    <w:rsid w:val="001F5E84"/>
    <w:rsid w:val="001F5FA0"/>
    <w:rsid w:val="001F60C0"/>
    <w:rsid w:val="001F62C7"/>
    <w:rsid w:val="001F6380"/>
    <w:rsid w:val="001F643F"/>
    <w:rsid w:val="001F64A6"/>
    <w:rsid w:val="001F64B0"/>
    <w:rsid w:val="001F65FD"/>
    <w:rsid w:val="001F676A"/>
    <w:rsid w:val="001F68C9"/>
    <w:rsid w:val="001F6A24"/>
    <w:rsid w:val="001F6C03"/>
    <w:rsid w:val="001F6E6D"/>
    <w:rsid w:val="001F6E8C"/>
    <w:rsid w:val="001F7235"/>
    <w:rsid w:val="001F738B"/>
    <w:rsid w:val="001F7472"/>
    <w:rsid w:val="001F74E7"/>
    <w:rsid w:val="001F7502"/>
    <w:rsid w:val="001F7575"/>
    <w:rsid w:val="001F76D0"/>
    <w:rsid w:val="001F7D8F"/>
    <w:rsid w:val="001F7E81"/>
    <w:rsid w:val="00200241"/>
    <w:rsid w:val="00200250"/>
    <w:rsid w:val="00200B65"/>
    <w:rsid w:val="00200BBD"/>
    <w:rsid w:val="00201519"/>
    <w:rsid w:val="0020156F"/>
    <w:rsid w:val="002015F8"/>
    <w:rsid w:val="00201968"/>
    <w:rsid w:val="00201F85"/>
    <w:rsid w:val="00202169"/>
    <w:rsid w:val="00202316"/>
    <w:rsid w:val="0020247D"/>
    <w:rsid w:val="00202527"/>
    <w:rsid w:val="00202985"/>
    <w:rsid w:val="002029D1"/>
    <w:rsid w:val="00202A43"/>
    <w:rsid w:val="00202AC3"/>
    <w:rsid w:val="00202CE9"/>
    <w:rsid w:val="00202D79"/>
    <w:rsid w:val="00202E71"/>
    <w:rsid w:val="00202F8B"/>
    <w:rsid w:val="00203451"/>
    <w:rsid w:val="0020382D"/>
    <w:rsid w:val="00203996"/>
    <w:rsid w:val="00203EF7"/>
    <w:rsid w:val="002040BE"/>
    <w:rsid w:val="00204281"/>
    <w:rsid w:val="0020431E"/>
    <w:rsid w:val="00204487"/>
    <w:rsid w:val="0020474F"/>
    <w:rsid w:val="002049C0"/>
    <w:rsid w:val="00204A06"/>
    <w:rsid w:val="00204B09"/>
    <w:rsid w:val="0020503E"/>
    <w:rsid w:val="002052C3"/>
    <w:rsid w:val="002052F9"/>
    <w:rsid w:val="00205370"/>
    <w:rsid w:val="00205737"/>
    <w:rsid w:val="00205907"/>
    <w:rsid w:val="00205A2A"/>
    <w:rsid w:val="00205C59"/>
    <w:rsid w:val="00205CE6"/>
    <w:rsid w:val="00205ED4"/>
    <w:rsid w:val="002062BF"/>
    <w:rsid w:val="002065F8"/>
    <w:rsid w:val="0020675F"/>
    <w:rsid w:val="00206B46"/>
    <w:rsid w:val="00206B71"/>
    <w:rsid w:val="00206C01"/>
    <w:rsid w:val="00206E23"/>
    <w:rsid w:val="00207129"/>
    <w:rsid w:val="002071BB"/>
    <w:rsid w:val="0020778F"/>
    <w:rsid w:val="002077A4"/>
    <w:rsid w:val="00207FCB"/>
    <w:rsid w:val="002102E0"/>
    <w:rsid w:val="0021054C"/>
    <w:rsid w:val="00210555"/>
    <w:rsid w:val="002108B1"/>
    <w:rsid w:val="00210A88"/>
    <w:rsid w:val="00210B27"/>
    <w:rsid w:val="00210B85"/>
    <w:rsid w:val="00210DC3"/>
    <w:rsid w:val="00210E1A"/>
    <w:rsid w:val="0021118F"/>
    <w:rsid w:val="002112F2"/>
    <w:rsid w:val="0021145A"/>
    <w:rsid w:val="002115CB"/>
    <w:rsid w:val="002116DB"/>
    <w:rsid w:val="002117A8"/>
    <w:rsid w:val="002117CC"/>
    <w:rsid w:val="00211ACD"/>
    <w:rsid w:val="00211AEA"/>
    <w:rsid w:val="00211E95"/>
    <w:rsid w:val="00211F55"/>
    <w:rsid w:val="00212004"/>
    <w:rsid w:val="002120E7"/>
    <w:rsid w:val="00212541"/>
    <w:rsid w:val="00212BE3"/>
    <w:rsid w:val="00212CC8"/>
    <w:rsid w:val="00212E29"/>
    <w:rsid w:val="00212F5B"/>
    <w:rsid w:val="00213299"/>
    <w:rsid w:val="002133F0"/>
    <w:rsid w:val="00213452"/>
    <w:rsid w:val="00213608"/>
    <w:rsid w:val="00213737"/>
    <w:rsid w:val="00213A73"/>
    <w:rsid w:val="00213AE7"/>
    <w:rsid w:val="00213C3E"/>
    <w:rsid w:val="00213D90"/>
    <w:rsid w:val="00213F00"/>
    <w:rsid w:val="002143F9"/>
    <w:rsid w:val="002146BB"/>
    <w:rsid w:val="00214922"/>
    <w:rsid w:val="00214976"/>
    <w:rsid w:val="00214A1E"/>
    <w:rsid w:val="00214AFD"/>
    <w:rsid w:val="00214B4C"/>
    <w:rsid w:val="00214F5E"/>
    <w:rsid w:val="0021503A"/>
    <w:rsid w:val="0021522A"/>
    <w:rsid w:val="002154C9"/>
    <w:rsid w:val="002158D5"/>
    <w:rsid w:val="00215C13"/>
    <w:rsid w:val="00216328"/>
    <w:rsid w:val="00216CAC"/>
    <w:rsid w:val="00216ED9"/>
    <w:rsid w:val="0021701D"/>
    <w:rsid w:val="002173DE"/>
    <w:rsid w:val="0021753A"/>
    <w:rsid w:val="00217AFB"/>
    <w:rsid w:val="00217BCE"/>
    <w:rsid w:val="00217BDB"/>
    <w:rsid w:val="00217DC8"/>
    <w:rsid w:val="00217DEC"/>
    <w:rsid w:val="00217E88"/>
    <w:rsid w:val="00220224"/>
    <w:rsid w:val="00220F7B"/>
    <w:rsid w:val="0022155C"/>
    <w:rsid w:val="002217A3"/>
    <w:rsid w:val="00221BD5"/>
    <w:rsid w:val="00221BEC"/>
    <w:rsid w:val="002221EA"/>
    <w:rsid w:val="00222955"/>
    <w:rsid w:val="00222A56"/>
    <w:rsid w:val="00222B6D"/>
    <w:rsid w:val="00222D7A"/>
    <w:rsid w:val="00222E6B"/>
    <w:rsid w:val="00222F40"/>
    <w:rsid w:val="002230B2"/>
    <w:rsid w:val="00223346"/>
    <w:rsid w:val="00223398"/>
    <w:rsid w:val="002235DD"/>
    <w:rsid w:val="002236FA"/>
    <w:rsid w:val="00223AE4"/>
    <w:rsid w:val="00223C1D"/>
    <w:rsid w:val="00223FDC"/>
    <w:rsid w:val="002241F4"/>
    <w:rsid w:val="00224654"/>
    <w:rsid w:val="00225080"/>
    <w:rsid w:val="002251F8"/>
    <w:rsid w:val="00225339"/>
    <w:rsid w:val="00225742"/>
    <w:rsid w:val="00225822"/>
    <w:rsid w:val="00225DA8"/>
    <w:rsid w:val="00225F1F"/>
    <w:rsid w:val="00225FD5"/>
    <w:rsid w:val="0022609D"/>
    <w:rsid w:val="0022618D"/>
    <w:rsid w:val="002263BC"/>
    <w:rsid w:val="002264B0"/>
    <w:rsid w:val="00226526"/>
    <w:rsid w:val="00226546"/>
    <w:rsid w:val="002266DE"/>
    <w:rsid w:val="0022671F"/>
    <w:rsid w:val="00226BEA"/>
    <w:rsid w:val="002270E6"/>
    <w:rsid w:val="00227A05"/>
    <w:rsid w:val="00227D1A"/>
    <w:rsid w:val="00227D9C"/>
    <w:rsid w:val="00227F46"/>
    <w:rsid w:val="0023002D"/>
    <w:rsid w:val="0023054D"/>
    <w:rsid w:val="00230606"/>
    <w:rsid w:val="00230D0E"/>
    <w:rsid w:val="00230E5C"/>
    <w:rsid w:val="00230F0B"/>
    <w:rsid w:val="00231034"/>
    <w:rsid w:val="00231101"/>
    <w:rsid w:val="00231195"/>
    <w:rsid w:val="0023132F"/>
    <w:rsid w:val="002315FE"/>
    <w:rsid w:val="00231622"/>
    <w:rsid w:val="00231635"/>
    <w:rsid w:val="00231D36"/>
    <w:rsid w:val="002322E4"/>
    <w:rsid w:val="00232457"/>
    <w:rsid w:val="0023251D"/>
    <w:rsid w:val="00233161"/>
    <w:rsid w:val="0023328A"/>
    <w:rsid w:val="002334AC"/>
    <w:rsid w:val="00233626"/>
    <w:rsid w:val="002339A6"/>
    <w:rsid w:val="00233EEE"/>
    <w:rsid w:val="002340B4"/>
    <w:rsid w:val="002342DF"/>
    <w:rsid w:val="00234614"/>
    <w:rsid w:val="002346E6"/>
    <w:rsid w:val="00234A39"/>
    <w:rsid w:val="00234D5F"/>
    <w:rsid w:val="002352BA"/>
    <w:rsid w:val="00235356"/>
    <w:rsid w:val="00235429"/>
    <w:rsid w:val="00235BA9"/>
    <w:rsid w:val="00235F32"/>
    <w:rsid w:val="00236107"/>
    <w:rsid w:val="002364C2"/>
    <w:rsid w:val="00236979"/>
    <w:rsid w:val="002369E7"/>
    <w:rsid w:val="00236A92"/>
    <w:rsid w:val="00236CCB"/>
    <w:rsid w:val="00236E52"/>
    <w:rsid w:val="00236FF6"/>
    <w:rsid w:val="002371B8"/>
    <w:rsid w:val="002372B8"/>
    <w:rsid w:val="00237526"/>
    <w:rsid w:val="00237926"/>
    <w:rsid w:val="00237C3C"/>
    <w:rsid w:val="00237C7F"/>
    <w:rsid w:val="00237E0D"/>
    <w:rsid w:val="00237F99"/>
    <w:rsid w:val="0024026B"/>
    <w:rsid w:val="0024068D"/>
    <w:rsid w:val="0024081A"/>
    <w:rsid w:val="002408F9"/>
    <w:rsid w:val="00240E92"/>
    <w:rsid w:val="002415B8"/>
    <w:rsid w:val="0024174A"/>
    <w:rsid w:val="00241904"/>
    <w:rsid w:val="002419FB"/>
    <w:rsid w:val="00241C88"/>
    <w:rsid w:val="00241C91"/>
    <w:rsid w:val="00241F35"/>
    <w:rsid w:val="00242220"/>
    <w:rsid w:val="002422DC"/>
    <w:rsid w:val="00242454"/>
    <w:rsid w:val="0024294C"/>
    <w:rsid w:val="00242A2B"/>
    <w:rsid w:val="00242C17"/>
    <w:rsid w:val="00242F93"/>
    <w:rsid w:val="0024324D"/>
    <w:rsid w:val="002438D7"/>
    <w:rsid w:val="00243AF2"/>
    <w:rsid w:val="00243BF8"/>
    <w:rsid w:val="00244462"/>
    <w:rsid w:val="0024497A"/>
    <w:rsid w:val="002451CB"/>
    <w:rsid w:val="0024568A"/>
    <w:rsid w:val="0024580B"/>
    <w:rsid w:val="00245843"/>
    <w:rsid w:val="00245C0E"/>
    <w:rsid w:val="00245FFE"/>
    <w:rsid w:val="00246203"/>
    <w:rsid w:val="0024663B"/>
    <w:rsid w:val="0024663E"/>
    <w:rsid w:val="00246855"/>
    <w:rsid w:val="00246AA6"/>
    <w:rsid w:val="00246CED"/>
    <w:rsid w:val="00246EB5"/>
    <w:rsid w:val="00246EE4"/>
    <w:rsid w:val="002472E4"/>
    <w:rsid w:val="00247669"/>
    <w:rsid w:val="00247AC4"/>
    <w:rsid w:val="00247BA2"/>
    <w:rsid w:val="00247E8F"/>
    <w:rsid w:val="00247EDC"/>
    <w:rsid w:val="002501ED"/>
    <w:rsid w:val="0025036B"/>
    <w:rsid w:val="00250475"/>
    <w:rsid w:val="002506FA"/>
    <w:rsid w:val="002507D8"/>
    <w:rsid w:val="0025094B"/>
    <w:rsid w:val="00250BE9"/>
    <w:rsid w:val="00250EE0"/>
    <w:rsid w:val="002510DF"/>
    <w:rsid w:val="00251148"/>
    <w:rsid w:val="00251DB5"/>
    <w:rsid w:val="00251EC9"/>
    <w:rsid w:val="002520E7"/>
    <w:rsid w:val="002521A9"/>
    <w:rsid w:val="00252490"/>
    <w:rsid w:val="002524ED"/>
    <w:rsid w:val="00252A6D"/>
    <w:rsid w:val="00252C29"/>
    <w:rsid w:val="00252F76"/>
    <w:rsid w:val="002530F0"/>
    <w:rsid w:val="002534D4"/>
    <w:rsid w:val="002539B8"/>
    <w:rsid w:val="00253A86"/>
    <w:rsid w:val="00253B7C"/>
    <w:rsid w:val="00253D21"/>
    <w:rsid w:val="00253DD4"/>
    <w:rsid w:val="002540D9"/>
    <w:rsid w:val="00254446"/>
    <w:rsid w:val="002544E2"/>
    <w:rsid w:val="00254516"/>
    <w:rsid w:val="00254726"/>
    <w:rsid w:val="002549E8"/>
    <w:rsid w:val="00254B75"/>
    <w:rsid w:val="00255533"/>
    <w:rsid w:val="002558AF"/>
    <w:rsid w:val="0025598D"/>
    <w:rsid w:val="00255B88"/>
    <w:rsid w:val="00255CF5"/>
    <w:rsid w:val="0025600A"/>
    <w:rsid w:val="0025631D"/>
    <w:rsid w:val="00256551"/>
    <w:rsid w:val="002565BF"/>
    <w:rsid w:val="00256646"/>
    <w:rsid w:val="00256741"/>
    <w:rsid w:val="00256BCC"/>
    <w:rsid w:val="00256E01"/>
    <w:rsid w:val="0025715C"/>
    <w:rsid w:val="00257268"/>
    <w:rsid w:val="00257968"/>
    <w:rsid w:val="00257EB3"/>
    <w:rsid w:val="00257EDC"/>
    <w:rsid w:val="002602EF"/>
    <w:rsid w:val="002603A3"/>
    <w:rsid w:val="002603D5"/>
    <w:rsid w:val="002606C4"/>
    <w:rsid w:val="00260750"/>
    <w:rsid w:val="00260752"/>
    <w:rsid w:val="002607BD"/>
    <w:rsid w:val="00260BA7"/>
    <w:rsid w:val="002611DA"/>
    <w:rsid w:val="002614AA"/>
    <w:rsid w:val="002614EB"/>
    <w:rsid w:val="002618D0"/>
    <w:rsid w:val="0026190C"/>
    <w:rsid w:val="0026193D"/>
    <w:rsid w:val="002619D9"/>
    <w:rsid w:val="00261AF5"/>
    <w:rsid w:val="00261D68"/>
    <w:rsid w:val="00261DC1"/>
    <w:rsid w:val="00261E44"/>
    <w:rsid w:val="00262767"/>
    <w:rsid w:val="002629AE"/>
    <w:rsid w:val="00262A99"/>
    <w:rsid w:val="00262C28"/>
    <w:rsid w:val="00262EDB"/>
    <w:rsid w:val="00263180"/>
    <w:rsid w:val="002632D7"/>
    <w:rsid w:val="00263316"/>
    <w:rsid w:val="00263344"/>
    <w:rsid w:val="00263536"/>
    <w:rsid w:val="00263933"/>
    <w:rsid w:val="00263CA1"/>
    <w:rsid w:val="00263DED"/>
    <w:rsid w:val="00263F52"/>
    <w:rsid w:val="002642F2"/>
    <w:rsid w:val="002643B4"/>
    <w:rsid w:val="00264409"/>
    <w:rsid w:val="00264867"/>
    <w:rsid w:val="00264C02"/>
    <w:rsid w:val="00264D45"/>
    <w:rsid w:val="00264E9E"/>
    <w:rsid w:val="00265426"/>
    <w:rsid w:val="00265709"/>
    <w:rsid w:val="0026582A"/>
    <w:rsid w:val="00265991"/>
    <w:rsid w:val="00265A51"/>
    <w:rsid w:val="00265B00"/>
    <w:rsid w:val="00265B75"/>
    <w:rsid w:val="00265BE7"/>
    <w:rsid w:val="00265CC4"/>
    <w:rsid w:val="0026607A"/>
    <w:rsid w:val="002669C4"/>
    <w:rsid w:val="00266EAB"/>
    <w:rsid w:val="00266FAF"/>
    <w:rsid w:val="0026705A"/>
    <w:rsid w:val="002670B0"/>
    <w:rsid w:val="00267388"/>
    <w:rsid w:val="00267399"/>
    <w:rsid w:val="00267422"/>
    <w:rsid w:val="002678ED"/>
    <w:rsid w:val="00270247"/>
    <w:rsid w:val="00270678"/>
    <w:rsid w:val="002708D3"/>
    <w:rsid w:val="002709A2"/>
    <w:rsid w:val="00270BD2"/>
    <w:rsid w:val="00270F3B"/>
    <w:rsid w:val="0027138F"/>
    <w:rsid w:val="00271619"/>
    <w:rsid w:val="00271733"/>
    <w:rsid w:val="00271AF3"/>
    <w:rsid w:val="00271C7A"/>
    <w:rsid w:val="00271FCC"/>
    <w:rsid w:val="00272185"/>
    <w:rsid w:val="0027218F"/>
    <w:rsid w:val="0027232C"/>
    <w:rsid w:val="002724A6"/>
    <w:rsid w:val="0027279F"/>
    <w:rsid w:val="00272F2E"/>
    <w:rsid w:val="00272F4B"/>
    <w:rsid w:val="002738CD"/>
    <w:rsid w:val="00273B96"/>
    <w:rsid w:val="00273D6F"/>
    <w:rsid w:val="00273EB9"/>
    <w:rsid w:val="002740D8"/>
    <w:rsid w:val="00274122"/>
    <w:rsid w:val="002741B7"/>
    <w:rsid w:val="00274768"/>
    <w:rsid w:val="00274C0F"/>
    <w:rsid w:val="00274CBE"/>
    <w:rsid w:val="00274E4D"/>
    <w:rsid w:val="00275298"/>
    <w:rsid w:val="0027539B"/>
    <w:rsid w:val="002753A8"/>
    <w:rsid w:val="002755AA"/>
    <w:rsid w:val="002755F6"/>
    <w:rsid w:val="002758FB"/>
    <w:rsid w:val="002759EE"/>
    <w:rsid w:val="00276022"/>
    <w:rsid w:val="00276034"/>
    <w:rsid w:val="0027629F"/>
    <w:rsid w:val="002765D0"/>
    <w:rsid w:val="002767C0"/>
    <w:rsid w:val="00276DD1"/>
    <w:rsid w:val="00276EFF"/>
    <w:rsid w:val="00276F29"/>
    <w:rsid w:val="00276F52"/>
    <w:rsid w:val="00276F8E"/>
    <w:rsid w:val="002770E4"/>
    <w:rsid w:val="0027790E"/>
    <w:rsid w:val="00277FB6"/>
    <w:rsid w:val="00277FBF"/>
    <w:rsid w:val="002802F8"/>
    <w:rsid w:val="0028041F"/>
    <w:rsid w:val="0028088D"/>
    <w:rsid w:val="002808A8"/>
    <w:rsid w:val="00280BB5"/>
    <w:rsid w:val="00280F14"/>
    <w:rsid w:val="00281041"/>
    <w:rsid w:val="00281235"/>
    <w:rsid w:val="0028135A"/>
    <w:rsid w:val="002813B4"/>
    <w:rsid w:val="00281750"/>
    <w:rsid w:val="0028184F"/>
    <w:rsid w:val="00281941"/>
    <w:rsid w:val="00281BE3"/>
    <w:rsid w:val="00282088"/>
    <w:rsid w:val="0028217E"/>
    <w:rsid w:val="00282236"/>
    <w:rsid w:val="002823E7"/>
    <w:rsid w:val="00282628"/>
    <w:rsid w:val="00282A05"/>
    <w:rsid w:val="00282A28"/>
    <w:rsid w:val="00282E59"/>
    <w:rsid w:val="00283177"/>
    <w:rsid w:val="00283183"/>
    <w:rsid w:val="00283763"/>
    <w:rsid w:val="00283A6D"/>
    <w:rsid w:val="00283E67"/>
    <w:rsid w:val="00283E74"/>
    <w:rsid w:val="00284109"/>
    <w:rsid w:val="002847D1"/>
    <w:rsid w:val="00284A84"/>
    <w:rsid w:val="00285074"/>
    <w:rsid w:val="002858F8"/>
    <w:rsid w:val="00285A1C"/>
    <w:rsid w:val="00285C1C"/>
    <w:rsid w:val="00285CCE"/>
    <w:rsid w:val="00285DE5"/>
    <w:rsid w:val="002864A6"/>
    <w:rsid w:val="002864C9"/>
    <w:rsid w:val="00286671"/>
    <w:rsid w:val="00287748"/>
    <w:rsid w:val="0028798F"/>
    <w:rsid w:val="002879F4"/>
    <w:rsid w:val="00287A60"/>
    <w:rsid w:val="00287B8B"/>
    <w:rsid w:val="0029015C"/>
    <w:rsid w:val="002904B0"/>
    <w:rsid w:val="00290629"/>
    <w:rsid w:val="0029065A"/>
    <w:rsid w:val="0029082A"/>
    <w:rsid w:val="00290916"/>
    <w:rsid w:val="00290959"/>
    <w:rsid w:val="0029099F"/>
    <w:rsid w:val="00290B8F"/>
    <w:rsid w:val="00290DB8"/>
    <w:rsid w:val="00290DBE"/>
    <w:rsid w:val="00290F7C"/>
    <w:rsid w:val="0029112A"/>
    <w:rsid w:val="00291232"/>
    <w:rsid w:val="00291244"/>
    <w:rsid w:val="002912FE"/>
    <w:rsid w:val="002914D9"/>
    <w:rsid w:val="0029151F"/>
    <w:rsid w:val="002916CB"/>
    <w:rsid w:val="00291BB5"/>
    <w:rsid w:val="00291D1F"/>
    <w:rsid w:val="00292026"/>
    <w:rsid w:val="00292558"/>
    <w:rsid w:val="002927C2"/>
    <w:rsid w:val="002928C5"/>
    <w:rsid w:val="002929B4"/>
    <w:rsid w:val="00292C12"/>
    <w:rsid w:val="0029319A"/>
    <w:rsid w:val="002932BF"/>
    <w:rsid w:val="00293D5B"/>
    <w:rsid w:val="00293D91"/>
    <w:rsid w:val="00293E98"/>
    <w:rsid w:val="002941D0"/>
    <w:rsid w:val="002942CD"/>
    <w:rsid w:val="00294346"/>
    <w:rsid w:val="002943C6"/>
    <w:rsid w:val="002946CD"/>
    <w:rsid w:val="00294A6D"/>
    <w:rsid w:val="00294B3E"/>
    <w:rsid w:val="00294D2B"/>
    <w:rsid w:val="00294DF5"/>
    <w:rsid w:val="00294EDA"/>
    <w:rsid w:val="00295008"/>
    <w:rsid w:val="0029549C"/>
    <w:rsid w:val="002954D1"/>
    <w:rsid w:val="00295550"/>
    <w:rsid w:val="00295598"/>
    <w:rsid w:val="00295EDB"/>
    <w:rsid w:val="002961E1"/>
    <w:rsid w:val="00296310"/>
    <w:rsid w:val="00296453"/>
    <w:rsid w:val="00296752"/>
    <w:rsid w:val="0029683A"/>
    <w:rsid w:val="00296859"/>
    <w:rsid w:val="00296957"/>
    <w:rsid w:val="00296963"/>
    <w:rsid w:val="00296BEE"/>
    <w:rsid w:val="00296F64"/>
    <w:rsid w:val="00297A38"/>
    <w:rsid w:val="00297A8F"/>
    <w:rsid w:val="00297B67"/>
    <w:rsid w:val="00297CAD"/>
    <w:rsid w:val="00297E4A"/>
    <w:rsid w:val="00297EBC"/>
    <w:rsid w:val="002A02A2"/>
    <w:rsid w:val="002A05D2"/>
    <w:rsid w:val="002A05FB"/>
    <w:rsid w:val="002A08A1"/>
    <w:rsid w:val="002A0C7B"/>
    <w:rsid w:val="002A16D2"/>
    <w:rsid w:val="002A1A76"/>
    <w:rsid w:val="002A1C66"/>
    <w:rsid w:val="002A1E2F"/>
    <w:rsid w:val="002A1E3B"/>
    <w:rsid w:val="002A2091"/>
    <w:rsid w:val="002A241A"/>
    <w:rsid w:val="002A2424"/>
    <w:rsid w:val="002A2584"/>
    <w:rsid w:val="002A26F0"/>
    <w:rsid w:val="002A280B"/>
    <w:rsid w:val="002A2A62"/>
    <w:rsid w:val="002A2B2A"/>
    <w:rsid w:val="002A2D21"/>
    <w:rsid w:val="002A3035"/>
    <w:rsid w:val="002A303D"/>
    <w:rsid w:val="002A3226"/>
    <w:rsid w:val="002A3231"/>
    <w:rsid w:val="002A33F7"/>
    <w:rsid w:val="002A3963"/>
    <w:rsid w:val="002A3D4F"/>
    <w:rsid w:val="002A3E77"/>
    <w:rsid w:val="002A48C5"/>
    <w:rsid w:val="002A4971"/>
    <w:rsid w:val="002A4AD5"/>
    <w:rsid w:val="002A4B1D"/>
    <w:rsid w:val="002A4BFF"/>
    <w:rsid w:val="002A4C1C"/>
    <w:rsid w:val="002A4EE3"/>
    <w:rsid w:val="002A4F1E"/>
    <w:rsid w:val="002A528C"/>
    <w:rsid w:val="002A5377"/>
    <w:rsid w:val="002A5518"/>
    <w:rsid w:val="002A5628"/>
    <w:rsid w:val="002A593D"/>
    <w:rsid w:val="002A59AA"/>
    <w:rsid w:val="002A5EA5"/>
    <w:rsid w:val="002A6031"/>
    <w:rsid w:val="002A66D5"/>
    <w:rsid w:val="002A6D8F"/>
    <w:rsid w:val="002A703D"/>
    <w:rsid w:val="002A70C3"/>
    <w:rsid w:val="002A71AA"/>
    <w:rsid w:val="002A743F"/>
    <w:rsid w:val="002A7444"/>
    <w:rsid w:val="002A7748"/>
    <w:rsid w:val="002A7770"/>
    <w:rsid w:val="002A780E"/>
    <w:rsid w:val="002A780F"/>
    <w:rsid w:val="002A79E4"/>
    <w:rsid w:val="002A7B10"/>
    <w:rsid w:val="002A7BBD"/>
    <w:rsid w:val="002A7CA2"/>
    <w:rsid w:val="002A7E47"/>
    <w:rsid w:val="002B0077"/>
    <w:rsid w:val="002B0242"/>
    <w:rsid w:val="002B0542"/>
    <w:rsid w:val="002B063F"/>
    <w:rsid w:val="002B08D7"/>
    <w:rsid w:val="002B0B83"/>
    <w:rsid w:val="002B0C7A"/>
    <w:rsid w:val="002B0F3E"/>
    <w:rsid w:val="002B14B9"/>
    <w:rsid w:val="002B14FA"/>
    <w:rsid w:val="002B1620"/>
    <w:rsid w:val="002B1656"/>
    <w:rsid w:val="002B1908"/>
    <w:rsid w:val="002B1A44"/>
    <w:rsid w:val="002B1ABC"/>
    <w:rsid w:val="002B1CC1"/>
    <w:rsid w:val="002B2136"/>
    <w:rsid w:val="002B21BE"/>
    <w:rsid w:val="002B2383"/>
    <w:rsid w:val="002B2416"/>
    <w:rsid w:val="002B267C"/>
    <w:rsid w:val="002B282C"/>
    <w:rsid w:val="002B28A6"/>
    <w:rsid w:val="002B294D"/>
    <w:rsid w:val="002B2B69"/>
    <w:rsid w:val="002B2EA4"/>
    <w:rsid w:val="002B2EBD"/>
    <w:rsid w:val="002B3074"/>
    <w:rsid w:val="002B3077"/>
    <w:rsid w:val="002B34AF"/>
    <w:rsid w:val="002B3687"/>
    <w:rsid w:val="002B3707"/>
    <w:rsid w:val="002B3AAA"/>
    <w:rsid w:val="002B3AE1"/>
    <w:rsid w:val="002B3B0E"/>
    <w:rsid w:val="002B3BAF"/>
    <w:rsid w:val="002B462D"/>
    <w:rsid w:val="002B46F0"/>
    <w:rsid w:val="002B4849"/>
    <w:rsid w:val="002B49B5"/>
    <w:rsid w:val="002B4B6C"/>
    <w:rsid w:val="002B4CD6"/>
    <w:rsid w:val="002B4CEF"/>
    <w:rsid w:val="002B4DDE"/>
    <w:rsid w:val="002B50DF"/>
    <w:rsid w:val="002B5366"/>
    <w:rsid w:val="002B5690"/>
    <w:rsid w:val="002B5891"/>
    <w:rsid w:val="002B5A2F"/>
    <w:rsid w:val="002B5AD9"/>
    <w:rsid w:val="002B5E6F"/>
    <w:rsid w:val="002B5FA1"/>
    <w:rsid w:val="002B6072"/>
    <w:rsid w:val="002B624A"/>
    <w:rsid w:val="002B67C8"/>
    <w:rsid w:val="002B69F2"/>
    <w:rsid w:val="002B6C37"/>
    <w:rsid w:val="002B6E6E"/>
    <w:rsid w:val="002B6ECB"/>
    <w:rsid w:val="002B7249"/>
    <w:rsid w:val="002B7297"/>
    <w:rsid w:val="002B774E"/>
    <w:rsid w:val="002B7A0C"/>
    <w:rsid w:val="002B7BDE"/>
    <w:rsid w:val="002B7EFD"/>
    <w:rsid w:val="002C0367"/>
    <w:rsid w:val="002C042C"/>
    <w:rsid w:val="002C05BF"/>
    <w:rsid w:val="002C0A61"/>
    <w:rsid w:val="002C0B78"/>
    <w:rsid w:val="002C0CCD"/>
    <w:rsid w:val="002C0E58"/>
    <w:rsid w:val="002C0E59"/>
    <w:rsid w:val="002C12F5"/>
    <w:rsid w:val="002C1561"/>
    <w:rsid w:val="002C17EC"/>
    <w:rsid w:val="002C1D98"/>
    <w:rsid w:val="002C20FA"/>
    <w:rsid w:val="002C224F"/>
    <w:rsid w:val="002C2265"/>
    <w:rsid w:val="002C2646"/>
    <w:rsid w:val="002C288F"/>
    <w:rsid w:val="002C2937"/>
    <w:rsid w:val="002C2977"/>
    <w:rsid w:val="002C2CBE"/>
    <w:rsid w:val="002C2DD0"/>
    <w:rsid w:val="002C2F72"/>
    <w:rsid w:val="002C326A"/>
    <w:rsid w:val="002C33D6"/>
    <w:rsid w:val="002C3660"/>
    <w:rsid w:val="002C3684"/>
    <w:rsid w:val="002C377F"/>
    <w:rsid w:val="002C3E07"/>
    <w:rsid w:val="002C4195"/>
    <w:rsid w:val="002C41B1"/>
    <w:rsid w:val="002C45D5"/>
    <w:rsid w:val="002C468B"/>
    <w:rsid w:val="002C46E0"/>
    <w:rsid w:val="002C47DF"/>
    <w:rsid w:val="002C4887"/>
    <w:rsid w:val="002C4919"/>
    <w:rsid w:val="002C4941"/>
    <w:rsid w:val="002C4AA3"/>
    <w:rsid w:val="002C4B21"/>
    <w:rsid w:val="002C4BAA"/>
    <w:rsid w:val="002C4BAB"/>
    <w:rsid w:val="002C4D5D"/>
    <w:rsid w:val="002C4F52"/>
    <w:rsid w:val="002C50B4"/>
    <w:rsid w:val="002C5629"/>
    <w:rsid w:val="002C58C2"/>
    <w:rsid w:val="002C5A99"/>
    <w:rsid w:val="002C5B24"/>
    <w:rsid w:val="002C5B78"/>
    <w:rsid w:val="002C5CD6"/>
    <w:rsid w:val="002C6360"/>
    <w:rsid w:val="002C64CE"/>
    <w:rsid w:val="002C6BB3"/>
    <w:rsid w:val="002C7037"/>
    <w:rsid w:val="002C728B"/>
    <w:rsid w:val="002C75B6"/>
    <w:rsid w:val="002C7610"/>
    <w:rsid w:val="002C7AD4"/>
    <w:rsid w:val="002C7C8B"/>
    <w:rsid w:val="002C7D0D"/>
    <w:rsid w:val="002C7EFC"/>
    <w:rsid w:val="002C7FDA"/>
    <w:rsid w:val="002D059E"/>
    <w:rsid w:val="002D064C"/>
    <w:rsid w:val="002D08F3"/>
    <w:rsid w:val="002D0AF4"/>
    <w:rsid w:val="002D0B34"/>
    <w:rsid w:val="002D0EFF"/>
    <w:rsid w:val="002D10A7"/>
    <w:rsid w:val="002D1214"/>
    <w:rsid w:val="002D133B"/>
    <w:rsid w:val="002D1448"/>
    <w:rsid w:val="002D14FB"/>
    <w:rsid w:val="002D15D5"/>
    <w:rsid w:val="002D1DB4"/>
    <w:rsid w:val="002D21DB"/>
    <w:rsid w:val="002D22CA"/>
    <w:rsid w:val="002D2302"/>
    <w:rsid w:val="002D25C6"/>
    <w:rsid w:val="002D2957"/>
    <w:rsid w:val="002D2A56"/>
    <w:rsid w:val="002D2A9A"/>
    <w:rsid w:val="002D376B"/>
    <w:rsid w:val="002D380B"/>
    <w:rsid w:val="002D3A8D"/>
    <w:rsid w:val="002D3DEB"/>
    <w:rsid w:val="002D3F5B"/>
    <w:rsid w:val="002D410C"/>
    <w:rsid w:val="002D4156"/>
    <w:rsid w:val="002D45C3"/>
    <w:rsid w:val="002D46C8"/>
    <w:rsid w:val="002D4BEE"/>
    <w:rsid w:val="002D4CE4"/>
    <w:rsid w:val="002D503D"/>
    <w:rsid w:val="002D5145"/>
    <w:rsid w:val="002D5215"/>
    <w:rsid w:val="002D53EA"/>
    <w:rsid w:val="002D5549"/>
    <w:rsid w:val="002D55F7"/>
    <w:rsid w:val="002D5AD6"/>
    <w:rsid w:val="002D5B0C"/>
    <w:rsid w:val="002D5BE0"/>
    <w:rsid w:val="002D5D8A"/>
    <w:rsid w:val="002D6069"/>
    <w:rsid w:val="002D6228"/>
    <w:rsid w:val="002D642B"/>
    <w:rsid w:val="002D65E2"/>
    <w:rsid w:val="002D6868"/>
    <w:rsid w:val="002D689A"/>
    <w:rsid w:val="002D6CD5"/>
    <w:rsid w:val="002D6DBA"/>
    <w:rsid w:val="002D752C"/>
    <w:rsid w:val="002D7CFE"/>
    <w:rsid w:val="002D7DAE"/>
    <w:rsid w:val="002D7DDA"/>
    <w:rsid w:val="002D7DEA"/>
    <w:rsid w:val="002E05FF"/>
    <w:rsid w:val="002E0A34"/>
    <w:rsid w:val="002E0C04"/>
    <w:rsid w:val="002E0EC6"/>
    <w:rsid w:val="002E0F69"/>
    <w:rsid w:val="002E12EB"/>
    <w:rsid w:val="002E1482"/>
    <w:rsid w:val="002E1621"/>
    <w:rsid w:val="002E190D"/>
    <w:rsid w:val="002E1E82"/>
    <w:rsid w:val="002E21C1"/>
    <w:rsid w:val="002E23EB"/>
    <w:rsid w:val="002E26DF"/>
    <w:rsid w:val="002E287A"/>
    <w:rsid w:val="002E2A76"/>
    <w:rsid w:val="002E2A93"/>
    <w:rsid w:val="002E2F17"/>
    <w:rsid w:val="002E35A1"/>
    <w:rsid w:val="002E3669"/>
    <w:rsid w:val="002E38F4"/>
    <w:rsid w:val="002E3903"/>
    <w:rsid w:val="002E3BA3"/>
    <w:rsid w:val="002E3CD4"/>
    <w:rsid w:val="002E3D1D"/>
    <w:rsid w:val="002E4327"/>
    <w:rsid w:val="002E4849"/>
    <w:rsid w:val="002E48B1"/>
    <w:rsid w:val="002E4CFA"/>
    <w:rsid w:val="002E4D47"/>
    <w:rsid w:val="002E4D84"/>
    <w:rsid w:val="002E4FF0"/>
    <w:rsid w:val="002E50BD"/>
    <w:rsid w:val="002E5831"/>
    <w:rsid w:val="002E5BCA"/>
    <w:rsid w:val="002E5D1A"/>
    <w:rsid w:val="002E5DDE"/>
    <w:rsid w:val="002E5E35"/>
    <w:rsid w:val="002E64D1"/>
    <w:rsid w:val="002E673B"/>
    <w:rsid w:val="002E6766"/>
    <w:rsid w:val="002E68F6"/>
    <w:rsid w:val="002E6AC3"/>
    <w:rsid w:val="002E6D69"/>
    <w:rsid w:val="002E6E11"/>
    <w:rsid w:val="002E6FB0"/>
    <w:rsid w:val="002E6FD0"/>
    <w:rsid w:val="002E70B2"/>
    <w:rsid w:val="002E71C2"/>
    <w:rsid w:val="002E73A9"/>
    <w:rsid w:val="002E75FB"/>
    <w:rsid w:val="002E77B9"/>
    <w:rsid w:val="002E78BC"/>
    <w:rsid w:val="002E7C09"/>
    <w:rsid w:val="002E7C4A"/>
    <w:rsid w:val="002F0363"/>
    <w:rsid w:val="002F0526"/>
    <w:rsid w:val="002F060A"/>
    <w:rsid w:val="002F0984"/>
    <w:rsid w:val="002F0C3F"/>
    <w:rsid w:val="002F0E8C"/>
    <w:rsid w:val="002F1661"/>
    <w:rsid w:val="002F1828"/>
    <w:rsid w:val="002F1AC8"/>
    <w:rsid w:val="002F1BF0"/>
    <w:rsid w:val="002F1D91"/>
    <w:rsid w:val="002F28B8"/>
    <w:rsid w:val="002F2B06"/>
    <w:rsid w:val="002F2FFF"/>
    <w:rsid w:val="002F3053"/>
    <w:rsid w:val="002F34ED"/>
    <w:rsid w:val="002F35AF"/>
    <w:rsid w:val="002F3785"/>
    <w:rsid w:val="002F3961"/>
    <w:rsid w:val="002F3B33"/>
    <w:rsid w:val="002F3E75"/>
    <w:rsid w:val="002F3F78"/>
    <w:rsid w:val="002F4054"/>
    <w:rsid w:val="002F45A2"/>
    <w:rsid w:val="002F46A8"/>
    <w:rsid w:val="002F47FD"/>
    <w:rsid w:val="002F49E0"/>
    <w:rsid w:val="002F4B26"/>
    <w:rsid w:val="002F5295"/>
    <w:rsid w:val="002F5A52"/>
    <w:rsid w:val="002F5C5B"/>
    <w:rsid w:val="002F5D7C"/>
    <w:rsid w:val="002F5EDD"/>
    <w:rsid w:val="002F6011"/>
    <w:rsid w:val="002F6138"/>
    <w:rsid w:val="002F62E0"/>
    <w:rsid w:val="002F6463"/>
    <w:rsid w:val="002F69A5"/>
    <w:rsid w:val="002F6AEA"/>
    <w:rsid w:val="002F6BAC"/>
    <w:rsid w:val="002F70B9"/>
    <w:rsid w:val="002F7458"/>
    <w:rsid w:val="002F74FD"/>
    <w:rsid w:val="002F759C"/>
    <w:rsid w:val="002F778F"/>
    <w:rsid w:val="002F7CBC"/>
    <w:rsid w:val="002F7DAA"/>
    <w:rsid w:val="002F7FEC"/>
    <w:rsid w:val="0030021C"/>
    <w:rsid w:val="00300587"/>
    <w:rsid w:val="00300827"/>
    <w:rsid w:val="00300A2A"/>
    <w:rsid w:val="003010C6"/>
    <w:rsid w:val="003015AA"/>
    <w:rsid w:val="003015BD"/>
    <w:rsid w:val="0030183D"/>
    <w:rsid w:val="00301A31"/>
    <w:rsid w:val="00301C29"/>
    <w:rsid w:val="00301CFD"/>
    <w:rsid w:val="00301D3E"/>
    <w:rsid w:val="00301D77"/>
    <w:rsid w:val="00301D80"/>
    <w:rsid w:val="00302122"/>
    <w:rsid w:val="003022F1"/>
    <w:rsid w:val="00302388"/>
    <w:rsid w:val="0030246A"/>
    <w:rsid w:val="003024AD"/>
    <w:rsid w:val="00303175"/>
    <w:rsid w:val="00303453"/>
    <w:rsid w:val="00303501"/>
    <w:rsid w:val="003035DB"/>
    <w:rsid w:val="003038E9"/>
    <w:rsid w:val="003039C9"/>
    <w:rsid w:val="00303D6D"/>
    <w:rsid w:val="00303F01"/>
    <w:rsid w:val="00304087"/>
    <w:rsid w:val="003043DD"/>
    <w:rsid w:val="003043EE"/>
    <w:rsid w:val="00304741"/>
    <w:rsid w:val="00304A35"/>
    <w:rsid w:val="00304C2E"/>
    <w:rsid w:val="003052BF"/>
    <w:rsid w:val="00305765"/>
    <w:rsid w:val="0030583F"/>
    <w:rsid w:val="00305B38"/>
    <w:rsid w:val="00306078"/>
    <w:rsid w:val="003060C8"/>
    <w:rsid w:val="0030663C"/>
    <w:rsid w:val="0030672B"/>
    <w:rsid w:val="00307110"/>
    <w:rsid w:val="00307144"/>
    <w:rsid w:val="0030718E"/>
    <w:rsid w:val="003074FF"/>
    <w:rsid w:val="00307B3E"/>
    <w:rsid w:val="00307F5A"/>
    <w:rsid w:val="003101F7"/>
    <w:rsid w:val="003102E9"/>
    <w:rsid w:val="00310595"/>
    <w:rsid w:val="003105AE"/>
    <w:rsid w:val="003106E4"/>
    <w:rsid w:val="00310DDB"/>
    <w:rsid w:val="00310F42"/>
    <w:rsid w:val="003112A3"/>
    <w:rsid w:val="0031134A"/>
    <w:rsid w:val="0031173A"/>
    <w:rsid w:val="00311A6E"/>
    <w:rsid w:val="00311C00"/>
    <w:rsid w:val="00311E68"/>
    <w:rsid w:val="00311F64"/>
    <w:rsid w:val="00312399"/>
    <w:rsid w:val="003125F3"/>
    <w:rsid w:val="0031282F"/>
    <w:rsid w:val="00312B1C"/>
    <w:rsid w:val="00312F25"/>
    <w:rsid w:val="00312FE9"/>
    <w:rsid w:val="00313042"/>
    <w:rsid w:val="00313144"/>
    <w:rsid w:val="00313311"/>
    <w:rsid w:val="00313382"/>
    <w:rsid w:val="00313566"/>
    <w:rsid w:val="003138F6"/>
    <w:rsid w:val="003138FE"/>
    <w:rsid w:val="003139AE"/>
    <w:rsid w:val="00313BE1"/>
    <w:rsid w:val="00313C8D"/>
    <w:rsid w:val="00313CDF"/>
    <w:rsid w:val="00313D26"/>
    <w:rsid w:val="00313F5E"/>
    <w:rsid w:val="00313FE3"/>
    <w:rsid w:val="00314184"/>
    <w:rsid w:val="003145D3"/>
    <w:rsid w:val="003145E1"/>
    <w:rsid w:val="003145EB"/>
    <w:rsid w:val="00314AE3"/>
    <w:rsid w:val="00314BEA"/>
    <w:rsid w:val="00314CD3"/>
    <w:rsid w:val="00315548"/>
    <w:rsid w:val="00315937"/>
    <w:rsid w:val="00315CB5"/>
    <w:rsid w:val="003160EB"/>
    <w:rsid w:val="00316157"/>
    <w:rsid w:val="003161E1"/>
    <w:rsid w:val="00316341"/>
    <w:rsid w:val="003163C6"/>
    <w:rsid w:val="0031648D"/>
    <w:rsid w:val="003164BA"/>
    <w:rsid w:val="00316786"/>
    <w:rsid w:val="003167B8"/>
    <w:rsid w:val="00316C78"/>
    <w:rsid w:val="00316E39"/>
    <w:rsid w:val="00317023"/>
    <w:rsid w:val="00317272"/>
    <w:rsid w:val="00317B17"/>
    <w:rsid w:val="00317EBD"/>
    <w:rsid w:val="00320029"/>
    <w:rsid w:val="00320131"/>
    <w:rsid w:val="00320498"/>
    <w:rsid w:val="00320601"/>
    <w:rsid w:val="003207AD"/>
    <w:rsid w:val="003209AD"/>
    <w:rsid w:val="003209B0"/>
    <w:rsid w:val="00321057"/>
    <w:rsid w:val="0032108C"/>
    <w:rsid w:val="003212CE"/>
    <w:rsid w:val="003213B4"/>
    <w:rsid w:val="00321611"/>
    <w:rsid w:val="003216AB"/>
    <w:rsid w:val="00321748"/>
    <w:rsid w:val="003219F3"/>
    <w:rsid w:val="00321B6A"/>
    <w:rsid w:val="00321CD7"/>
    <w:rsid w:val="00321E2B"/>
    <w:rsid w:val="00322158"/>
    <w:rsid w:val="00322178"/>
    <w:rsid w:val="00322356"/>
    <w:rsid w:val="003223FC"/>
    <w:rsid w:val="0032268E"/>
    <w:rsid w:val="00322964"/>
    <w:rsid w:val="00322DE3"/>
    <w:rsid w:val="00322FAB"/>
    <w:rsid w:val="003230A5"/>
    <w:rsid w:val="00323371"/>
    <w:rsid w:val="00323AB7"/>
    <w:rsid w:val="00323B40"/>
    <w:rsid w:val="0032454E"/>
    <w:rsid w:val="0032468A"/>
    <w:rsid w:val="00324717"/>
    <w:rsid w:val="003248C3"/>
    <w:rsid w:val="00324A46"/>
    <w:rsid w:val="00324AE1"/>
    <w:rsid w:val="00324B7D"/>
    <w:rsid w:val="00324BDD"/>
    <w:rsid w:val="00324D7D"/>
    <w:rsid w:val="00324D8A"/>
    <w:rsid w:val="00324DEB"/>
    <w:rsid w:val="0032589E"/>
    <w:rsid w:val="00325D27"/>
    <w:rsid w:val="00325EAE"/>
    <w:rsid w:val="00326248"/>
    <w:rsid w:val="00326264"/>
    <w:rsid w:val="003262B2"/>
    <w:rsid w:val="00326308"/>
    <w:rsid w:val="00326315"/>
    <w:rsid w:val="0032661B"/>
    <w:rsid w:val="00326A3B"/>
    <w:rsid w:val="00326C1C"/>
    <w:rsid w:val="00326E36"/>
    <w:rsid w:val="00327160"/>
    <w:rsid w:val="00327223"/>
    <w:rsid w:val="003273BB"/>
    <w:rsid w:val="00327439"/>
    <w:rsid w:val="00327715"/>
    <w:rsid w:val="00327AF2"/>
    <w:rsid w:val="00327B36"/>
    <w:rsid w:val="003300DE"/>
    <w:rsid w:val="00330325"/>
    <w:rsid w:val="00330426"/>
    <w:rsid w:val="00330628"/>
    <w:rsid w:val="00330663"/>
    <w:rsid w:val="00330987"/>
    <w:rsid w:val="00330E51"/>
    <w:rsid w:val="00330EEF"/>
    <w:rsid w:val="00331244"/>
    <w:rsid w:val="003312AA"/>
    <w:rsid w:val="00331351"/>
    <w:rsid w:val="00331497"/>
    <w:rsid w:val="00331590"/>
    <w:rsid w:val="00331907"/>
    <w:rsid w:val="00331CC5"/>
    <w:rsid w:val="00331DB7"/>
    <w:rsid w:val="003321F6"/>
    <w:rsid w:val="0033243F"/>
    <w:rsid w:val="003325EE"/>
    <w:rsid w:val="003325F9"/>
    <w:rsid w:val="00332686"/>
    <w:rsid w:val="00332CFC"/>
    <w:rsid w:val="00333051"/>
    <w:rsid w:val="003330F2"/>
    <w:rsid w:val="00333635"/>
    <w:rsid w:val="003339E3"/>
    <w:rsid w:val="00333AA8"/>
    <w:rsid w:val="00333DB2"/>
    <w:rsid w:val="00334057"/>
    <w:rsid w:val="0033411E"/>
    <w:rsid w:val="00334254"/>
    <w:rsid w:val="00334565"/>
    <w:rsid w:val="003347E4"/>
    <w:rsid w:val="0033498E"/>
    <w:rsid w:val="00334A3D"/>
    <w:rsid w:val="00334BCD"/>
    <w:rsid w:val="00334C43"/>
    <w:rsid w:val="00334E7E"/>
    <w:rsid w:val="00334FF7"/>
    <w:rsid w:val="00335158"/>
    <w:rsid w:val="00335969"/>
    <w:rsid w:val="00335A0F"/>
    <w:rsid w:val="00335BEF"/>
    <w:rsid w:val="00336279"/>
    <w:rsid w:val="00336A26"/>
    <w:rsid w:val="00336EAD"/>
    <w:rsid w:val="0033711C"/>
    <w:rsid w:val="00337167"/>
    <w:rsid w:val="00337360"/>
    <w:rsid w:val="00337534"/>
    <w:rsid w:val="003379FA"/>
    <w:rsid w:val="00337A92"/>
    <w:rsid w:val="00337DB8"/>
    <w:rsid w:val="00337E7C"/>
    <w:rsid w:val="00340062"/>
    <w:rsid w:val="00340787"/>
    <w:rsid w:val="00340845"/>
    <w:rsid w:val="00340937"/>
    <w:rsid w:val="00340AA2"/>
    <w:rsid w:val="00340DCB"/>
    <w:rsid w:val="00340ED6"/>
    <w:rsid w:val="003411E3"/>
    <w:rsid w:val="003413F0"/>
    <w:rsid w:val="003413F9"/>
    <w:rsid w:val="00341804"/>
    <w:rsid w:val="003418BA"/>
    <w:rsid w:val="00341AB4"/>
    <w:rsid w:val="00341AE1"/>
    <w:rsid w:val="00341B4D"/>
    <w:rsid w:val="00341B60"/>
    <w:rsid w:val="00341BB3"/>
    <w:rsid w:val="00341C5C"/>
    <w:rsid w:val="00341CBE"/>
    <w:rsid w:val="00342078"/>
    <w:rsid w:val="003422CF"/>
    <w:rsid w:val="003423DB"/>
    <w:rsid w:val="00342666"/>
    <w:rsid w:val="0034274E"/>
    <w:rsid w:val="003428A6"/>
    <w:rsid w:val="00343026"/>
    <w:rsid w:val="00343E5C"/>
    <w:rsid w:val="00343F1B"/>
    <w:rsid w:val="0034445F"/>
    <w:rsid w:val="0034471B"/>
    <w:rsid w:val="003447E9"/>
    <w:rsid w:val="003449EA"/>
    <w:rsid w:val="00344A03"/>
    <w:rsid w:val="00344B37"/>
    <w:rsid w:val="00344B81"/>
    <w:rsid w:val="00344DC4"/>
    <w:rsid w:val="0034519E"/>
    <w:rsid w:val="00345402"/>
    <w:rsid w:val="0034551A"/>
    <w:rsid w:val="0034558B"/>
    <w:rsid w:val="003455EB"/>
    <w:rsid w:val="003458FA"/>
    <w:rsid w:val="00345C14"/>
    <w:rsid w:val="00345C6E"/>
    <w:rsid w:val="00345D6B"/>
    <w:rsid w:val="00345DC9"/>
    <w:rsid w:val="00345E9F"/>
    <w:rsid w:val="00345ED8"/>
    <w:rsid w:val="00346047"/>
    <w:rsid w:val="00346236"/>
    <w:rsid w:val="0034623B"/>
    <w:rsid w:val="00346259"/>
    <w:rsid w:val="003466BC"/>
    <w:rsid w:val="00346870"/>
    <w:rsid w:val="00346D72"/>
    <w:rsid w:val="00346F69"/>
    <w:rsid w:val="00347310"/>
    <w:rsid w:val="00350203"/>
    <w:rsid w:val="003503DA"/>
    <w:rsid w:val="0035055B"/>
    <w:rsid w:val="003506E5"/>
    <w:rsid w:val="00350AC3"/>
    <w:rsid w:val="00350ACB"/>
    <w:rsid w:val="00350D31"/>
    <w:rsid w:val="003515EE"/>
    <w:rsid w:val="003516CE"/>
    <w:rsid w:val="003517ED"/>
    <w:rsid w:val="00351980"/>
    <w:rsid w:val="00351C15"/>
    <w:rsid w:val="00351C1D"/>
    <w:rsid w:val="003526F1"/>
    <w:rsid w:val="00352819"/>
    <w:rsid w:val="003528D7"/>
    <w:rsid w:val="003529B2"/>
    <w:rsid w:val="00352B8F"/>
    <w:rsid w:val="0035305D"/>
    <w:rsid w:val="00353085"/>
    <w:rsid w:val="00353104"/>
    <w:rsid w:val="003535AD"/>
    <w:rsid w:val="0035376D"/>
    <w:rsid w:val="003538CE"/>
    <w:rsid w:val="00353C14"/>
    <w:rsid w:val="00353CD2"/>
    <w:rsid w:val="0035439D"/>
    <w:rsid w:val="00354747"/>
    <w:rsid w:val="00354C3A"/>
    <w:rsid w:val="00354E21"/>
    <w:rsid w:val="003554F3"/>
    <w:rsid w:val="003556DE"/>
    <w:rsid w:val="0035588A"/>
    <w:rsid w:val="00355925"/>
    <w:rsid w:val="00355C38"/>
    <w:rsid w:val="00355E83"/>
    <w:rsid w:val="00355FCC"/>
    <w:rsid w:val="00355FCF"/>
    <w:rsid w:val="0035605F"/>
    <w:rsid w:val="0035611B"/>
    <w:rsid w:val="0035614A"/>
    <w:rsid w:val="0035629B"/>
    <w:rsid w:val="0035643A"/>
    <w:rsid w:val="00356659"/>
    <w:rsid w:val="003567A9"/>
    <w:rsid w:val="00356F10"/>
    <w:rsid w:val="0035710C"/>
    <w:rsid w:val="003571F9"/>
    <w:rsid w:val="00357306"/>
    <w:rsid w:val="003574AB"/>
    <w:rsid w:val="00357925"/>
    <w:rsid w:val="0035794B"/>
    <w:rsid w:val="00357AB3"/>
    <w:rsid w:val="00357ADE"/>
    <w:rsid w:val="00357B46"/>
    <w:rsid w:val="00357D71"/>
    <w:rsid w:val="00357DBD"/>
    <w:rsid w:val="0036004D"/>
    <w:rsid w:val="003602CA"/>
    <w:rsid w:val="0036061B"/>
    <w:rsid w:val="00360A45"/>
    <w:rsid w:val="0036113E"/>
    <w:rsid w:val="00361445"/>
    <w:rsid w:val="003616E1"/>
    <w:rsid w:val="003618AB"/>
    <w:rsid w:val="00361B75"/>
    <w:rsid w:val="00361BC9"/>
    <w:rsid w:val="00361C7F"/>
    <w:rsid w:val="00361CB3"/>
    <w:rsid w:val="0036207A"/>
    <w:rsid w:val="003620CE"/>
    <w:rsid w:val="00362197"/>
    <w:rsid w:val="003622C5"/>
    <w:rsid w:val="0036279E"/>
    <w:rsid w:val="00362A85"/>
    <w:rsid w:val="00362AFF"/>
    <w:rsid w:val="00362C3E"/>
    <w:rsid w:val="00362E5E"/>
    <w:rsid w:val="0036315D"/>
    <w:rsid w:val="003631B0"/>
    <w:rsid w:val="00363210"/>
    <w:rsid w:val="0036323A"/>
    <w:rsid w:val="0036324A"/>
    <w:rsid w:val="003633B4"/>
    <w:rsid w:val="00363484"/>
    <w:rsid w:val="003635C1"/>
    <w:rsid w:val="003636AA"/>
    <w:rsid w:val="00363A55"/>
    <w:rsid w:val="00363C06"/>
    <w:rsid w:val="00363C4E"/>
    <w:rsid w:val="00363D04"/>
    <w:rsid w:val="00363F4D"/>
    <w:rsid w:val="00364428"/>
    <w:rsid w:val="00364548"/>
    <w:rsid w:val="0036461A"/>
    <w:rsid w:val="00364712"/>
    <w:rsid w:val="00364C11"/>
    <w:rsid w:val="00365057"/>
    <w:rsid w:val="0036521E"/>
    <w:rsid w:val="00365242"/>
    <w:rsid w:val="0036528A"/>
    <w:rsid w:val="00365744"/>
    <w:rsid w:val="003657F4"/>
    <w:rsid w:val="00365C87"/>
    <w:rsid w:val="00365FF0"/>
    <w:rsid w:val="003660A0"/>
    <w:rsid w:val="0036651B"/>
    <w:rsid w:val="00366A95"/>
    <w:rsid w:val="0036713E"/>
    <w:rsid w:val="0036730C"/>
    <w:rsid w:val="0036736C"/>
    <w:rsid w:val="0036748F"/>
    <w:rsid w:val="003675D3"/>
    <w:rsid w:val="0036767D"/>
    <w:rsid w:val="00367842"/>
    <w:rsid w:val="003678EC"/>
    <w:rsid w:val="003679EC"/>
    <w:rsid w:val="00367D03"/>
    <w:rsid w:val="00367EA5"/>
    <w:rsid w:val="00370015"/>
    <w:rsid w:val="003700A3"/>
    <w:rsid w:val="0037024D"/>
    <w:rsid w:val="0037029D"/>
    <w:rsid w:val="00370572"/>
    <w:rsid w:val="00370B3C"/>
    <w:rsid w:val="00370D0F"/>
    <w:rsid w:val="00371021"/>
    <w:rsid w:val="00371314"/>
    <w:rsid w:val="0037140D"/>
    <w:rsid w:val="0037168C"/>
    <w:rsid w:val="0037168E"/>
    <w:rsid w:val="00371A41"/>
    <w:rsid w:val="00371A92"/>
    <w:rsid w:val="0037205A"/>
    <w:rsid w:val="003721BC"/>
    <w:rsid w:val="0037234C"/>
    <w:rsid w:val="003723AA"/>
    <w:rsid w:val="00372455"/>
    <w:rsid w:val="00372652"/>
    <w:rsid w:val="00372659"/>
    <w:rsid w:val="0037281A"/>
    <w:rsid w:val="00372DCF"/>
    <w:rsid w:val="00372DE1"/>
    <w:rsid w:val="00372E47"/>
    <w:rsid w:val="0037321D"/>
    <w:rsid w:val="003739BE"/>
    <w:rsid w:val="00373A6B"/>
    <w:rsid w:val="00373B06"/>
    <w:rsid w:val="00373B88"/>
    <w:rsid w:val="00373F98"/>
    <w:rsid w:val="00374042"/>
    <w:rsid w:val="003742C9"/>
    <w:rsid w:val="003743A2"/>
    <w:rsid w:val="0037451D"/>
    <w:rsid w:val="00374587"/>
    <w:rsid w:val="00374D75"/>
    <w:rsid w:val="00374D9A"/>
    <w:rsid w:val="003753E7"/>
    <w:rsid w:val="00375434"/>
    <w:rsid w:val="00375625"/>
    <w:rsid w:val="00375786"/>
    <w:rsid w:val="00375A17"/>
    <w:rsid w:val="00375B42"/>
    <w:rsid w:val="00376037"/>
    <w:rsid w:val="00376317"/>
    <w:rsid w:val="00376359"/>
    <w:rsid w:val="0037661D"/>
    <w:rsid w:val="00376988"/>
    <w:rsid w:val="00376BDB"/>
    <w:rsid w:val="00376C58"/>
    <w:rsid w:val="00376D2F"/>
    <w:rsid w:val="00376F7F"/>
    <w:rsid w:val="00376FB4"/>
    <w:rsid w:val="00376FBE"/>
    <w:rsid w:val="00376FC6"/>
    <w:rsid w:val="003771AA"/>
    <w:rsid w:val="003773A3"/>
    <w:rsid w:val="003778A6"/>
    <w:rsid w:val="003779A2"/>
    <w:rsid w:val="0038023C"/>
    <w:rsid w:val="003804D4"/>
    <w:rsid w:val="00380F3C"/>
    <w:rsid w:val="00381224"/>
    <w:rsid w:val="0038129C"/>
    <w:rsid w:val="00381512"/>
    <w:rsid w:val="00381A46"/>
    <w:rsid w:val="00381B67"/>
    <w:rsid w:val="00382017"/>
    <w:rsid w:val="003821E4"/>
    <w:rsid w:val="003822B4"/>
    <w:rsid w:val="003824FC"/>
    <w:rsid w:val="0038275B"/>
    <w:rsid w:val="00382A32"/>
    <w:rsid w:val="00383248"/>
    <w:rsid w:val="00383394"/>
    <w:rsid w:val="00383427"/>
    <w:rsid w:val="0038351D"/>
    <w:rsid w:val="00383602"/>
    <w:rsid w:val="00383607"/>
    <w:rsid w:val="00383835"/>
    <w:rsid w:val="00383CE2"/>
    <w:rsid w:val="00383E7F"/>
    <w:rsid w:val="003842A6"/>
    <w:rsid w:val="0038454E"/>
    <w:rsid w:val="003845FE"/>
    <w:rsid w:val="00384631"/>
    <w:rsid w:val="00384CFA"/>
    <w:rsid w:val="00384F5E"/>
    <w:rsid w:val="00385164"/>
    <w:rsid w:val="00385202"/>
    <w:rsid w:val="0038532F"/>
    <w:rsid w:val="00385581"/>
    <w:rsid w:val="00385863"/>
    <w:rsid w:val="003858C5"/>
    <w:rsid w:val="003858FA"/>
    <w:rsid w:val="00385A3F"/>
    <w:rsid w:val="00385AB7"/>
    <w:rsid w:val="00385D37"/>
    <w:rsid w:val="00385DFB"/>
    <w:rsid w:val="00385FA0"/>
    <w:rsid w:val="003864C2"/>
    <w:rsid w:val="003866AE"/>
    <w:rsid w:val="00386983"/>
    <w:rsid w:val="003869A8"/>
    <w:rsid w:val="00386C95"/>
    <w:rsid w:val="00386D6C"/>
    <w:rsid w:val="00386EA9"/>
    <w:rsid w:val="00386FB5"/>
    <w:rsid w:val="00387277"/>
    <w:rsid w:val="0038732F"/>
    <w:rsid w:val="003873A3"/>
    <w:rsid w:val="00387577"/>
    <w:rsid w:val="003878ED"/>
    <w:rsid w:val="00387BF5"/>
    <w:rsid w:val="00390668"/>
    <w:rsid w:val="00390D7B"/>
    <w:rsid w:val="00390E6D"/>
    <w:rsid w:val="003915EE"/>
    <w:rsid w:val="00391803"/>
    <w:rsid w:val="00391F3D"/>
    <w:rsid w:val="00391FA8"/>
    <w:rsid w:val="003923A5"/>
    <w:rsid w:val="003923CC"/>
    <w:rsid w:val="00392592"/>
    <w:rsid w:val="00392E4B"/>
    <w:rsid w:val="00392FAF"/>
    <w:rsid w:val="00393042"/>
    <w:rsid w:val="00393127"/>
    <w:rsid w:val="00393200"/>
    <w:rsid w:val="0039376A"/>
    <w:rsid w:val="00393906"/>
    <w:rsid w:val="0039395D"/>
    <w:rsid w:val="00393ECC"/>
    <w:rsid w:val="00393F4C"/>
    <w:rsid w:val="00394141"/>
    <w:rsid w:val="003944FF"/>
    <w:rsid w:val="0039478C"/>
    <w:rsid w:val="00394860"/>
    <w:rsid w:val="003948C7"/>
    <w:rsid w:val="00394ACD"/>
    <w:rsid w:val="00394CC8"/>
    <w:rsid w:val="00394DEC"/>
    <w:rsid w:val="00394E3B"/>
    <w:rsid w:val="00394E95"/>
    <w:rsid w:val="00394FDB"/>
    <w:rsid w:val="00395266"/>
    <w:rsid w:val="003955F3"/>
    <w:rsid w:val="003959E6"/>
    <w:rsid w:val="00395A74"/>
    <w:rsid w:val="00395BB3"/>
    <w:rsid w:val="00395CC2"/>
    <w:rsid w:val="00395EEB"/>
    <w:rsid w:val="00395FFE"/>
    <w:rsid w:val="0039662E"/>
    <w:rsid w:val="003966C3"/>
    <w:rsid w:val="0039671A"/>
    <w:rsid w:val="00396CFF"/>
    <w:rsid w:val="00396D9D"/>
    <w:rsid w:val="00396F4A"/>
    <w:rsid w:val="00397207"/>
    <w:rsid w:val="0039733C"/>
    <w:rsid w:val="003977FB"/>
    <w:rsid w:val="00397833"/>
    <w:rsid w:val="003979C0"/>
    <w:rsid w:val="00397E2C"/>
    <w:rsid w:val="00397FEC"/>
    <w:rsid w:val="003A01CA"/>
    <w:rsid w:val="003A06F9"/>
    <w:rsid w:val="003A08BA"/>
    <w:rsid w:val="003A0A2A"/>
    <w:rsid w:val="003A0A88"/>
    <w:rsid w:val="003A0B5C"/>
    <w:rsid w:val="003A0C4F"/>
    <w:rsid w:val="003A0D25"/>
    <w:rsid w:val="003A0DE4"/>
    <w:rsid w:val="003A0EED"/>
    <w:rsid w:val="003A0F4A"/>
    <w:rsid w:val="003A0FDA"/>
    <w:rsid w:val="003A1110"/>
    <w:rsid w:val="003A11D5"/>
    <w:rsid w:val="003A16DE"/>
    <w:rsid w:val="003A1726"/>
    <w:rsid w:val="003A178C"/>
    <w:rsid w:val="003A1848"/>
    <w:rsid w:val="003A1A95"/>
    <w:rsid w:val="003A1B04"/>
    <w:rsid w:val="003A1B2C"/>
    <w:rsid w:val="003A1CC0"/>
    <w:rsid w:val="003A1E34"/>
    <w:rsid w:val="003A20C0"/>
    <w:rsid w:val="003A2319"/>
    <w:rsid w:val="003A233B"/>
    <w:rsid w:val="003A2DF5"/>
    <w:rsid w:val="003A3265"/>
    <w:rsid w:val="003A3593"/>
    <w:rsid w:val="003A3DA9"/>
    <w:rsid w:val="003A3EDA"/>
    <w:rsid w:val="003A3F84"/>
    <w:rsid w:val="003A417C"/>
    <w:rsid w:val="003A4206"/>
    <w:rsid w:val="003A4296"/>
    <w:rsid w:val="003A445B"/>
    <w:rsid w:val="003A44D4"/>
    <w:rsid w:val="003A454E"/>
    <w:rsid w:val="003A493D"/>
    <w:rsid w:val="003A4D07"/>
    <w:rsid w:val="003A4E37"/>
    <w:rsid w:val="003A52CC"/>
    <w:rsid w:val="003A5AA9"/>
    <w:rsid w:val="003A627F"/>
    <w:rsid w:val="003A639C"/>
    <w:rsid w:val="003A63B2"/>
    <w:rsid w:val="003A63F4"/>
    <w:rsid w:val="003A6502"/>
    <w:rsid w:val="003A6690"/>
    <w:rsid w:val="003A672A"/>
    <w:rsid w:val="003A68BF"/>
    <w:rsid w:val="003A6C84"/>
    <w:rsid w:val="003A6F9E"/>
    <w:rsid w:val="003A7278"/>
    <w:rsid w:val="003A7313"/>
    <w:rsid w:val="003A7603"/>
    <w:rsid w:val="003A77EB"/>
    <w:rsid w:val="003A792A"/>
    <w:rsid w:val="003A7AEB"/>
    <w:rsid w:val="003A7BBF"/>
    <w:rsid w:val="003A7C89"/>
    <w:rsid w:val="003A7D63"/>
    <w:rsid w:val="003B01E8"/>
    <w:rsid w:val="003B03A1"/>
    <w:rsid w:val="003B07B2"/>
    <w:rsid w:val="003B0804"/>
    <w:rsid w:val="003B088A"/>
    <w:rsid w:val="003B0951"/>
    <w:rsid w:val="003B0974"/>
    <w:rsid w:val="003B0C83"/>
    <w:rsid w:val="003B0D76"/>
    <w:rsid w:val="003B1346"/>
    <w:rsid w:val="003B14CC"/>
    <w:rsid w:val="003B1565"/>
    <w:rsid w:val="003B157A"/>
    <w:rsid w:val="003B1749"/>
    <w:rsid w:val="003B174D"/>
    <w:rsid w:val="003B1977"/>
    <w:rsid w:val="003B1AAA"/>
    <w:rsid w:val="003B1D6D"/>
    <w:rsid w:val="003B1DAE"/>
    <w:rsid w:val="003B23E6"/>
    <w:rsid w:val="003B2576"/>
    <w:rsid w:val="003B280B"/>
    <w:rsid w:val="003B29DD"/>
    <w:rsid w:val="003B2A42"/>
    <w:rsid w:val="003B2C47"/>
    <w:rsid w:val="003B2C81"/>
    <w:rsid w:val="003B2E23"/>
    <w:rsid w:val="003B2F68"/>
    <w:rsid w:val="003B32BC"/>
    <w:rsid w:val="003B330B"/>
    <w:rsid w:val="003B3348"/>
    <w:rsid w:val="003B3572"/>
    <w:rsid w:val="003B3576"/>
    <w:rsid w:val="003B35C8"/>
    <w:rsid w:val="003B3B41"/>
    <w:rsid w:val="003B3F88"/>
    <w:rsid w:val="003B4008"/>
    <w:rsid w:val="003B40B6"/>
    <w:rsid w:val="003B41AF"/>
    <w:rsid w:val="003B4556"/>
    <w:rsid w:val="003B47BB"/>
    <w:rsid w:val="003B47F1"/>
    <w:rsid w:val="003B4ADE"/>
    <w:rsid w:val="003B4D6C"/>
    <w:rsid w:val="003B4F4F"/>
    <w:rsid w:val="003B5363"/>
    <w:rsid w:val="003B5375"/>
    <w:rsid w:val="003B5587"/>
    <w:rsid w:val="003B559C"/>
    <w:rsid w:val="003B57F9"/>
    <w:rsid w:val="003B5814"/>
    <w:rsid w:val="003B5DD7"/>
    <w:rsid w:val="003B5E92"/>
    <w:rsid w:val="003B6194"/>
    <w:rsid w:val="003B6531"/>
    <w:rsid w:val="003B65F1"/>
    <w:rsid w:val="003B6608"/>
    <w:rsid w:val="003B6665"/>
    <w:rsid w:val="003B681E"/>
    <w:rsid w:val="003B68CD"/>
    <w:rsid w:val="003B6AC1"/>
    <w:rsid w:val="003B6C7B"/>
    <w:rsid w:val="003B6E2D"/>
    <w:rsid w:val="003B7407"/>
    <w:rsid w:val="003B743E"/>
    <w:rsid w:val="003B7826"/>
    <w:rsid w:val="003B79A7"/>
    <w:rsid w:val="003B7A6C"/>
    <w:rsid w:val="003C0D2F"/>
    <w:rsid w:val="003C0DCF"/>
    <w:rsid w:val="003C1174"/>
    <w:rsid w:val="003C1498"/>
    <w:rsid w:val="003C1514"/>
    <w:rsid w:val="003C1585"/>
    <w:rsid w:val="003C17D1"/>
    <w:rsid w:val="003C1C47"/>
    <w:rsid w:val="003C20A6"/>
    <w:rsid w:val="003C2270"/>
    <w:rsid w:val="003C22E5"/>
    <w:rsid w:val="003C2557"/>
    <w:rsid w:val="003C26EB"/>
    <w:rsid w:val="003C2875"/>
    <w:rsid w:val="003C295F"/>
    <w:rsid w:val="003C2EF8"/>
    <w:rsid w:val="003C3191"/>
    <w:rsid w:val="003C3859"/>
    <w:rsid w:val="003C3A66"/>
    <w:rsid w:val="003C3AB7"/>
    <w:rsid w:val="003C3C30"/>
    <w:rsid w:val="003C3CCD"/>
    <w:rsid w:val="003C3F3A"/>
    <w:rsid w:val="003C4030"/>
    <w:rsid w:val="003C4474"/>
    <w:rsid w:val="003C45D7"/>
    <w:rsid w:val="003C4B9C"/>
    <w:rsid w:val="003C4DB3"/>
    <w:rsid w:val="003C4F42"/>
    <w:rsid w:val="003C5555"/>
    <w:rsid w:val="003C56A6"/>
    <w:rsid w:val="003C5979"/>
    <w:rsid w:val="003C59A9"/>
    <w:rsid w:val="003C5D78"/>
    <w:rsid w:val="003C6025"/>
    <w:rsid w:val="003C602B"/>
    <w:rsid w:val="003C637D"/>
    <w:rsid w:val="003C63FB"/>
    <w:rsid w:val="003C64AE"/>
    <w:rsid w:val="003C6781"/>
    <w:rsid w:val="003C6AD6"/>
    <w:rsid w:val="003C7417"/>
    <w:rsid w:val="003C763C"/>
    <w:rsid w:val="003C78DF"/>
    <w:rsid w:val="003C7996"/>
    <w:rsid w:val="003C7C52"/>
    <w:rsid w:val="003D0332"/>
    <w:rsid w:val="003D0524"/>
    <w:rsid w:val="003D05F6"/>
    <w:rsid w:val="003D0816"/>
    <w:rsid w:val="003D102E"/>
    <w:rsid w:val="003D137D"/>
    <w:rsid w:val="003D1688"/>
    <w:rsid w:val="003D1993"/>
    <w:rsid w:val="003D237A"/>
    <w:rsid w:val="003D2BBF"/>
    <w:rsid w:val="003D2D31"/>
    <w:rsid w:val="003D2D4D"/>
    <w:rsid w:val="003D319A"/>
    <w:rsid w:val="003D3266"/>
    <w:rsid w:val="003D35FB"/>
    <w:rsid w:val="003D36CD"/>
    <w:rsid w:val="003D39CC"/>
    <w:rsid w:val="003D3B5A"/>
    <w:rsid w:val="003D3DAD"/>
    <w:rsid w:val="003D3FC0"/>
    <w:rsid w:val="003D4136"/>
    <w:rsid w:val="003D41DE"/>
    <w:rsid w:val="003D420B"/>
    <w:rsid w:val="003D4266"/>
    <w:rsid w:val="003D4379"/>
    <w:rsid w:val="003D465D"/>
    <w:rsid w:val="003D4ACA"/>
    <w:rsid w:val="003D517B"/>
    <w:rsid w:val="003D5717"/>
    <w:rsid w:val="003D57CD"/>
    <w:rsid w:val="003D58C1"/>
    <w:rsid w:val="003D5F64"/>
    <w:rsid w:val="003D630D"/>
    <w:rsid w:val="003D6473"/>
    <w:rsid w:val="003D6A8F"/>
    <w:rsid w:val="003D6B02"/>
    <w:rsid w:val="003D6B8A"/>
    <w:rsid w:val="003D6E08"/>
    <w:rsid w:val="003D6EED"/>
    <w:rsid w:val="003D70C3"/>
    <w:rsid w:val="003D7194"/>
    <w:rsid w:val="003D73F8"/>
    <w:rsid w:val="003D7480"/>
    <w:rsid w:val="003D74D0"/>
    <w:rsid w:val="003D7A11"/>
    <w:rsid w:val="003D7AC4"/>
    <w:rsid w:val="003D7D1B"/>
    <w:rsid w:val="003D7D8B"/>
    <w:rsid w:val="003D7E27"/>
    <w:rsid w:val="003D7EAC"/>
    <w:rsid w:val="003D7EC4"/>
    <w:rsid w:val="003D7F3C"/>
    <w:rsid w:val="003E0752"/>
    <w:rsid w:val="003E078E"/>
    <w:rsid w:val="003E07BA"/>
    <w:rsid w:val="003E08F2"/>
    <w:rsid w:val="003E0948"/>
    <w:rsid w:val="003E0A9E"/>
    <w:rsid w:val="003E0AA4"/>
    <w:rsid w:val="003E0B0B"/>
    <w:rsid w:val="003E0B7B"/>
    <w:rsid w:val="003E0D02"/>
    <w:rsid w:val="003E0D75"/>
    <w:rsid w:val="003E121A"/>
    <w:rsid w:val="003E13A1"/>
    <w:rsid w:val="003E14E7"/>
    <w:rsid w:val="003E18CC"/>
    <w:rsid w:val="003E19A0"/>
    <w:rsid w:val="003E19AC"/>
    <w:rsid w:val="003E1B8D"/>
    <w:rsid w:val="003E1E66"/>
    <w:rsid w:val="003E20BE"/>
    <w:rsid w:val="003E214B"/>
    <w:rsid w:val="003E2152"/>
    <w:rsid w:val="003E2154"/>
    <w:rsid w:val="003E2324"/>
    <w:rsid w:val="003E2936"/>
    <w:rsid w:val="003E2B37"/>
    <w:rsid w:val="003E2B6B"/>
    <w:rsid w:val="003E2E96"/>
    <w:rsid w:val="003E30BB"/>
    <w:rsid w:val="003E3202"/>
    <w:rsid w:val="003E3447"/>
    <w:rsid w:val="003E37FA"/>
    <w:rsid w:val="003E3E35"/>
    <w:rsid w:val="003E40DF"/>
    <w:rsid w:val="003E41A4"/>
    <w:rsid w:val="003E43D5"/>
    <w:rsid w:val="003E4425"/>
    <w:rsid w:val="003E472C"/>
    <w:rsid w:val="003E48C9"/>
    <w:rsid w:val="003E4A48"/>
    <w:rsid w:val="003E4C7C"/>
    <w:rsid w:val="003E51B2"/>
    <w:rsid w:val="003E5237"/>
    <w:rsid w:val="003E527C"/>
    <w:rsid w:val="003E57DC"/>
    <w:rsid w:val="003E58DD"/>
    <w:rsid w:val="003E5B11"/>
    <w:rsid w:val="003E62F4"/>
    <w:rsid w:val="003E63A7"/>
    <w:rsid w:val="003E6549"/>
    <w:rsid w:val="003E66D5"/>
    <w:rsid w:val="003E6E4C"/>
    <w:rsid w:val="003E6FE7"/>
    <w:rsid w:val="003E7AE5"/>
    <w:rsid w:val="003E7DB4"/>
    <w:rsid w:val="003F09B5"/>
    <w:rsid w:val="003F0A4C"/>
    <w:rsid w:val="003F0A94"/>
    <w:rsid w:val="003F0AC8"/>
    <w:rsid w:val="003F101E"/>
    <w:rsid w:val="003F1209"/>
    <w:rsid w:val="003F1255"/>
    <w:rsid w:val="003F1740"/>
    <w:rsid w:val="003F1881"/>
    <w:rsid w:val="003F18BC"/>
    <w:rsid w:val="003F23AD"/>
    <w:rsid w:val="003F23F8"/>
    <w:rsid w:val="003F28F7"/>
    <w:rsid w:val="003F29A2"/>
    <w:rsid w:val="003F2A7E"/>
    <w:rsid w:val="003F2BFD"/>
    <w:rsid w:val="003F2F4C"/>
    <w:rsid w:val="003F3248"/>
    <w:rsid w:val="003F3532"/>
    <w:rsid w:val="003F36F0"/>
    <w:rsid w:val="003F39B7"/>
    <w:rsid w:val="003F3A6B"/>
    <w:rsid w:val="003F3B98"/>
    <w:rsid w:val="003F3EE6"/>
    <w:rsid w:val="003F3F77"/>
    <w:rsid w:val="003F436C"/>
    <w:rsid w:val="003F4607"/>
    <w:rsid w:val="003F460F"/>
    <w:rsid w:val="003F47C0"/>
    <w:rsid w:val="003F48A5"/>
    <w:rsid w:val="003F48EF"/>
    <w:rsid w:val="003F4C6D"/>
    <w:rsid w:val="003F4E1D"/>
    <w:rsid w:val="003F511E"/>
    <w:rsid w:val="003F51E9"/>
    <w:rsid w:val="003F54FF"/>
    <w:rsid w:val="003F569E"/>
    <w:rsid w:val="003F58A8"/>
    <w:rsid w:val="003F5AB3"/>
    <w:rsid w:val="003F5C7E"/>
    <w:rsid w:val="003F5CF5"/>
    <w:rsid w:val="003F5DA0"/>
    <w:rsid w:val="003F5FAC"/>
    <w:rsid w:val="003F605D"/>
    <w:rsid w:val="003F60D6"/>
    <w:rsid w:val="003F6B48"/>
    <w:rsid w:val="003F6C5B"/>
    <w:rsid w:val="003F6CAC"/>
    <w:rsid w:val="003F72C4"/>
    <w:rsid w:val="003F76C3"/>
    <w:rsid w:val="003F7859"/>
    <w:rsid w:val="003F786D"/>
    <w:rsid w:val="003F7902"/>
    <w:rsid w:val="003F7977"/>
    <w:rsid w:val="003F79BC"/>
    <w:rsid w:val="003F7B16"/>
    <w:rsid w:val="003F7B57"/>
    <w:rsid w:val="003F7D08"/>
    <w:rsid w:val="003F7E06"/>
    <w:rsid w:val="003F7F68"/>
    <w:rsid w:val="00400383"/>
    <w:rsid w:val="004008CF"/>
    <w:rsid w:val="004008EE"/>
    <w:rsid w:val="00400BBA"/>
    <w:rsid w:val="004011B4"/>
    <w:rsid w:val="00401345"/>
    <w:rsid w:val="0040151E"/>
    <w:rsid w:val="00401832"/>
    <w:rsid w:val="004018FC"/>
    <w:rsid w:val="00401A77"/>
    <w:rsid w:val="00401C1F"/>
    <w:rsid w:val="00401DD8"/>
    <w:rsid w:val="00402460"/>
    <w:rsid w:val="0040293E"/>
    <w:rsid w:val="00402A9F"/>
    <w:rsid w:val="00402BFD"/>
    <w:rsid w:val="0040319C"/>
    <w:rsid w:val="004031B6"/>
    <w:rsid w:val="00403E00"/>
    <w:rsid w:val="00403FA5"/>
    <w:rsid w:val="004042A6"/>
    <w:rsid w:val="004045BD"/>
    <w:rsid w:val="00404758"/>
    <w:rsid w:val="00404BC8"/>
    <w:rsid w:val="00405202"/>
    <w:rsid w:val="00405263"/>
    <w:rsid w:val="004052C0"/>
    <w:rsid w:val="00405337"/>
    <w:rsid w:val="0040533D"/>
    <w:rsid w:val="00405612"/>
    <w:rsid w:val="00405856"/>
    <w:rsid w:val="0040597C"/>
    <w:rsid w:val="004059B2"/>
    <w:rsid w:val="004059BF"/>
    <w:rsid w:val="00405B3A"/>
    <w:rsid w:val="00405DD7"/>
    <w:rsid w:val="00405F87"/>
    <w:rsid w:val="0040617D"/>
    <w:rsid w:val="004064A6"/>
    <w:rsid w:val="00406991"/>
    <w:rsid w:val="004069E5"/>
    <w:rsid w:val="00407139"/>
    <w:rsid w:val="004072D2"/>
    <w:rsid w:val="004074EF"/>
    <w:rsid w:val="0040790C"/>
    <w:rsid w:val="00407A06"/>
    <w:rsid w:val="00407A22"/>
    <w:rsid w:val="004104F4"/>
    <w:rsid w:val="00410575"/>
    <w:rsid w:val="00410749"/>
    <w:rsid w:val="00410A44"/>
    <w:rsid w:val="00410B06"/>
    <w:rsid w:val="00410B3C"/>
    <w:rsid w:val="00410FCF"/>
    <w:rsid w:val="004112E1"/>
    <w:rsid w:val="004113B4"/>
    <w:rsid w:val="00411516"/>
    <w:rsid w:val="00411640"/>
    <w:rsid w:val="00411655"/>
    <w:rsid w:val="00411661"/>
    <w:rsid w:val="00411741"/>
    <w:rsid w:val="004119BD"/>
    <w:rsid w:val="00411C28"/>
    <w:rsid w:val="00411D12"/>
    <w:rsid w:val="00411F7A"/>
    <w:rsid w:val="00412189"/>
    <w:rsid w:val="004124D2"/>
    <w:rsid w:val="0041252E"/>
    <w:rsid w:val="00412653"/>
    <w:rsid w:val="004126F0"/>
    <w:rsid w:val="004128A8"/>
    <w:rsid w:val="00412BE4"/>
    <w:rsid w:val="00412D46"/>
    <w:rsid w:val="00412DF2"/>
    <w:rsid w:val="00412E1C"/>
    <w:rsid w:val="00413085"/>
    <w:rsid w:val="00413228"/>
    <w:rsid w:val="00413309"/>
    <w:rsid w:val="00413413"/>
    <w:rsid w:val="00413777"/>
    <w:rsid w:val="004137DB"/>
    <w:rsid w:val="004138C8"/>
    <w:rsid w:val="00413C59"/>
    <w:rsid w:val="00413DB3"/>
    <w:rsid w:val="004144B4"/>
    <w:rsid w:val="004145D9"/>
    <w:rsid w:val="00414780"/>
    <w:rsid w:val="004147E5"/>
    <w:rsid w:val="00414AFD"/>
    <w:rsid w:val="00414C63"/>
    <w:rsid w:val="00414D1B"/>
    <w:rsid w:val="00415266"/>
    <w:rsid w:val="00415409"/>
    <w:rsid w:val="00415548"/>
    <w:rsid w:val="00415560"/>
    <w:rsid w:val="00415907"/>
    <w:rsid w:val="004159F3"/>
    <w:rsid w:val="00415F87"/>
    <w:rsid w:val="00416484"/>
    <w:rsid w:val="004165BB"/>
    <w:rsid w:val="00416CB9"/>
    <w:rsid w:val="00416EB0"/>
    <w:rsid w:val="00417092"/>
    <w:rsid w:val="0041717B"/>
    <w:rsid w:val="0041736E"/>
    <w:rsid w:val="004173BE"/>
    <w:rsid w:val="00417428"/>
    <w:rsid w:val="0041749C"/>
    <w:rsid w:val="0041771E"/>
    <w:rsid w:val="004179A4"/>
    <w:rsid w:val="00417D63"/>
    <w:rsid w:val="00420148"/>
    <w:rsid w:val="004203DB"/>
    <w:rsid w:val="004205AE"/>
    <w:rsid w:val="004206E2"/>
    <w:rsid w:val="004208F0"/>
    <w:rsid w:val="00420B46"/>
    <w:rsid w:val="00420D40"/>
    <w:rsid w:val="00420E31"/>
    <w:rsid w:val="00420F34"/>
    <w:rsid w:val="00421155"/>
    <w:rsid w:val="004213BB"/>
    <w:rsid w:val="00421840"/>
    <w:rsid w:val="004219ED"/>
    <w:rsid w:val="00421C51"/>
    <w:rsid w:val="00421F7D"/>
    <w:rsid w:val="004222B5"/>
    <w:rsid w:val="00422312"/>
    <w:rsid w:val="004224C3"/>
    <w:rsid w:val="00422886"/>
    <w:rsid w:val="004228BE"/>
    <w:rsid w:val="00422C28"/>
    <w:rsid w:val="004232A2"/>
    <w:rsid w:val="004238D6"/>
    <w:rsid w:val="00423930"/>
    <w:rsid w:val="00423BE1"/>
    <w:rsid w:val="00423BFE"/>
    <w:rsid w:val="00423C02"/>
    <w:rsid w:val="00423E52"/>
    <w:rsid w:val="00423F03"/>
    <w:rsid w:val="004247E5"/>
    <w:rsid w:val="00424818"/>
    <w:rsid w:val="00424A20"/>
    <w:rsid w:val="00424AB9"/>
    <w:rsid w:val="00424CCC"/>
    <w:rsid w:val="00424DE1"/>
    <w:rsid w:val="00424EA6"/>
    <w:rsid w:val="00424F10"/>
    <w:rsid w:val="004250FC"/>
    <w:rsid w:val="004250FE"/>
    <w:rsid w:val="00425437"/>
    <w:rsid w:val="004259D7"/>
    <w:rsid w:val="00425A12"/>
    <w:rsid w:val="00425E33"/>
    <w:rsid w:val="00426382"/>
    <w:rsid w:val="004265DA"/>
    <w:rsid w:val="004266CA"/>
    <w:rsid w:val="0042685F"/>
    <w:rsid w:val="00426957"/>
    <w:rsid w:val="00426999"/>
    <w:rsid w:val="00426AEC"/>
    <w:rsid w:val="00426C2C"/>
    <w:rsid w:val="00426F2B"/>
    <w:rsid w:val="004270EF"/>
    <w:rsid w:val="00427355"/>
    <w:rsid w:val="00427394"/>
    <w:rsid w:val="0042750A"/>
    <w:rsid w:val="0042788B"/>
    <w:rsid w:val="0043007C"/>
    <w:rsid w:val="00430241"/>
    <w:rsid w:val="004305D4"/>
    <w:rsid w:val="004307D5"/>
    <w:rsid w:val="00430A0C"/>
    <w:rsid w:val="00430BB0"/>
    <w:rsid w:val="00430C23"/>
    <w:rsid w:val="00430DB9"/>
    <w:rsid w:val="0043126E"/>
    <w:rsid w:val="00431633"/>
    <w:rsid w:val="00431862"/>
    <w:rsid w:val="004318C4"/>
    <w:rsid w:val="00432083"/>
    <w:rsid w:val="00432540"/>
    <w:rsid w:val="0043269D"/>
    <w:rsid w:val="004328C4"/>
    <w:rsid w:val="00432BC5"/>
    <w:rsid w:val="00433074"/>
    <w:rsid w:val="004336A8"/>
    <w:rsid w:val="00433873"/>
    <w:rsid w:val="0043398F"/>
    <w:rsid w:val="00433A95"/>
    <w:rsid w:val="00433E87"/>
    <w:rsid w:val="00433F2F"/>
    <w:rsid w:val="0043431A"/>
    <w:rsid w:val="004347EB"/>
    <w:rsid w:val="00434C31"/>
    <w:rsid w:val="00434E58"/>
    <w:rsid w:val="00434EE2"/>
    <w:rsid w:val="00434F51"/>
    <w:rsid w:val="00435163"/>
    <w:rsid w:val="004351B2"/>
    <w:rsid w:val="0043553A"/>
    <w:rsid w:val="00435D81"/>
    <w:rsid w:val="00436178"/>
    <w:rsid w:val="00436388"/>
    <w:rsid w:val="004363B7"/>
    <w:rsid w:val="0043666A"/>
    <w:rsid w:val="004366A1"/>
    <w:rsid w:val="004366F7"/>
    <w:rsid w:val="0043679C"/>
    <w:rsid w:val="00436945"/>
    <w:rsid w:val="00436ADB"/>
    <w:rsid w:val="00436D67"/>
    <w:rsid w:val="00436DCE"/>
    <w:rsid w:val="00436E43"/>
    <w:rsid w:val="004371FB"/>
    <w:rsid w:val="00437B15"/>
    <w:rsid w:val="00437D94"/>
    <w:rsid w:val="00437F4A"/>
    <w:rsid w:val="00440091"/>
    <w:rsid w:val="00440264"/>
    <w:rsid w:val="00440732"/>
    <w:rsid w:val="0044076D"/>
    <w:rsid w:val="004409A0"/>
    <w:rsid w:val="00440CC7"/>
    <w:rsid w:val="00440E17"/>
    <w:rsid w:val="00441820"/>
    <w:rsid w:val="00441EC1"/>
    <w:rsid w:val="004421DE"/>
    <w:rsid w:val="004425E4"/>
    <w:rsid w:val="00442630"/>
    <w:rsid w:val="004427F7"/>
    <w:rsid w:val="00442AE5"/>
    <w:rsid w:val="00442E1C"/>
    <w:rsid w:val="00443138"/>
    <w:rsid w:val="004432CE"/>
    <w:rsid w:val="00443454"/>
    <w:rsid w:val="004434E2"/>
    <w:rsid w:val="004435CF"/>
    <w:rsid w:val="00443607"/>
    <w:rsid w:val="00443873"/>
    <w:rsid w:val="00443978"/>
    <w:rsid w:val="00443D4A"/>
    <w:rsid w:val="00443E8C"/>
    <w:rsid w:val="00444403"/>
    <w:rsid w:val="004447EE"/>
    <w:rsid w:val="0044489D"/>
    <w:rsid w:val="00444A6F"/>
    <w:rsid w:val="00444A78"/>
    <w:rsid w:val="00444BD1"/>
    <w:rsid w:val="00444DAA"/>
    <w:rsid w:val="00444ECD"/>
    <w:rsid w:val="00445001"/>
    <w:rsid w:val="00445139"/>
    <w:rsid w:val="004451F0"/>
    <w:rsid w:val="00445376"/>
    <w:rsid w:val="004455EA"/>
    <w:rsid w:val="00445AFF"/>
    <w:rsid w:val="00445CDF"/>
    <w:rsid w:val="00445E76"/>
    <w:rsid w:val="00445E9C"/>
    <w:rsid w:val="00445EF9"/>
    <w:rsid w:val="00445FBA"/>
    <w:rsid w:val="00446092"/>
    <w:rsid w:val="00446142"/>
    <w:rsid w:val="00446430"/>
    <w:rsid w:val="00446445"/>
    <w:rsid w:val="004464CA"/>
    <w:rsid w:val="004468D5"/>
    <w:rsid w:val="00446AA1"/>
    <w:rsid w:val="00446CA5"/>
    <w:rsid w:val="00446DDD"/>
    <w:rsid w:val="00447706"/>
    <w:rsid w:val="00447851"/>
    <w:rsid w:val="00447A78"/>
    <w:rsid w:val="00450012"/>
    <w:rsid w:val="004501EB"/>
    <w:rsid w:val="00450943"/>
    <w:rsid w:val="00450F19"/>
    <w:rsid w:val="00451094"/>
    <w:rsid w:val="00451291"/>
    <w:rsid w:val="004513CC"/>
    <w:rsid w:val="00452161"/>
    <w:rsid w:val="00452337"/>
    <w:rsid w:val="004523B6"/>
    <w:rsid w:val="004529F1"/>
    <w:rsid w:val="00452D96"/>
    <w:rsid w:val="00452FD1"/>
    <w:rsid w:val="0045300D"/>
    <w:rsid w:val="004533A1"/>
    <w:rsid w:val="004535BC"/>
    <w:rsid w:val="0045366A"/>
    <w:rsid w:val="00453706"/>
    <w:rsid w:val="00453BE7"/>
    <w:rsid w:val="00454223"/>
    <w:rsid w:val="004542C4"/>
    <w:rsid w:val="004546A5"/>
    <w:rsid w:val="0045496F"/>
    <w:rsid w:val="00454A1B"/>
    <w:rsid w:val="00454B74"/>
    <w:rsid w:val="00454CE4"/>
    <w:rsid w:val="00454D6F"/>
    <w:rsid w:val="00454E9C"/>
    <w:rsid w:val="0045504C"/>
    <w:rsid w:val="004551B2"/>
    <w:rsid w:val="004553D8"/>
    <w:rsid w:val="004553EE"/>
    <w:rsid w:val="00455449"/>
    <w:rsid w:val="00455525"/>
    <w:rsid w:val="004558E9"/>
    <w:rsid w:val="00455B5C"/>
    <w:rsid w:val="00455B61"/>
    <w:rsid w:val="00455BE4"/>
    <w:rsid w:val="00455DA3"/>
    <w:rsid w:val="00455DD3"/>
    <w:rsid w:val="00455DDB"/>
    <w:rsid w:val="00456338"/>
    <w:rsid w:val="0045657B"/>
    <w:rsid w:val="004567B6"/>
    <w:rsid w:val="00456A1B"/>
    <w:rsid w:val="00456B68"/>
    <w:rsid w:val="00456C47"/>
    <w:rsid w:val="00456D4B"/>
    <w:rsid w:val="00456EDE"/>
    <w:rsid w:val="00456F7D"/>
    <w:rsid w:val="00457128"/>
    <w:rsid w:val="004573DE"/>
    <w:rsid w:val="0045749E"/>
    <w:rsid w:val="004576E6"/>
    <w:rsid w:val="00457791"/>
    <w:rsid w:val="004578B5"/>
    <w:rsid w:val="00457D30"/>
    <w:rsid w:val="00457EFB"/>
    <w:rsid w:val="00457F12"/>
    <w:rsid w:val="00460946"/>
    <w:rsid w:val="0046159D"/>
    <w:rsid w:val="00461DC0"/>
    <w:rsid w:val="00461E56"/>
    <w:rsid w:val="00461F3E"/>
    <w:rsid w:val="0046249C"/>
    <w:rsid w:val="00462D69"/>
    <w:rsid w:val="00462FBE"/>
    <w:rsid w:val="00464247"/>
    <w:rsid w:val="004646A5"/>
    <w:rsid w:val="0046494E"/>
    <w:rsid w:val="00464979"/>
    <w:rsid w:val="00464B89"/>
    <w:rsid w:val="00464CBD"/>
    <w:rsid w:val="00464F14"/>
    <w:rsid w:val="004651C7"/>
    <w:rsid w:val="004653FA"/>
    <w:rsid w:val="00465693"/>
    <w:rsid w:val="0046577C"/>
    <w:rsid w:val="00465A98"/>
    <w:rsid w:val="00465DE5"/>
    <w:rsid w:val="00465EA2"/>
    <w:rsid w:val="00466273"/>
    <w:rsid w:val="004666BB"/>
    <w:rsid w:val="00466B1A"/>
    <w:rsid w:val="00466D67"/>
    <w:rsid w:val="004670B1"/>
    <w:rsid w:val="0046745F"/>
    <w:rsid w:val="004679E2"/>
    <w:rsid w:val="00467AE7"/>
    <w:rsid w:val="00467B96"/>
    <w:rsid w:val="00467CA3"/>
    <w:rsid w:val="00470702"/>
    <w:rsid w:val="00470754"/>
    <w:rsid w:val="00470891"/>
    <w:rsid w:val="00470A72"/>
    <w:rsid w:val="00470A84"/>
    <w:rsid w:val="00470AA4"/>
    <w:rsid w:val="00470B25"/>
    <w:rsid w:val="00470D20"/>
    <w:rsid w:val="00470E36"/>
    <w:rsid w:val="00470EB7"/>
    <w:rsid w:val="00471162"/>
    <w:rsid w:val="00471263"/>
    <w:rsid w:val="004713E1"/>
    <w:rsid w:val="004718C4"/>
    <w:rsid w:val="00471B22"/>
    <w:rsid w:val="00471E0E"/>
    <w:rsid w:val="00471FDA"/>
    <w:rsid w:val="00472174"/>
    <w:rsid w:val="00472569"/>
    <w:rsid w:val="004726BA"/>
    <w:rsid w:val="0047274A"/>
    <w:rsid w:val="00472E0B"/>
    <w:rsid w:val="00473127"/>
    <w:rsid w:val="0047366B"/>
    <w:rsid w:val="0047369A"/>
    <w:rsid w:val="00473A27"/>
    <w:rsid w:val="00473E15"/>
    <w:rsid w:val="00473ED4"/>
    <w:rsid w:val="00473F87"/>
    <w:rsid w:val="004740DA"/>
    <w:rsid w:val="004743C3"/>
    <w:rsid w:val="0047476B"/>
    <w:rsid w:val="0047486A"/>
    <w:rsid w:val="00474884"/>
    <w:rsid w:val="004748A8"/>
    <w:rsid w:val="00474B85"/>
    <w:rsid w:val="00474EA9"/>
    <w:rsid w:val="0047506D"/>
    <w:rsid w:val="004750DE"/>
    <w:rsid w:val="004753F0"/>
    <w:rsid w:val="004755AC"/>
    <w:rsid w:val="004757DB"/>
    <w:rsid w:val="0047585C"/>
    <w:rsid w:val="00475AEC"/>
    <w:rsid w:val="00476459"/>
    <w:rsid w:val="00476478"/>
    <w:rsid w:val="00476513"/>
    <w:rsid w:val="004765DF"/>
    <w:rsid w:val="00476BD6"/>
    <w:rsid w:val="00476C80"/>
    <w:rsid w:val="00476D01"/>
    <w:rsid w:val="00476F78"/>
    <w:rsid w:val="00477359"/>
    <w:rsid w:val="004777EB"/>
    <w:rsid w:val="004777F9"/>
    <w:rsid w:val="004779C6"/>
    <w:rsid w:val="004779D4"/>
    <w:rsid w:val="00477AE5"/>
    <w:rsid w:val="00477C1E"/>
    <w:rsid w:val="00480117"/>
    <w:rsid w:val="0048016A"/>
    <w:rsid w:val="00480226"/>
    <w:rsid w:val="00480281"/>
    <w:rsid w:val="00480426"/>
    <w:rsid w:val="00480E6C"/>
    <w:rsid w:val="00481375"/>
    <w:rsid w:val="0048173E"/>
    <w:rsid w:val="004818C9"/>
    <w:rsid w:val="0048204D"/>
    <w:rsid w:val="0048225F"/>
    <w:rsid w:val="0048232A"/>
    <w:rsid w:val="00482891"/>
    <w:rsid w:val="00482A34"/>
    <w:rsid w:val="00482DBD"/>
    <w:rsid w:val="004831AF"/>
    <w:rsid w:val="00483352"/>
    <w:rsid w:val="004837F8"/>
    <w:rsid w:val="00483935"/>
    <w:rsid w:val="00483F78"/>
    <w:rsid w:val="00484205"/>
    <w:rsid w:val="00484AAC"/>
    <w:rsid w:val="00484DDF"/>
    <w:rsid w:val="004851CC"/>
    <w:rsid w:val="004856AC"/>
    <w:rsid w:val="00485995"/>
    <w:rsid w:val="00485AEF"/>
    <w:rsid w:val="00485B29"/>
    <w:rsid w:val="00485BE3"/>
    <w:rsid w:val="00485E71"/>
    <w:rsid w:val="00485EF7"/>
    <w:rsid w:val="00486070"/>
    <w:rsid w:val="00486726"/>
    <w:rsid w:val="00486A0D"/>
    <w:rsid w:val="00486ECE"/>
    <w:rsid w:val="004871C0"/>
    <w:rsid w:val="004872E6"/>
    <w:rsid w:val="004874A6"/>
    <w:rsid w:val="00487997"/>
    <w:rsid w:val="00487A07"/>
    <w:rsid w:val="00487DA4"/>
    <w:rsid w:val="0049019A"/>
    <w:rsid w:val="00490748"/>
    <w:rsid w:val="00490AFF"/>
    <w:rsid w:val="00490D4A"/>
    <w:rsid w:val="004911A7"/>
    <w:rsid w:val="00491517"/>
    <w:rsid w:val="0049195F"/>
    <w:rsid w:val="00491D02"/>
    <w:rsid w:val="00491E53"/>
    <w:rsid w:val="00492746"/>
    <w:rsid w:val="004929B1"/>
    <w:rsid w:val="00492B1C"/>
    <w:rsid w:val="00492B55"/>
    <w:rsid w:val="00492D54"/>
    <w:rsid w:val="0049380B"/>
    <w:rsid w:val="00493EC8"/>
    <w:rsid w:val="00493F59"/>
    <w:rsid w:val="0049401C"/>
    <w:rsid w:val="0049421D"/>
    <w:rsid w:val="0049427E"/>
    <w:rsid w:val="00494609"/>
    <w:rsid w:val="0049487F"/>
    <w:rsid w:val="004949F3"/>
    <w:rsid w:val="00494BF2"/>
    <w:rsid w:val="00494F64"/>
    <w:rsid w:val="0049518A"/>
    <w:rsid w:val="00495360"/>
    <w:rsid w:val="004956BA"/>
    <w:rsid w:val="00495941"/>
    <w:rsid w:val="004965A8"/>
    <w:rsid w:val="0049665B"/>
    <w:rsid w:val="0049676F"/>
    <w:rsid w:val="0049699E"/>
    <w:rsid w:val="00496AAD"/>
    <w:rsid w:val="00496C65"/>
    <w:rsid w:val="00496C73"/>
    <w:rsid w:val="00496E35"/>
    <w:rsid w:val="00496EA0"/>
    <w:rsid w:val="004971F1"/>
    <w:rsid w:val="00497211"/>
    <w:rsid w:val="004973D8"/>
    <w:rsid w:val="00497428"/>
    <w:rsid w:val="004974D5"/>
    <w:rsid w:val="00497896"/>
    <w:rsid w:val="004979F9"/>
    <w:rsid w:val="00497CF5"/>
    <w:rsid w:val="004A012D"/>
    <w:rsid w:val="004A026C"/>
    <w:rsid w:val="004A02FF"/>
    <w:rsid w:val="004A03D3"/>
    <w:rsid w:val="004A07E0"/>
    <w:rsid w:val="004A0AAB"/>
    <w:rsid w:val="004A0B37"/>
    <w:rsid w:val="004A0B76"/>
    <w:rsid w:val="004A0C34"/>
    <w:rsid w:val="004A0D88"/>
    <w:rsid w:val="004A0F61"/>
    <w:rsid w:val="004A1117"/>
    <w:rsid w:val="004A1329"/>
    <w:rsid w:val="004A1335"/>
    <w:rsid w:val="004A139B"/>
    <w:rsid w:val="004A1559"/>
    <w:rsid w:val="004A15B7"/>
    <w:rsid w:val="004A1EC9"/>
    <w:rsid w:val="004A1F34"/>
    <w:rsid w:val="004A1F64"/>
    <w:rsid w:val="004A21C3"/>
    <w:rsid w:val="004A2343"/>
    <w:rsid w:val="004A262F"/>
    <w:rsid w:val="004A296F"/>
    <w:rsid w:val="004A2A45"/>
    <w:rsid w:val="004A2A5D"/>
    <w:rsid w:val="004A2D10"/>
    <w:rsid w:val="004A3071"/>
    <w:rsid w:val="004A334D"/>
    <w:rsid w:val="004A36BA"/>
    <w:rsid w:val="004A387F"/>
    <w:rsid w:val="004A393D"/>
    <w:rsid w:val="004A39A5"/>
    <w:rsid w:val="004A3BD3"/>
    <w:rsid w:val="004A3CB2"/>
    <w:rsid w:val="004A3D36"/>
    <w:rsid w:val="004A3DB1"/>
    <w:rsid w:val="004A3E6A"/>
    <w:rsid w:val="004A408A"/>
    <w:rsid w:val="004A411E"/>
    <w:rsid w:val="004A4322"/>
    <w:rsid w:val="004A44EE"/>
    <w:rsid w:val="004A47BE"/>
    <w:rsid w:val="004A4870"/>
    <w:rsid w:val="004A4910"/>
    <w:rsid w:val="004A5110"/>
    <w:rsid w:val="004A5351"/>
    <w:rsid w:val="004A575B"/>
    <w:rsid w:val="004A5A1B"/>
    <w:rsid w:val="004A65B5"/>
    <w:rsid w:val="004A6632"/>
    <w:rsid w:val="004A6945"/>
    <w:rsid w:val="004A6AC7"/>
    <w:rsid w:val="004A6B08"/>
    <w:rsid w:val="004A6E02"/>
    <w:rsid w:val="004A6EC2"/>
    <w:rsid w:val="004A71AB"/>
    <w:rsid w:val="004A731B"/>
    <w:rsid w:val="004A7514"/>
    <w:rsid w:val="004A7627"/>
    <w:rsid w:val="004A7A4F"/>
    <w:rsid w:val="004A7A96"/>
    <w:rsid w:val="004A7FA2"/>
    <w:rsid w:val="004B02A0"/>
    <w:rsid w:val="004B03DC"/>
    <w:rsid w:val="004B0420"/>
    <w:rsid w:val="004B0585"/>
    <w:rsid w:val="004B07E9"/>
    <w:rsid w:val="004B086D"/>
    <w:rsid w:val="004B0B88"/>
    <w:rsid w:val="004B0C26"/>
    <w:rsid w:val="004B0D56"/>
    <w:rsid w:val="004B0F57"/>
    <w:rsid w:val="004B1356"/>
    <w:rsid w:val="004B14D9"/>
    <w:rsid w:val="004B19E0"/>
    <w:rsid w:val="004B1AE7"/>
    <w:rsid w:val="004B2040"/>
    <w:rsid w:val="004B2053"/>
    <w:rsid w:val="004B222E"/>
    <w:rsid w:val="004B23AB"/>
    <w:rsid w:val="004B298A"/>
    <w:rsid w:val="004B2A3F"/>
    <w:rsid w:val="004B2B8B"/>
    <w:rsid w:val="004B2F28"/>
    <w:rsid w:val="004B2FC0"/>
    <w:rsid w:val="004B32D0"/>
    <w:rsid w:val="004B3AF4"/>
    <w:rsid w:val="004B41E5"/>
    <w:rsid w:val="004B4316"/>
    <w:rsid w:val="004B470B"/>
    <w:rsid w:val="004B47AA"/>
    <w:rsid w:val="004B480D"/>
    <w:rsid w:val="004B4994"/>
    <w:rsid w:val="004B4ACF"/>
    <w:rsid w:val="004B4CA8"/>
    <w:rsid w:val="004B4CC7"/>
    <w:rsid w:val="004B4E82"/>
    <w:rsid w:val="004B4E9B"/>
    <w:rsid w:val="004B4FF8"/>
    <w:rsid w:val="004B51D2"/>
    <w:rsid w:val="004B5509"/>
    <w:rsid w:val="004B552E"/>
    <w:rsid w:val="004B5895"/>
    <w:rsid w:val="004B65DB"/>
    <w:rsid w:val="004B67FD"/>
    <w:rsid w:val="004B6BEB"/>
    <w:rsid w:val="004B70E0"/>
    <w:rsid w:val="004B759F"/>
    <w:rsid w:val="004B75AE"/>
    <w:rsid w:val="004B7E64"/>
    <w:rsid w:val="004B7E74"/>
    <w:rsid w:val="004C02CD"/>
    <w:rsid w:val="004C061C"/>
    <w:rsid w:val="004C090B"/>
    <w:rsid w:val="004C0912"/>
    <w:rsid w:val="004C0AE5"/>
    <w:rsid w:val="004C1155"/>
    <w:rsid w:val="004C11A8"/>
    <w:rsid w:val="004C1CC3"/>
    <w:rsid w:val="004C1D8A"/>
    <w:rsid w:val="004C23E2"/>
    <w:rsid w:val="004C280C"/>
    <w:rsid w:val="004C2F6C"/>
    <w:rsid w:val="004C32F1"/>
    <w:rsid w:val="004C344E"/>
    <w:rsid w:val="004C360C"/>
    <w:rsid w:val="004C3914"/>
    <w:rsid w:val="004C391C"/>
    <w:rsid w:val="004C3A31"/>
    <w:rsid w:val="004C3ADE"/>
    <w:rsid w:val="004C3C2C"/>
    <w:rsid w:val="004C3C61"/>
    <w:rsid w:val="004C3FC2"/>
    <w:rsid w:val="004C4047"/>
    <w:rsid w:val="004C4224"/>
    <w:rsid w:val="004C47DA"/>
    <w:rsid w:val="004C47E3"/>
    <w:rsid w:val="004C48FF"/>
    <w:rsid w:val="004C4A37"/>
    <w:rsid w:val="004C4AD6"/>
    <w:rsid w:val="004C4E2D"/>
    <w:rsid w:val="004C4F9F"/>
    <w:rsid w:val="004C5991"/>
    <w:rsid w:val="004C5B44"/>
    <w:rsid w:val="004C5F8F"/>
    <w:rsid w:val="004C6141"/>
    <w:rsid w:val="004C61D8"/>
    <w:rsid w:val="004C647D"/>
    <w:rsid w:val="004C648C"/>
    <w:rsid w:val="004C70FD"/>
    <w:rsid w:val="004C73A7"/>
    <w:rsid w:val="004C73EA"/>
    <w:rsid w:val="004C756F"/>
    <w:rsid w:val="004C783B"/>
    <w:rsid w:val="004C79C2"/>
    <w:rsid w:val="004C7A36"/>
    <w:rsid w:val="004C7B98"/>
    <w:rsid w:val="004C7BFE"/>
    <w:rsid w:val="004D020B"/>
    <w:rsid w:val="004D02F1"/>
    <w:rsid w:val="004D030F"/>
    <w:rsid w:val="004D042E"/>
    <w:rsid w:val="004D069E"/>
    <w:rsid w:val="004D0944"/>
    <w:rsid w:val="004D0C67"/>
    <w:rsid w:val="004D0D7E"/>
    <w:rsid w:val="004D0DF9"/>
    <w:rsid w:val="004D0F7A"/>
    <w:rsid w:val="004D0FC4"/>
    <w:rsid w:val="004D11B4"/>
    <w:rsid w:val="004D11C4"/>
    <w:rsid w:val="004D1434"/>
    <w:rsid w:val="004D151B"/>
    <w:rsid w:val="004D1834"/>
    <w:rsid w:val="004D18E2"/>
    <w:rsid w:val="004D1B50"/>
    <w:rsid w:val="004D24B4"/>
    <w:rsid w:val="004D27D7"/>
    <w:rsid w:val="004D2B3C"/>
    <w:rsid w:val="004D301F"/>
    <w:rsid w:val="004D3260"/>
    <w:rsid w:val="004D359F"/>
    <w:rsid w:val="004D3697"/>
    <w:rsid w:val="004D3732"/>
    <w:rsid w:val="004D377B"/>
    <w:rsid w:val="004D378F"/>
    <w:rsid w:val="004D380A"/>
    <w:rsid w:val="004D3964"/>
    <w:rsid w:val="004D3AED"/>
    <w:rsid w:val="004D402B"/>
    <w:rsid w:val="004D414F"/>
    <w:rsid w:val="004D4458"/>
    <w:rsid w:val="004D44B1"/>
    <w:rsid w:val="004D4742"/>
    <w:rsid w:val="004D48A8"/>
    <w:rsid w:val="004D4A58"/>
    <w:rsid w:val="004D4A89"/>
    <w:rsid w:val="004D5249"/>
    <w:rsid w:val="004D5B71"/>
    <w:rsid w:val="004D6321"/>
    <w:rsid w:val="004D6411"/>
    <w:rsid w:val="004D65D5"/>
    <w:rsid w:val="004D667F"/>
    <w:rsid w:val="004D6706"/>
    <w:rsid w:val="004D6C64"/>
    <w:rsid w:val="004D6C98"/>
    <w:rsid w:val="004D792A"/>
    <w:rsid w:val="004D7C37"/>
    <w:rsid w:val="004E00F6"/>
    <w:rsid w:val="004E014F"/>
    <w:rsid w:val="004E0462"/>
    <w:rsid w:val="004E0482"/>
    <w:rsid w:val="004E0887"/>
    <w:rsid w:val="004E088D"/>
    <w:rsid w:val="004E0904"/>
    <w:rsid w:val="004E09B3"/>
    <w:rsid w:val="004E0D52"/>
    <w:rsid w:val="004E1180"/>
    <w:rsid w:val="004E11D8"/>
    <w:rsid w:val="004E1355"/>
    <w:rsid w:val="004E160C"/>
    <w:rsid w:val="004E18EC"/>
    <w:rsid w:val="004E1A99"/>
    <w:rsid w:val="004E1DAE"/>
    <w:rsid w:val="004E1EF6"/>
    <w:rsid w:val="004E2405"/>
    <w:rsid w:val="004E2550"/>
    <w:rsid w:val="004E2A49"/>
    <w:rsid w:val="004E2A72"/>
    <w:rsid w:val="004E2E20"/>
    <w:rsid w:val="004E2F3D"/>
    <w:rsid w:val="004E2F41"/>
    <w:rsid w:val="004E2F4D"/>
    <w:rsid w:val="004E33EF"/>
    <w:rsid w:val="004E352A"/>
    <w:rsid w:val="004E36B6"/>
    <w:rsid w:val="004E3D0A"/>
    <w:rsid w:val="004E3D31"/>
    <w:rsid w:val="004E466C"/>
    <w:rsid w:val="004E4905"/>
    <w:rsid w:val="004E4918"/>
    <w:rsid w:val="004E49AC"/>
    <w:rsid w:val="004E4D7D"/>
    <w:rsid w:val="004E4E21"/>
    <w:rsid w:val="004E4F8A"/>
    <w:rsid w:val="004E50C3"/>
    <w:rsid w:val="004E5591"/>
    <w:rsid w:val="004E5979"/>
    <w:rsid w:val="004E5AD0"/>
    <w:rsid w:val="004E5C45"/>
    <w:rsid w:val="004E612C"/>
    <w:rsid w:val="004E620B"/>
    <w:rsid w:val="004E6605"/>
    <w:rsid w:val="004E66E3"/>
    <w:rsid w:val="004E66E7"/>
    <w:rsid w:val="004E68E6"/>
    <w:rsid w:val="004E6953"/>
    <w:rsid w:val="004E6DA0"/>
    <w:rsid w:val="004E75AA"/>
    <w:rsid w:val="004E7BA4"/>
    <w:rsid w:val="004E7C8E"/>
    <w:rsid w:val="004F02F3"/>
    <w:rsid w:val="004F03E5"/>
    <w:rsid w:val="004F044A"/>
    <w:rsid w:val="004F06CE"/>
    <w:rsid w:val="004F09C4"/>
    <w:rsid w:val="004F09F5"/>
    <w:rsid w:val="004F0B1E"/>
    <w:rsid w:val="004F0D20"/>
    <w:rsid w:val="004F0D71"/>
    <w:rsid w:val="004F0EC2"/>
    <w:rsid w:val="004F1111"/>
    <w:rsid w:val="004F15EC"/>
    <w:rsid w:val="004F1731"/>
    <w:rsid w:val="004F1958"/>
    <w:rsid w:val="004F19EC"/>
    <w:rsid w:val="004F1D5B"/>
    <w:rsid w:val="004F2019"/>
    <w:rsid w:val="004F21B0"/>
    <w:rsid w:val="004F2262"/>
    <w:rsid w:val="004F24B9"/>
    <w:rsid w:val="004F27D4"/>
    <w:rsid w:val="004F290C"/>
    <w:rsid w:val="004F3063"/>
    <w:rsid w:val="004F30CA"/>
    <w:rsid w:val="004F357C"/>
    <w:rsid w:val="004F35C4"/>
    <w:rsid w:val="004F3897"/>
    <w:rsid w:val="004F38EE"/>
    <w:rsid w:val="004F4082"/>
    <w:rsid w:val="004F418A"/>
    <w:rsid w:val="004F41AF"/>
    <w:rsid w:val="004F44BA"/>
    <w:rsid w:val="004F44ED"/>
    <w:rsid w:val="004F4694"/>
    <w:rsid w:val="004F475A"/>
    <w:rsid w:val="004F485B"/>
    <w:rsid w:val="004F4A98"/>
    <w:rsid w:val="004F519A"/>
    <w:rsid w:val="004F548D"/>
    <w:rsid w:val="004F55EC"/>
    <w:rsid w:val="004F560A"/>
    <w:rsid w:val="004F5C1D"/>
    <w:rsid w:val="004F6117"/>
    <w:rsid w:val="004F611A"/>
    <w:rsid w:val="004F664E"/>
    <w:rsid w:val="004F672E"/>
    <w:rsid w:val="004F69B0"/>
    <w:rsid w:val="004F6A5E"/>
    <w:rsid w:val="004F6BEC"/>
    <w:rsid w:val="004F6E1B"/>
    <w:rsid w:val="004F6EBD"/>
    <w:rsid w:val="004F731D"/>
    <w:rsid w:val="004F73F4"/>
    <w:rsid w:val="004F78D7"/>
    <w:rsid w:val="004F7A54"/>
    <w:rsid w:val="004F7AEA"/>
    <w:rsid w:val="004F7E24"/>
    <w:rsid w:val="004F7F15"/>
    <w:rsid w:val="00500267"/>
    <w:rsid w:val="005002BE"/>
    <w:rsid w:val="00500384"/>
    <w:rsid w:val="00500418"/>
    <w:rsid w:val="0050047E"/>
    <w:rsid w:val="005004E3"/>
    <w:rsid w:val="00500673"/>
    <w:rsid w:val="00500E4B"/>
    <w:rsid w:val="0050119A"/>
    <w:rsid w:val="005012E0"/>
    <w:rsid w:val="0050157C"/>
    <w:rsid w:val="005019EE"/>
    <w:rsid w:val="00501D25"/>
    <w:rsid w:val="00501DB8"/>
    <w:rsid w:val="00502154"/>
    <w:rsid w:val="005024C0"/>
    <w:rsid w:val="005026F1"/>
    <w:rsid w:val="00502833"/>
    <w:rsid w:val="00502C38"/>
    <w:rsid w:val="00502DE0"/>
    <w:rsid w:val="00502E8D"/>
    <w:rsid w:val="0050303C"/>
    <w:rsid w:val="0050306C"/>
    <w:rsid w:val="00503124"/>
    <w:rsid w:val="0050318C"/>
    <w:rsid w:val="005031E8"/>
    <w:rsid w:val="0050343A"/>
    <w:rsid w:val="005034AD"/>
    <w:rsid w:val="00503637"/>
    <w:rsid w:val="0050367C"/>
    <w:rsid w:val="00503B71"/>
    <w:rsid w:val="00503BB6"/>
    <w:rsid w:val="00503C10"/>
    <w:rsid w:val="00503CBB"/>
    <w:rsid w:val="00503F5A"/>
    <w:rsid w:val="0050425F"/>
    <w:rsid w:val="00504306"/>
    <w:rsid w:val="0050459E"/>
    <w:rsid w:val="005046BA"/>
    <w:rsid w:val="00504717"/>
    <w:rsid w:val="00504C79"/>
    <w:rsid w:val="00504C8C"/>
    <w:rsid w:val="00504C9F"/>
    <w:rsid w:val="00504CF6"/>
    <w:rsid w:val="00504D42"/>
    <w:rsid w:val="00504DA9"/>
    <w:rsid w:val="00504E0D"/>
    <w:rsid w:val="00505321"/>
    <w:rsid w:val="00505684"/>
    <w:rsid w:val="005058FF"/>
    <w:rsid w:val="00505FDE"/>
    <w:rsid w:val="0050612E"/>
    <w:rsid w:val="00506257"/>
    <w:rsid w:val="005062C4"/>
    <w:rsid w:val="005062EF"/>
    <w:rsid w:val="0050639A"/>
    <w:rsid w:val="0050640E"/>
    <w:rsid w:val="0050660C"/>
    <w:rsid w:val="00506B37"/>
    <w:rsid w:val="00506B8A"/>
    <w:rsid w:val="00507259"/>
    <w:rsid w:val="005074E2"/>
    <w:rsid w:val="00507586"/>
    <w:rsid w:val="00507966"/>
    <w:rsid w:val="00507985"/>
    <w:rsid w:val="00507C04"/>
    <w:rsid w:val="00507FA9"/>
    <w:rsid w:val="005101F9"/>
    <w:rsid w:val="005102A5"/>
    <w:rsid w:val="0051110C"/>
    <w:rsid w:val="00511675"/>
    <w:rsid w:val="005116F7"/>
    <w:rsid w:val="0051199C"/>
    <w:rsid w:val="00511B66"/>
    <w:rsid w:val="00511BD3"/>
    <w:rsid w:val="00511CCF"/>
    <w:rsid w:val="00511D4C"/>
    <w:rsid w:val="00512533"/>
    <w:rsid w:val="00512556"/>
    <w:rsid w:val="00512D5D"/>
    <w:rsid w:val="00512DE9"/>
    <w:rsid w:val="00512E5B"/>
    <w:rsid w:val="005130C3"/>
    <w:rsid w:val="005134A3"/>
    <w:rsid w:val="00513B04"/>
    <w:rsid w:val="00513C44"/>
    <w:rsid w:val="00513DD2"/>
    <w:rsid w:val="005140D4"/>
    <w:rsid w:val="0051410F"/>
    <w:rsid w:val="00514256"/>
    <w:rsid w:val="00514466"/>
    <w:rsid w:val="00514562"/>
    <w:rsid w:val="0051462F"/>
    <w:rsid w:val="00514652"/>
    <w:rsid w:val="00514675"/>
    <w:rsid w:val="0051471F"/>
    <w:rsid w:val="005149AC"/>
    <w:rsid w:val="00514EFE"/>
    <w:rsid w:val="005154CA"/>
    <w:rsid w:val="005155A5"/>
    <w:rsid w:val="005155E2"/>
    <w:rsid w:val="00515683"/>
    <w:rsid w:val="00515789"/>
    <w:rsid w:val="00515E6F"/>
    <w:rsid w:val="00515E88"/>
    <w:rsid w:val="00515FCC"/>
    <w:rsid w:val="00516211"/>
    <w:rsid w:val="00516259"/>
    <w:rsid w:val="00516467"/>
    <w:rsid w:val="005166E4"/>
    <w:rsid w:val="00516838"/>
    <w:rsid w:val="005169C1"/>
    <w:rsid w:val="00516A78"/>
    <w:rsid w:val="00516D48"/>
    <w:rsid w:val="00516E92"/>
    <w:rsid w:val="00517016"/>
    <w:rsid w:val="0051763F"/>
    <w:rsid w:val="005178D7"/>
    <w:rsid w:val="0051794C"/>
    <w:rsid w:val="00517978"/>
    <w:rsid w:val="00517BA6"/>
    <w:rsid w:val="00517DA4"/>
    <w:rsid w:val="0052010E"/>
    <w:rsid w:val="00520155"/>
    <w:rsid w:val="00520277"/>
    <w:rsid w:val="005203A8"/>
    <w:rsid w:val="005204BA"/>
    <w:rsid w:val="00520653"/>
    <w:rsid w:val="0052078B"/>
    <w:rsid w:val="0052081D"/>
    <w:rsid w:val="005208E6"/>
    <w:rsid w:val="005210CC"/>
    <w:rsid w:val="005211F9"/>
    <w:rsid w:val="00521B6F"/>
    <w:rsid w:val="005220FD"/>
    <w:rsid w:val="00522360"/>
    <w:rsid w:val="0052236A"/>
    <w:rsid w:val="005224BC"/>
    <w:rsid w:val="00522529"/>
    <w:rsid w:val="00522E2A"/>
    <w:rsid w:val="00522E69"/>
    <w:rsid w:val="005238AB"/>
    <w:rsid w:val="00523BB2"/>
    <w:rsid w:val="005241F5"/>
    <w:rsid w:val="00524684"/>
    <w:rsid w:val="00524C07"/>
    <w:rsid w:val="005250DE"/>
    <w:rsid w:val="00525718"/>
    <w:rsid w:val="005257BE"/>
    <w:rsid w:val="005257FD"/>
    <w:rsid w:val="005259AE"/>
    <w:rsid w:val="00525DD7"/>
    <w:rsid w:val="00525DFB"/>
    <w:rsid w:val="0052693C"/>
    <w:rsid w:val="005269B6"/>
    <w:rsid w:val="00526A31"/>
    <w:rsid w:val="00527119"/>
    <w:rsid w:val="0052761F"/>
    <w:rsid w:val="0052797B"/>
    <w:rsid w:val="00527A1B"/>
    <w:rsid w:val="00527AD5"/>
    <w:rsid w:val="00527B0E"/>
    <w:rsid w:val="00527E3E"/>
    <w:rsid w:val="00527EB7"/>
    <w:rsid w:val="00527F82"/>
    <w:rsid w:val="00530239"/>
    <w:rsid w:val="00530251"/>
    <w:rsid w:val="005306A9"/>
    <w:rsid w:val="005306B0"/>
    <w:rsid w:val="00530867"/>
    <w:rsid w:val="00530A58"/>
    <w:rsid w:val="00530A99"/>
    <w:rsid w:val="00530C27"/>
    <w:rsid w:val="00530D2F"/>
    <w:rsid w:val="00530F17"/>
    <w:rsid w:val="00531035"/>
    <w:rsid w:val="0053152B"/>
    <w:rsid w:val="00531707"/>
    <w:rsid w:val="005319ED"/>
    <w:rsid w:val="00531D1C"/>
    <w:rsid w:val="00531DC9"/>
    <w:rsid w:val="005320BB"/>
    <w:rsid w:val="0053217E"/>
    <w:rsid w:val="005323A0"/>
    <w:rsid w:val="005326D6"/>
    <w:rsid w:val="00532876"/>
    <w:rsid w:val="00532BE1"/>
    <w:rsid w:val="005333A7"/>
    <w:rsid w:val="005337DE"/>
    <w:rsid w:val="00533B5A"/>
    <w:rsid w:val="00533CBB"/>
    <w:rsid w:val="00533F4C"/>
    <w:rsid w:val="00533F8D"/>
    <w:rsid w:val="00534913"/>
    <w:rsid w:val="00534A8F"/>
    <w:rsid w:val="00534CAB"/>
    <w:rsid w:val="0053547F"/>
    <w:rsid w:val="005355EC"/>
    <w:rsid w:val="0053568C"/>
    <w:rsid w:val="005356A3"/>
    <w:rsid w:val="00535814"/>
    <w:rsid w:val="00535BA9"/>
    <w:rsid w:val="00535F55"/>
    <w:rsid w:val="0053644E"/>
    <w:rsid w:val="005365B3"/>
    <w:rsid w:val="00536945"/>
    <w:rsid w:val="005369DB"/>
    <w:rsid w:val="00536C3A"/>
    <w:rsid w:val="00536DFE"/>
    <w:rsid w:val="00536F93"/>
    <w:rsid w:val="005370CC"/>
    <w:rsid w:val="005370CD"/>
    <w:rsid w:val="005370E6"/>
    <w:rsid w:val="0053730D"/>
    <w:rsid w:val="005375CF"/>
    <w:rsid w:val="00537850"/>
    <w:rsid w:val="00537F3A"/>
    <w:rsid w:val="005400BF"/>
    <w:rsid w:val="00540449"/>
    <w:rsid w:val="005406F4"/>
    <w:rsid w:val="0054079E"/>
    <w:rsid w:val="00540876"/>
    <w:rsid w:val="00540B4F"/>
    <w:rsid w:val="00540DE9"/>
    <w:rsid w:val="00540F89"/>
    <w:rsid w:val="0054116F"/>
    <w:rsid w:val="005412C2"/>
    <w:rsid w:val="00541431"/>
    <w:rsid w:val="00541432"/>
    <w:rsid w:val="005415A7"/>
    <w:rsid w:val="0054187A"/>
    <w:rsid w:val="0054193E"/>
    <w:rsid w:val="00541B7C"/>
    <w:rsid w:val="005420FE"/>
    <w:rsid w:val="00542157"/>
    <w:rsid w:val="00542442"/>
    <w:rsid w:val="00542A6D"/>
    <w:rsid w:val="00542BE4"/>
    <w:rsid w:val="00542E03"/>
    <w:rsid w:val="00542FA8"/>
    <w:rsid w:val="00543451"/>
    <w:rsid w:val="005435AE"/>
    <w:rsid w:val="0054367A"/>
    <w:rsid w:val="005437E9"/>
    <w:rsid w:val="005437FF"/>
    <w:rsid w:val="00544143"/>
    <w:rsid w:val="0054418B"/>
    <w:rsid w:val="00544402"/>
    <w:rsid w:val="00544537"/>
    <w:rsid w:val="005446EA"/>
    <w:rsid w:val="005449E8"/>
    <w:rsid w:val="00544BA9"/>
    <w:rsid w:val="00544CA0"/>
    <w:rsid w:val="0054505E"/>
    <w:rsid w:val="00545479"/>
    <w:rsid w:val="00545616"/>
    <w:rsid w:val="005457B1"/>
    <w:rsid w:val="00545F37"/>
    <w:rsid w:val="005462FC"/>
    <w:rsid w:val="00546339"/>
    <w:rsid w:val="005464DA"/>
    <w:rsid w:val="005465AD"/>
    <w:rsid w:val="00546C19"/>
    <w:rsid w:val="00546CFB"/>
    <w:rsid w:val="00547048"/>
    <w:rsid w:val="00547326"/>
    <w:rsid w:val="00547673"/>
    <w:rsid w:val="005479A6"/>
    <w:rsid w:val="00547CED"/>
    <w:rsid w:val="0055003C"/>
    <w:rsid w:val="005501F2"/>
    <w:rsid w:val="0055046A"/>
    <w:rsid w:val="00550483"/>
    <w:rsid w:val="00550529"/>
    <w:rsid w:val="00550C77"/>
    <w:rsid w:val="00550CF9"/>
    <w:rsid w:val="00551165"/>
    <w:rsid w:val="00551656"/>
    <w:rsid w:val="00551B47"/>
    <w:rsid w:val="00551C6E"/>
    <w:rsid w:val="00551D79"/>
    <w:rsid w:val="00551E18"/>
    <w:rsid w:val="005520F9"/>
    <w:rsid w:val="00552157"/>
    <w:rsid w:val="005521FF"/>
    <w:rsid w:val="00552400"/>
    <w:rsid w:val="005527BD"/>
    <w:rsid w:val="00552894"/>
    <w:rsid w:val="005529A7"/>
    <w:rsid w:val="00552D32"/>
    <w:rsid w:val="00552DA0"/>
    <w:rsid w:val="0055335B"/>
    <w:rsid w:val="0055361D"/>
    <w:rsid w:val="00553C5C"/>
    <w:rsid w:val="00553C79"/>
    <w:rsid w:val="00553C98"/>
    <w:rsid w:val="005540E0"/>
    <w:rsid w:val="005540E1"/>
    <w:rsid w:val="0055466B"/>
    <w:rsid w:val="005547D1"/>
    <w:rsid w:val="00554C68"/>
    <w:rsid w:val="00554FA8"/>
    <w:rsid w:val="00555137"/>
    <w:rsid w:val="0055524F"/>
    <w:rsid w:val="00555273"/>
    <w:rsid w:val="00555394"/>
    <w:rsid w:val="00555425"/>
    <w:rsid w:val="00555863"/>
    <w:rsid w:val="00555A5B"/>
    <w:rsid w:val="00555B05"/>
    <w:rsid w:val="00555C11"/>
    <w:rsid w:val="00555EF4"/>
    <w:rsid w:val="005562AC"/>
    <w:rsid w:val="00556502"/>
    <w:rsid w:val="005566B8"/>
    <w:rsid w:val="005566ED"/>
    <w:rsid w:val="00556773"/>
    <w:rsid w:val="00556942"/>
    <w:rsid w:val="0055716E"/>
    <w:rsid w:val="005574D6"/>
    <w:rsid w:val="00557692"/>
    <w:rsid w:val="0055783E"/>
    <w:rsid w:val="00557B46"/>
    <w:rsid w:val="00557D86"/>
    <w:rsid w:val="00560084"/>
    <w:rsid w:val="0056012C"/>
    <w:rsid w:val="0056015D"/>
    <w:rsid w:val="0056056B"/>
    <w:rsid w:val="005607AB"/>
    <w:rsid w:val="00560DE0"/>
    <w:rsid w:val="00560E3D"/>
    <w:rsid w:val="005610E2"/>
    <w:rsid w:val="005610EC"/>
    <w:rsid w:val="00561238"/>
    <w:rsid w:val="00561286"/>
    <w:rsid w:val="005617CD"/>
    <w:rsid w:val="005619FD"/>
    <w:rsid w:val="00561AA7"/>
    <w:rsid w:val="00561CC2"/>
    <w:rsid w:val="00561EDC"/>
    <w:rsid w:val="00562141"/>
    <w:rsid w:val="00562236"/>
    <w:rsid w:val="00562296"/>
    <w:rsid w:val="00562560"/>
    <w:rsid w:val="00562C8C"/>
    <w:rsid w:val="00562CD7"/>
    <w:rsid w:val="00562D59"/>
    <w:rsid w:val="00562EA4"/>
    <w:rsid w:val="00563236"/>
    <w:rsid w:val="00563913"/>
    <w:rsid w:val="0056395C"/>
    <w:rsid w:val="00563986"/>
    <w:rsid w:val="00563A70"/>
    <w:rsid w:val="00563BCD"/>
    <w:rsid w:val="0056400F"/>
    <w:rsid w:val="005640D6"/>
    <w:rsid w:val="0056416C"/>
    <w:rsid w:val="00564461"/>
    <w:rsid w:val="00564490"/>
    <w:rsid w:val="0056452B"/>
    <w:rsid w:val="0056495D"/>
    <w:rsid w:val="005649BD"/>
    <w:rsid w:val="00564D22"/>
    <w:rsid w:val="00565309"/>
    <w:rsid w:val="00565510"/>
    <w:rsid w:val="0056579A"/>
    <w:rsid w:val="0056585F"/>
    <w:rsid w:val="005658FC"/>
    <w:rsid w:val="00565C1F"/>
    <w:rsid w:val="00565CD2"/>
    <w:rsid w:val="005662E9"/>
    <w:rsid w:val="0056690B"/>
    <w:rsid w:val="00566B71"/>
    <w:rsid w:val="00566D67"/>
    <w:rsid w:val="00566DD0"/>
    <w:rsid w:val="00566FC8"/>
    <w:rsid w:val="00567B53"/>
    <w:rsid w:val="00567C3F"/>
    <w:rsid w:val="0057007D"/>
    <w:rsid w:val="0057014E"/>
    <w:rsid w:val="00570383"/>
    <w:rsid w:val="00570536"/>
    <w:rsid w:val="00570BEC"/>
    <w:rsid w:val="00570D89"/>
    <w:rsid w:val="00570E7B"/>
    <w:rsid w:val="00570FDD"/>
    <w:rsid w:val="00571161"/>
    <w:rsid w:val="0057139D"/>
    <w:rsid w:val="00571672"/>
    <w:rsid w:val="005717E9"/>
    <w:rsid w:val="0057186D"/>
    <w:rsid w:val="00571EB9"/>
    <w:rsid w:val="0057204C"/>
    <w:rsid w:val="0057207B"/>
    <w:rsid w:val="00572205"/>
    <w:rsid w:val="00572701"/>
    <w:rsid w:val="00572719"/>
    <w:rsid w:val="0057283D"/>
    <w:rsid w:val="0057297B"/>
    <w:rsid w:val="00572A95"/>
    <w:rsid w:val="00572DCA"/>
    <w:rsid w:val="0057315D"/>
    <w:rsid w:val="005733ED"/>
    <w:rsid w:val="00573A45"/>
    <w:rsid w:val="00573D0B"/>
    <w:rsid w:val="00573D28"/>
    <w:rsid w:val="00573E2D"/>
    <w:rsid w:val="00573F59"/>
    <w:rsid w:val="0057405D"/>
    <w:rsid w:val="00574167"/>
    <w:rsid w:val="0057419A"/>
    <w:rsid w:val="00574491"/>
    <w:rsid w:val="005746C2"/>
    <w:rsid w:val="00574D58"/>
    <w:rsid w:val="00574D73"/>
    <w:rsid w:val="0057506B"/>
    <w:rsid w:val="00575180"/>
    <w:rsid w:val="005751DD"/>
    <w:rsid w:val="00575344"/>
    <w:rsid w:val="005753E0"/>
    <w:rsid w:val="00575431"/>
    <w:rsid w:val="005755C6"/>
    <w:rsid w:val="005756AE"/>
    <w:rsid w:val="00575C24"/>
    <w:rsid w:val="00575D65"/>
    <w:rsid w:val="00575E82"/>
    <w:rsid w:val="00576271"/>
    <w:rsid w:val="00576725"/>
    <w:rsid w:val="005769BD"/>
    <w:rsid w:val="00576ECE"/>
    <w:rsid w:val="005771A1"/>
    <w:rsid w:val="005771D2"/>
    <w:rsid w:val="00577903"/>
    <w:rsid w:val="00577974"/>
    <w:rsid w:val="00577A43"/>
    <w:rsid w:val="00577A73"/>
    <w:rsid w:val="00577BAC"/>
    <w:rsid w:val="00577C7B"/>
    <w:rsid w:val="0058008D"/>
    <w:rsid w:val="00580C8D"/>
    <w:rsid w:val="00580E2A"/>
    <w:rsid w:val="00580E5F"/>
    <w:rsid w:val="00581132"/>
    <w:rsid w:val="0058199A"/>
    <w:rsid w:val="00581FAE"/>
    <w:rsid w:val="00582027"/>
    <w:rsid w:val="00582225"/>
    <w:rsid w:val="0058227B"/>
    <w:rsid w:val="005822EE"/>
    <w:rsid w:val="00582987"/>
    <w:rsid w:val="00582AC7"/>
    <w:rsid w:val="00582E72"/>
    <w:rsid w:val="005832DA"/>
    <w:rsid w:val="0058351D"/>
    <w:rsid w:val="0058361D"/>
    <w:rsid w:val="0058371A"/>
    <w:rsid w:val="00583FC8"/>
    <w:rsid w:val="005841B4"/>
    <w:rsid w:val="0058440D"/>
    <w:rsid w:val="00584485"/>
    <w:rsid w:val="005845FB"/>
    <w:rsid w:val="00584793"/>
    <w:rsid w:val="005849F8"/>
    <w:rsid w:val="00584D2E"/>
    <w:rsid w:val="00584E24"/>
    <w:rsid w:val="00585284"/>
    <w:rsid w:val="005853BE"/>
    <w:rsid w:val="00585958"/>
    <w:rsid w:val="005859DE"/>
    <w:rsid w:val="00585AFC"/>
    <w:rsid w:val="00585B43"/>
    <w:rsid w:val="00585BB6"/>
    <w:rsid w:val="00585BC5"/>
    <w:rsid w:val="0058613A"/>
    <w:rsid w:val="005868E5"/>
    <w:rsid w:val="00586A4E"/>
    <w:rsid w:val="00586B58"/>
    <w:rsid w:val="00586DF8"/>
    <w:rsid w:val="0058702A"/>
    <w:rsid w:val="00587086"/>
    <w:rsid w:val="0058723B"/>
    <w:rsid w:val="005873C6"/>
    <w:rsid w:val="0058771C"/>
    <w:rsid w:val="00587746"/>
    <w:rsid w:val="005877DD"/>
    <w:rsid w:val="00587835"/>
    <w:rsid w:val="00587A29"/>
    <w:rsid w:val="00587EE4"/>
    <w:rsid w:val="00587F16"/>
    <w:rsid w:val="00590493"/>
    <w:rsid w:val="00590584"/>
    <w:rsid w:val="005909C7"/>
    <w:rsid w:val="00590CBE"/>
    <w:rsid w:val="00590ED9"/>
    <w:rsid w:val="00591146"/>
    <w:rsid w:val="0059127D"/>
    <w:rsid w:val="005913DA"/>
    <w:rsid w:val="00591566"/>
    <w:rsid w:val="0059156F"/>
    <w:rsid w:val="005917C0"/>
    <w:rsid w:val="00591B64"/>
    <w:rsid w:val="00591BCA"/>
    <w:rsid w:val="00591FD5"/>
    <w:rsid w:val="00592175"/>
    <w:rsid w:val="00592211"/>
    <w:rsid w:val="005926E1"/>
    <w:rsid w:val="0059299B"/>
    <w:rsid w:val="00592A74"/>
    <w:rsid w:val="00592D9A"/>
    <w:rsid w:val="00592DAD"/>
    <w:rsid w:val="00592E7A"/>
    <w:rsid w:val="00592EC2"/>
    <w:rsid w:val="00592F0C"/>
    <w:rsid w:val="00592F35"/>
    <w:rsid w:val="00593105"/>
    <w:rsid w:val="0059317E"/>
    <w:rsid w:val="0059355E"/>
    <w:rsid w:val="005946E4"/>
    <w:rsid w:val="00594992"/>
    <w:rsid w:val="00594B4C"/>
    <w:rsid w:val="00594B91"/>
    <w:rsid w:val="00594DA9"/>
    <w:rsid w:val="00594E0C"/>
    <w:rsid w:val="00594EA1"/>
    <w:rsid w:val="00594EBE"/>
    <w:rsid w:val="0059513D"/>
    <w:rsid w:val="005954C1"/>
    <w:rsid w:val="0059558E"/>
    <w:rsid w:val="00595BB2"/>
    <w:rsid w:val="00595D9B"/>
    <w:rsid w:val="00595FF7"/>
    <w:rsid w:val="005961E6"/>
    <w:rsid w:val="00596366"/>
    <w:rsid w:val="00596681"/>
    <w:rsid w:val="0059669C"/>
    <w:rsid w:val="005967B3"/>
    <w:rsid w:val="00596A9A"/>
    <w:rsid w:val="00596ABF"/>
    <w:rsid w:val="00596BB9"/>
    <w:rsid w:val="00596E6C"/>
    <w:rsid w:val="00596ECC"/>
    <w:rsid w:val="00596F93"/>
    <w:rsid w:val="0059756B"/>
    <w:rsid w:val="00597600"/>
    <w:rsid w:val="005A0764"/>
    <w:rsid w:val="005A0880"/>
    <w:rsid w:val="005A0A6C"/>
    <w:rsid w:val="005A0E28"/>
    <w:rsid w:val="005A0ECB"/>
    <w:rsid w:val="005A127A"/>
    <w:rsid w:val="005A12E5"/>
    <w:rsid w:val="005A15BE"/>
    <w:rsid w:val="005A1AC0"/>
    <w:rsid w:val="005A1CA2"/>
    <w:rsid w:val="005A20EF"/>
    <w:rsid w:val="005A26CF"/>
    <w:rsid w:val="005A2CB2"/>
    <w:rsid w:val="005A3090"/>
    <w:rsid w:val="005A323A"/>
    <w:rsid w:val="005A37CF"/>
    <w:rsid w:val="005A416D"/>
    <w:rsid w:val="005A4226"/>
    <w:rsid w:val="005A448A"/>
    <w:rsid w:val="005A4B2F"/>
    <w:rsid w:val="005A4BEA"/>
    <w:rsid w:val="005A4F44"/>
    <w:rsid w:val="005A50A1"/>
    <w:rsid w:val="005A5375"/>
    <w:rsid w:val="005A5474"/>
    <w:rsid w:val="005A5485"/>
    <w:rsid w:val="005A566B"/>
    <w:rsid w:val="005A5816"/>
    <w:rsid w:val="005A5A60"/>
    <w:rsid w:val="005A5BC2"/>
    <w:rsid w:val="005A62C7"/>
    <w:rsid w:val="005A67D0"/>
    <w:rsid w:val="005A6DED"/>
    <w:rsid w:val="005A7008"/>
    <w:rsid w:val="005A722D"/>
    <w:rsid w:val="005A7247"/>
    <w:rsid w:val="005A7321"/>
    <w:rsid w:val="005A74BF"/>
    <w:rsid w:val="005A74DA"/>
    <w:rsid w:val="005A7591"/>
    <w:rsid w:val="005A7A8E"/>
    <w:rsid w:val="005A7B71"/>
    <w:rsid w:val="005A7F42"/>
    <w:rsid w:val="005B0185"/>
    <w:rsid w:val="005B0583"/>
    <w:rsid w:val="005B1691"/>
    <w:rsid w:val="005B1705"/>
    <w:rsid w:val="005B17D7"/>
    <w:rsid w:val="005B1A1F"/>
    <w:rsid w:val="005B1AAC"/>
    <w:rsid w:val="005B1F8D"/>
    <w:rsid w:val="005B221E"/>
    <w:rsid w:val="005B234A"/>
    <w:rsid w:val="005B2997"/>
    <w:rsid w:val="005B2D6F"/>
    <w:rsid w:val="005B2E49"/>
    <w:rsid w:val="005B36E9"/>
    <w:rsid w:val="005B3C51"/>
    <w:rsid w:val="005B3F57"/>
    <w:rsid w:val="005B3F61"/>
    <w:rsid w:val="005B3FD0"/>
    <w:rsid w:val="005B427B"/>
    <w:rsid w:val="005B4800"/>
    <w:rsid w:val="005B4821"/>
    <w:rsid w:val="005B483A"/>
    <w:rsid w:val="005B4A8A"/>
    <w:rsid w:val="005B4AFC"/>
    <w:rsid w:val="005B4C62"/>
    <w:rsid w:val="005B4F5D"/>
    <w:rsid w:val="005B4FE0"/>
    <w:rsid w:val="005B5001"/>
    <w:rsid w:val="005B5027"/>
    <w:rsid w:val="005B531C"/>
    <w:rsid w:val="005B558E"/>
    <w:rsid w:val="005B570F"/>
    <w:rsid w:val="005B5C89"/>
    <w:rsid w:val="005B5D46"/>
    <w:rsid w:val="005B5E64"/>
    <w:rsid w:val="005B6040"/>
    <w:rsid w:val="005B638B"/>
    <w:rsid w:val="005B72C6"/>
    <w:rsid w:val="005B7359"/>
    <w:rsid w:val="005B76FA"/>
    <w:rsid w:val="005B78FC"/>
    <w:rsid w:val="005B7958"/>
    <w:rsid w:val="005B7BA2"/>
    <w:rsid w:val="005C0046"/>
    <w:rsid w:val="005C00E1"/>
    <w:rsid w:val="005C0142"/>
    <w:rsid w:val="005C01BA"/>
    <w:rsid w:val="005C0418"/>
    <w:rsid w:val="005C0B3B"/>
    <w:rsid w:val="005C0BCB"/>
    <w:rsid w:val="005C0E76"/>
    <w:rsid w:val="005C10A3"/>
    <w:rsid w:val="005C1241"/>
    <w:rsid w:val="005C14D7"/>
    <w:rsid w:val="005C18C8"/>
    <w:rsid w:val="005C1A6C"/>
    <w:rsid w:val="005C1A8E"/>
    <w:rsid w:val="005C1B27"/>
    <w:rsid w:val="005C1BFF"/>
    <w:rsid w:val="005C1C22"/>
    <w:rsid w:val="005C2055"/>
    <w:rsid w:val="005C217F"/>
    <w:rsid w:val="005C2244"/>
    <w:rsid w:val="005C24D0"/>
    <w:rsid w:val="005C24D8"/>
    <w:rsid w:val="005C2706"/>
    <w:rsid w:val="005C2721"/>
    <w:rsid w:val="005C27FC"/>
    <w:rsid w:val="005C2A12"/>
    <w:rsid w:val="005C2E9E"/>
    <w:rsid w:val="005C350D"/>
    <w:rsid w:val="005C3511"/>
    <w:rsid w:val="005C36AF"/>
    <w:rsid w:val="005C3BA1"/>
    <w:rsid w:val="005C3BA4"/>
    <w:rsid w:val="005C3D0F"/>
    <w:rsid w:val="005C3E7E"/>
    <w:rsid w:val="005C402D"/>
    <w:rsid w:val="005C4137"/>
    <w:rsid w:val="005C42B2"/>
    <w:rsid w:val="005C43C0"/>
    <w:rsid w:val="005C444D"/>
    <w:rsid w:val="005C45A6"/>
    <w:rsid w:val="005C46EB"/>
    <w:rsid w:val="005C476D"/>
    <w:rsid w:val="005C47F4"/>
    <w:rsid w:val="005C4922"/>
    <w:rsid w:val="005C49FA"/>
    <w:rsid w:val="005C4D65"/>
    <w:rsid w:val="005C4E2E"/>
    <w:rsid w:val="005C507B"/>
    <w:rsid w:val="005C50B8"/>
    <w:rsid w:val="005C5471"/>
    <w:rsid w:val="005C555E"/>
    <w:rsid w:val="005C5753"/>
    <w:rsid w:val="005C5928"/>
    <w:rsid w:val="005C59C9"/>
    <w:rsid w:val="005C6165"/>
    <w:rsid w:val="005C61C7"/>
    <w:rsid w:val="005C65C6"/>
    <w:rsid w:val="005C65E4"/>
    <w:rsid w:val="005C6656"/>
    <w:rsid w:val="005C66C1"/>
    <w:rsid w:val="005C6ABB"/>
    <w:rsid w:val="005C6C5F"/>
    <w:rsid w:val="005C6E1D"/>
    <w:rsid w:val="005C70CF"/>
    <w:rsid w:val="005C748D"/>
    <w:rsid w:val="005C7724"/>
    <w:rsid w:val="005C7BE3"/>
    <w:rsid w:val="005C7CCE"/>
    <w:rsid w:val="005C7CF1"/>
    <w:rsid w:val="005C7D52"/>
    <w:rsid w:val="005D05AE"/>
    <w:rsid w:val="005D0787"/>
    <w:rsid w:val="005D07B5"/>
    <w:rsid w:val="005D09B0"/>
    <w:rsid w:val="005D0A32"/>
    <w:rsid w:val="005D0D5D"/>
    <w:rsid w:val="005D0F2C"/>
    <w:rsid w:val="005D1101"/>
    <w:rsid w:val="005D11B3"/>
    <w:rsid w:val="005D12D8"/>
    <w:rsid w:val="005D12EF"/>
    <w:rsid w:val="005D14D5"/>
    <w:rsid w:val="005D161E"/>
    <w:rsid w:val="005D16F9"/>
    <w:rsid w:val="005D1910"/>
    <w:rsid w:val="005D19E9"/>
    <w:rsid w:val="005D1A05"/>
    <w:rsid w:val="005D1A8E"/>
    <w:rsid w:val="005D1C64"/>
    <w:rsid w:val="005D1D1D"/>
    <w:rsid w:val="005D1D66"/>
    <w:rsid w:val="005D1DB5"/>
    <w:rsid w:val="005D1ED4"/>
    <w:rsid w:val="005D205A"/>
    <w:rsid w:val="005D21B1"/>
    <w:rsid w:val="005D26A4"/>
    <w:rsid w:val="005D2CC8"/>
    <w:rsid w:val="005D2E12"/>
    <w:rsid w:val="005D2EC0"/>
    <w:rsid w:val="005D2F24"/>
    <w:rsid w:val="005D3738"/>
    <w:rsid w:val="005D3C58"/>
    <w:rsid w:val="005D3F9A"/>
    <w:rsid w:val="005D407C"/>
    <w:rsid w:val="005D4090"/>
    <w:rsid w:val="005D410B"/>
    <w:rsid w:val="005D425E"/>
    <w:rsid w:val="005D4430"/>
    <w:rsid w:val="005D4FDC"/>
    <w:rsid w:val="005D500E"/>
    <w:rsid w:val="005D5660"/>
    <w:rsid w:val="005D59E1"/>
    <w:rsid w:val="005D5E0B"/>
    <w:rsid w:val="005D66C7"/>
    <w:rsid w:val="005D67F7"/>
    <w:rsid w:val="005D6957"/>
    <w:rsid w:val="005D6E98"/>
    <w:rsid w:val="005D6F8C"/>
    <w:rsid w:val="005D74D9"/>
    <w:rsid w:val="005D77C8"/>
    <w:rsid w:val="005D7934"/>
    <w:rsid w:val="005D7D0C"/>
    <w:rsid w:val="005E027B"/>
    <w:rsid w:val="005E053B"/>
    <w:rsid w:val="005E09AB"/>
    <w:rsid w:val="005E0DB4"/>
    <w:rsid w:val="005E0E11"/>
    <w:rsid w:val="005E0E44"/>
    <w:rsid w:val="005E0F0F"/>
    <w:rsid w:val="005E11C2"/>
    <w:rsid w:val="005E1260"/>
    <w:rsid w:val="005E15F3"/>
    <w:rsid w:val="005E1766"/>
    <w:rsid w:val="005E1979"/>
    <w:rsid w:val="005E1AB5"/>
    <w:rsid w:val="005E1BC4"/>
    <w:rsid w:val="005E21B0"/>
    <w:rsid w:val="005E22EF"/>
    <w:rsid w:val="005E2718"/>
    <w:rsid w:val="005E2A4B"/>
    <w:rsid w:val="005E2C27"/>
    <w:rsid w:val="005E2CDE"/>
    <w:rsid w:val="005E2DCC"/>
    <w:rsid w:val="005E2EDE"/>
    <w:rsid w:val="005E2F69"/>
    <w:rsid w:val="005E3087"/>
    <w:rsid w:val="005E3369"/>
    <w:rsid w:val="005E3C40"/>
    <w:rsid w:val="005E3CFE"/>
    <w:rsid w:val="005E3E15"/>
    <w:rsid w:val="005E3F11"/>
    <w:rsid w:val="005E43F1"/>
    <w:rsid w:val="005E45C3"/>
    <w:rsid w:val="005E463C"/>
    <w:rsid w:val="005E469E"/>
    <w:rsid w:val="005E46E2"/>
    <w:rsid w:val="005E4805"/>
    <w:rsid w:val="005E49F6"/>
    <w:rsid w:val="005E4CD4"/>
    <w:rsid w:val="005E4D66"/>
    <w:rsid w:val="005E4F5F"/>
    <w:rsid w:val="005E52FF"/>
    <w:rsid w:val="005E53DC"/>
    <w:rsid w:val="005E547E"/>
    <w:rsid w:val="005E54BA"/>
    <w:rsid w:val="005E551E"/>
    <w:rsid w:val="005E58E3"/>
    <w:rsid w:val="005E5A6B"/>
    <w:rsid w:val="005E5AFC"/>
    <w:rsid w:val="005E6160"/>
    <w:rsid w:val="005E6944"/>
    <w:rsid w:val="005E69B2"/>
    <w:rsid w:val="005E6E09"/>
    <w:rsid w:val="005E7139"/>
    <w:rsid w:val="005E7296"/>
    <w:rsid w:val="005E7365"/>
    <w:rsid w:val="005E748A"/>
    <w:rsid w:val="005E7794"/>
    <w:rsid w:val="005E78D4"/>
    <w:rsid w:val="005E7A76"/>
    <w:rsid w:val="005E7AC2"/>
    <w:rsid w:val="005E7FA6"/>
    <w:rsid w:val="005F00B5"/>
    <w:rsid w:val="005F0320"/>
    <w:rsid w:val="005F08C2"/>
    <w:rsid w:val="005F0A7E"/>
    <w:rsid w:val="005F0ABC"/>
    <w:rsid w:val="005F0D9B"/>
    <w:rsid w:val="005F0F3F"/>
    <w:rsid w:val="005F100D"/>
    <w:rsid w:val="005F14E3"/>
    <w:rsid w:val="005F165F"/>
    <w:rsid w:val="005F174C"/>
    <w:rsid w:val="005F1B95"/>
    <w:rsid w:val="005F1D37"/>
    <w:rsid w:val="005F23E7"/>
    <w:rsid w:val="005F25FF"/>
    <w:rsid w:val="005F2921"/>
    <w:rsid w:val="005F2AF5"/>
    <w:rsid w:val="005F2B74"/>
    <w:rsid w:val="005F2E48"/>
    <w:rsid w:val="005F31EF"/>
    <w:rsid w:val="005F3415"/>
    <w:rsid w:val="005F3800"/>
    <w:rsid w:val="005F3854"/>
    <w:rsid w:val="005F3B6D"/>
    <w:rsid w:val="005F3B97"/>
    <w:rsid w:val="005F4658"/>
    <w:rsid w:val="005F46E5"/>
    <w:rsid w:val="005F47FC"/>
    <w:rsid w:val="005F486E"/>
    <w:rsid w:val="005F4A3C"/>
    <w:rsid w:val="005F4C23"/>
    <w:rsid w:val="005F4E63"/>
    <w:rsid w:val="005F4E7A"/>
    <w:rsid w:val="005F4F03"/>
    <w:rsid w:val="005F4FEE"/>
    <w:rsid w:val="005F5247"/>
    <w:rsid w:val="005F5495"/>
    <w:rsid w:val="005F554D"/>
    <w:rsid w:val="005F5799"/>
    <w:rsid w:val="005F5897"/>
    <w:rsid w:val="005F593D"/>
    <w:rsid w:val="005F5976"/>
    <w:rsid w:val="005F5C38"/>
    <w:rsid w:val="005F5D90"/>
    <w:rsid w:val="005F603B"/>
    <w:rsid w:val="005F625A"/>
    <w:rsid w:val="005F62C9"/>
    <w:rsid w:val="005F6432"/>
    <w:rsid w:val="005F68A1"/>
    <w:rsid w:val="005F6984"/>
    <w:rsid w:val="005F69C8"/>
    <w:rsid w:val="005F6B1F"/>
    <w:rsid w:val="005F6D17"/>
    <w:rsid w:val="005F6FE2"/>
    <w:rsid w:val="005F6FFD"/>
    <w:rsid w:val="005F7334"/>
    <w:rsid w:val="005F793A"/>
    <w:rsid w:val="005F79BC"/>
    <w:rsid w:val="005F7AAA"/>
    <w:rsid w:val="005F7C8C"/>
    <w:rsid w:val="005F7F54"/>
    <w:rsid w:val="005F7F7D"/>
    <w:rsid w:val="00600098"/>
    <w:rsid w:val="006001B7"/>
    <w:rsid w:val="0060070A"/>
    <w:rsid w:val="00600719"/>
    <w:rsid w:val="006007EE"/>
    <w:rsid w:val="006008D2"/>
    <w:rsid w:val="00600C51"/>
    <w:rsid w:val="00600C59"/>
    <w:rsid w:val="00600ECD"/>
    <w:rsid w:val="00600F38"/>
    <w:rsid w:val="00600F76"/>
    <w:rsid w:val="00600FD1"/>
    <w:rsid w:val="0060115C"/>
    <w:rsid w:val="006014F0"/>
    <w:rsid w:val="00601802"/>
    <w:rsid w:val="0060184D"/>
    <w:rsid w:val="006018E8"/>
    <w:rsid w:val="00601E77"/>
    <w:rsid w:val="006022CB"/>
    <w:rsid w:val="00602999"/>
    <w:rsid w:val="00602B58"/>
    <w:rsid w:val="00602BE8"/>
    <w:rsid w:val="00602E54"/>
    <w:rsid w:val="0060301B"/>
    <w:rsid w:val="0060351C"/>
    <w:rsid w:val="00603696"/>
    <w:rsid w:val="00603991"/>
    <w:rsid w:val="006039B2"/>
    <w:rsid w:val="00603B68"/>
    <w:rsid w:val="00603B92"/>
    <w:rsid w:val="00603DC7"/>
    <w:rsid w:val="00603FC4"/>
    <w:rsid w:val="0060427D"/>
    <w:rsid w:val="00604301"/>
    <w:rsid w:val="006045B6"/>
    <w:rsid w:val="006045C1"/>
    <w:rsid w:val="0060473D"/>
    <w:rsid w:val="00604A96"/>
    <w:rsid w:val="00604B52"/>
    <w:rsid w:val="00604BA5"/>
    <w:rsid w:val="00604E4D"/>
    <w:rsid w:val="00604FB2"/>
    <w:rsid w:val="00605320"/>
    <w:rsid w:val="00605322"/>
    <w:rsid w:val="00605781"/>
    <w:rsid w:val="006059D3"/>
    <w:rsid w:val="00605D93"/>
    <w:rsid w:val="00605D9B"/>
    <w:rsid w:val="00605DAA"/>
    <w:rsid w:val="00606568"/>
    <w:rsid w:val="00606606"/>
    <w:rsid w:val="00606704"/>
    <w:rsid w:val="00606740"/>
    <w:rsid w:val="00606825"/>
    <w:rsid w:val="00606852"/>
    <w:rsid w:val="00606990"/>
    <w:rsid w:val="00606AD5"/>
    <w:rsid w:val="00607067"/>
    <w:rsid w:val="00607307"/>
    <w:rsid w:val="00607C50"/>
    <w:rsid w:val="00607E38"/>
    <w:rsid w:val="00607E93"/>
    <w:rsid w:val="00607F15"/>
    <w:rsid w:val="006102A2"/>
    <w:rsid w:val="00610731"/>
    <w:rsid w:val="00610794"/>
    <w:rsid w:val="006107C2"/>
    <w:rsid w:val="006107EA"/>
    <w:rsid w:val="00610A49"/>
    <w:rsid w:val="00611674"/>
    <w:rsid w:val="006117E4"/>
    <w:rsid w:val="006117FA"/>
    <w:rsid w:val="006118F6"/>
    <w:rsid w:val="00611A94"/>
    <w:rsid w:val="00611C44"/>
    <w:rsid w:val="00611D1C"/>
    <w:rsid w:val="00611E43"/>
    <w:rsid w:val="0061218F"/>
    <w:rsid w:val="00612415"/>
    <w:rsid w:val="006126E2"/>
    <w:rsid w:val="006129BD"/>
    <w:rsid w:val="00612DFA"/>
    <w:rsid w:val="00613050"/>
    <w:rsid w:val="006132F9"/>
    <w:rsid w:val="0061336B"/>
    <w:rsid w:val="00613800"/>
    <w:rsid w:val="006139A1"/>
    <w:rsid w:val="00613E43"/>
    <w:rsid w:val="006143EB"/>
    <w:rsid w:val="00614587"/>
    <w:rsid w:val="00614772"/>
    <w:rsid w:val="006147F1"/>
    <w:rsid w:val="0061481E"/>
    <w:rsid w:val="00614CC9"/>
    <w:rsid w:val="00615244"/>
    <w:rsid w:val="00615297"/>
    <w:rsid w:val="00615686"/>
    <w:rsid w:val="00615695"/>
    <w:rsid w:val="0061574A"/>
    <w:rsid w:val="006158EB"/>
    <w:rsid w:val="00615C34"/>
    <w:rsid w:val="00615DDF"/>
    <w:rsid w:val="006160A0"/>
    <w:rsid w:val="006161CD"/>
    <w:rsid w:val="00616532"/>
    <w:rsid w:val="0061655C"/>
    <w:rsid w:val="00616689"/>
    <w:rsid w:val="006166DD"/>
    <w:rsid w:val="0061679A"/>
    <w:rsid w:val="006168EE"/>
    <w:rsid w:val="00616F70"/>
    <w:rsid w:val="00616FA6"/>
    <w:rsid w:val="00616FF7"/>
    <w:rsid w:val="00617264"/>
    <w:rsid w:val="00617565"/>
    <w:rsid w:val="00617571"/>
    <w:rsid w:val="006175E5"/>
    <w:rsid w:val="006177DA"/>
    <w:rsid w:val="00617D36"/>
    <w:rsid w:val="00617DEB"/>
    <w:rsid w:val="00617EFB"/>
    <w:rsid w:val="00617F52"/>
    <w:rsid w:val="00620018"/>
    <w:rsid w:val="0062007F"/>
    <w:rsid w:val="00620867"/>
    <w:rsid w:val="00620B37"/>
    <w:rsid w:val="0062112C"/>
    <w:rsid w:val="006211E8"/>
    <w:rsid w:val="006218A6"/>
    <w:rsid w:val="00621AAC"/>
    <w:rsid w:val="00621C32"/>
    <w:rsid w:val="00621E0F"/>
    <w:rsid w:val="00621E42"/>
    <w:rsid w:val="00621EA2"/>
    <w:rsid w:val="00621FBC"/>
    <w:rsid w:val="00622011"/>
    <w:rsid w:val="00622385"/>
    <w:rsid w:val="00622480"/>
    <w:rsid w:val="00622692"/>
    <w:rsid w:val="00622849"/>
    <w:rsid w:val="0062293C"/>
    <w:rsid w:val="00622998"/>
    <w:rsid w:val="006229AA"/>
    <w:rsid w:val="00622AF8"/>
    <w:rsid w:val="00622B68"/>
    <w:rsid w:val="006236B2"/>
    <w:rsid w:val="00623B15"/>
    <w:rsid w:val="00623C3E"/>
    <w:rsid w:val="00623C47"/>
    <w:rsid w:val="00623E6F"/>
    <w:rsid w:val="00623F04"/>
    <w:rsid w:val="00623F8C"/>
    <w:rsid w:val="00624302"/>
    <w:rsid w:val="0062451A"/>
    <w:rsid w:val="00624889"/>
    <w:rsid w:val="00624903"/>
    <w:rsid w:val="00624ADC"/>
    <w:rsid w:val="00624EB7"/>
    <w:rsid w:val="006250E0"/>
    <w:rsid w:val="006251AE"/>
    <w:rsid w:val="00625406"/>
    <w:rsid w:val="00625740"/>
    <w:rsid w:val="006257ED"/>
    <w:rsid w:val="0062596A"/>
    <w:rsid w:val="00625B0C"/>
    <w:rsid w:val="00625C8B"/>
    <w:rsid w:val="00625D50"/>
    <w:rsid w:val="006260D1"/>
    <w:rsid w:val="0062665D"/>
    <w:rsid w:val="006267A9"/>
    <w:rsid w:val="0062683A"/>
    <w:rsid w:val="00626B2C"/>
    <w:rsid w:val="00626B8D"/>
    <w:rsid w:val="00626C43"/>
    <w:rsid w:val="00626D44"/>
    <w:rsid w:val="00627374"/>
    <w:rsid w:val="00627498"/>
    <w:rsid w:val="00627748"/>
    <w:rsid w:val="00627AC5"/>
    <w:rsid w:val="00627C77"/>
    <w:rsid w:val="00627E0B"/>
    <w:rsid w:val="006301FE"/>
    <w:rsid w:val="0063025D"/>
    <w:rsid w:val="00630F64"/>
    <w:rsid w:val="00631120"/>
    <w:rsid w:val="00631460"/>
    <w:rsid w:val="006315CB"/>
    <w:rsid w:val="00631699"/>
    <w:rsid w:val="00631AF1"/>
    <w:rsid w:val="00631E63"/>
    <w:rsid w:val="00632064"/>
    <w:rsid w:val="00632200"/>
    <w:rsid w:val="00632284"/>
    <w:rsid w:val="00632DAF"/>
    <w:rsid w:val="00632DDA"/>
    <w:rsid w:val="006332F2"/>
    <w:rsid w:val="0063350F"/>
    <w:rsid w:val="0063380F"/>
    <w:rsid w:val="006338CD"/>
    <w:rsid w:val="00633A69"/>
    <w:rsid w:val="00634112"/>
    <w:rsid w:val="00634250"/>
    <w:rsid w:val="00634410"/>
    <w:rsid w:val="0063446F"/>
    <w:rsid w:val="0063458C"/>
    <w:rsid w:val="00634692"/>
    <w:rsid w:val="006346FB"/>
    <w:rsid w:val="006350E3"/>
    <w:rsid w:val="006353E8"/>
    <w:rsid w:val="0063541E"/>
    <w:rsid w:val="00635450"/>
    <w:rsid w:val="0063551C"/>
    <w:rsid w:val="00635E56"/>
    <w:rsid w:val="00635F54"/>
    <w:rsid w:val="0063623B"/>
    <w:rsid w:val="00636311"/>
    <w:rsid w:val="0063658F"/>
    <w:rsid w:val="006366D5"/>
    <w:rsid w:val="006367DD"/>
    <w:rsid w:val="00636820"/>
    <w:rsid w:val="00636A42"/>
    <w:rsid w:val="00636ED2"/>
    <w:rsid w:val="00637171"/>
    <w:rsid w:val="006371A4"/>
    <w:rsid w:val="00637224"/>
    <w:rsid w:val="00637543"/>
    <w:rsid w:val="00637757"/>
    <w:rsid w:val="0063784C"/>
    <w:rsid w:val="006378BE"/>
    <w:rsid w:val="00637A6B"/>
    <w:rsid w:val="00640859"/>
    <w:rsid w:val="00640BDA"/>
    <w:rsid w:val="00640C8E"/>
    <w:rsid w:val="00640DB6"/>
    <w:rsid w:val="00640DE5"/>
    <w:rsid w:val="00641945"/>
    <w:rsid w:val="00641A8D"/>
    <w:rsid w:val="00641B62"/>
    <w:rsid w:val="00641D69"/>
    <w:rsid w:val="00641DD7"/>
    <w:rsid w:val="00641EC6"/>
    <w:rsid w:val="006420C1"/>
    <w:rsid w:val="0064255C"/>
    <w:rsid w:val="00642885"/>
    <w:rsid w:val="00642935"/>
    <w:rsid w:val="00642A46"/>
    <w:rsid w:val="00642D8D"/>
    <w:rsid w:val="00643216"/>
    <w:rsid w:val="00643572"/>
    <w:rsid w:val="00643929"/>
    <w:rsid w:val="00643BF3"/>
    <w:rsid w:val="00643CF9"/>
    <w:rsid w:val="00644367"/>
    <w:rsid w:val="00644377"/>
    <w:rsid w:val="006443B2"/>
    <w:rsid w:val="0064490F"/>
    <w:rsid w:val="006449B8"/>
    <w:rsid w:val="00644AAB"/>
    <w:rsid w:val="00644AE0"/>
    <w:rsid w:val="00644B41"/>
    <w:rsid w:val="00644BE8"/>
    <w:rsid w:val="00644D87"/>
    <w:rsid w:val="00644D9F"/>
    <w:rsid w:val="00645148"/>
    <w:rsid w:val="00645182"/>
    <w:rsid w:val="0064593D"/>
    <w:rsid w:val="00645B7C"/>
    <w:rsid w:val="00645E80"/>
    <w:rsid w:val="00645FE0"/>
    <w:rsid w:val="006461BB"/>
    <w:rsid w:val="006462E0"/>
    <w:rsid w:val="00646B40"/>
    <w:rsid w:val="00646BF7"/>
    <w:rsid w:val="00646C8F"/>
    <w:rsid w:val="00646E39"/>
    <w:rsid w:val="00646FC3"/>
    <w:rsid w:val="00647247"/>
    <w:rsid w:val="006478E6"/>
    <w:rsid w:val="00647EE4"/>
    <w:rsid w:val="006500EB"/>
    <w:rsid w:val="00650219"/>
    <w:rsid w:val="0065066E"/>
    <w:rsid w:val="00650766"/>
    <w:rsid w:val="006508A7"/>
    <w:rsid w:val="00650961"/>
    <w:rsid w:val="00650995"/>
    <w:rsid w:val="0065149A"/>
    <w:rsid w:val="0065171B"/>
    <w:rsid w:val="00651A78"/>
    <w:rsid w:val="00651AF1"/>
    <w:rsid w:val="00651E4F"/>
    <w:rsid w:val="00652013"/>
    <w:rsid w:val="006522DB"/>
    <w:rsid w:val="00652401"/>
    <w:rsid w:val="0065297B"/>
    <w:rsid w:val="00652D28"/>
    <w:rsid w:val="006532B4"/>
    <w:rsid w:val="006534E1"/>
    <w:rsid w:val="00653690"/>
    <w:rsid w:val="006536D7"/>
    <w:rsid w:val="0065384F"/>
    <w:rsid w:val="00653B4D"/>
    <w:rsid w:val="00653E1C"/>
    <w:rsid w:val="00653E3C"/>
    <w:rsid w:val="00653F94"/>
    <w:rsid w:val="00653FC2"/>
    <w:rsid w:val="006540A1"/>
    <w:rsid w:val="00654118"/>
    <w:rsid w:val="0065454C"/>
    <w:rsid w:val="006546E1"/>
    <w:rsid w:val="0065486C"/>
    <w:rsid w:val="00654A2A"/>
    <w:rsid w:val="00654AA2"/>
    <w:rsid w:val="00654BDC"/>
    <w:rsid w:val="0065515B"/>
    <w:rsid w:val="0065517D"/>
    <w:rsid w:val="0065578F"/>
    <w:rsid w:val="00655A66"/>
    <w:rsid w:val="00655B6F"/>
    <w:rsid w:val="00655C42"/>
    <w:rsid w:val="00655EB8"/>
    <w:rsid w:val="006566AD"/>
    <w:rsid w:val="00656843"/>
    <w:rsid w:val="00656B2D"/>
    <w:rsid w:val="00656C28"/>
    <w:rsid w:val="00656C78"/>
    <w:rsid w:val="00656EB8"/>
    <w:rsid w:val="006571F6"/>
    <w:rsid w:val="006575AF"/>
    <w:rsid w:val="00657626"/>
    <w:rsid w:val="0065787C"/>
    <w:rsid w:val="006578C2"/>
    <w:rsid w:val="00657B05"/>
    <w:rsid w:val="00657D0A"/>
    <w:rsid w:val="00657E7B"/>
    <w:rsid w:val="00657F4D"/>
    <w:rsid w:val="00657FCF"/>
    <w:rsid w:val="00660131"/>
    <w:rsid w:val="00660515"/>
    <w:rsid w:val="00660767"/>
    <w:rsid w:val="00660940"/>
    <w:rsid w:val="00660AA4"/>
    <w:rsid w:val="00660BDE"/>
    <w:rsid w:val="00660CDA"/>
    <w:rsid w:val="00660F26"/>
    <w:rsid w:val="00661220"/>
    <w:rsid w:val="00661525"/>
    <w:rsid w:val="0066167C"/>
    <w:rsid w:val="006618F3"/>
    <w:rsid w:val="006621A7"/>
    <w:rsid w:val="0066239D"/>
    <w:rsid w:val="006625B4"/>
    <w:rsid w:val="00662A75"/>
    <w:rsid w:val="00662D45"/>
    <w:rsid w:val="00662E5B"/>
    <w:rsid w:val="00662EE4"/>
    <w:rsid w:val="00662F58"/>
    <w:rsid w:val="006630C3"/>
    <w:rsid w:val="0066325F"/>
    <w:rsid w:val="00663348"/>
    <w:rsid w:val="00663376"/>
    <w:rsid w:val="006633EE"/>
    <w:rsid w:val="006636EE"/>
    <w:rsid w:val="006636FB"/>
    <w:rsid w:val="006637FD"/>
    <w:rsid w:val="00663C44"/>
    <w:rsid w:val="00664027"/>
    <w:rsid w:val="00664282"/>
    <w:rsid w:val="006647BF"/>
    <w:rsid w:val="00664A89"/>
    <w:rsid w:val="00664ADF"/>
    <w:rsid w:val="00664C3D"/>
    <w:rsid w:val="00664D81"/>
    <w:rsid w:val="00664D97"/>
    <w:rsid w:val="006651A1"/>
    <w:rsid w:val="006655EB"/>
    <w:rsid w:val="006658E9"/>
    <w:rsid w:val="00665D28"/>
    <w:rsid w:val="00666044"/>
    <w:rsid w:val="006660E7"/>
    <w:rsid w:val="006663AA"/>
    <w:rsid w:val="00666523"/>
    <w:rsid w:val="00666595"/>
    <w:rsid w:val="00666953"/>
    <w:rsid w:val="00666A50"/>
    <w:rsid w:val="00666A76"/>
    <w:rsid w:val="00666AB3"/>
    <w:rsid w:val="00666CFC"/>
    <w:rsid w:val="0066705D"/>
    <w:rsid w:val="0066720D"/>
    <w:rsid w:val="00667406"/>
    <w:rsid w:val="00667714"/>
    <w:rsid w:val="0066771A"/>
    <w:rsid w:val="00667A74"/>
    <w:rsid w:val="00667D7D"/>
    <w:rsid w:val="00667EE7"/>
    <w:rsid w:val="00667F43"/>
    <w:rsid w:val="006703E0"/>
    <w:rsid w:val="00670A32"/>
    <w:rsid w:val="0067121B"/>
    <w:rsid w:val="00671482"/>
    <w:rsid w:val="00671562"/>
    <w:rsid w:val="006715BE"/>
    <w:rsid w:val="006716EE"/>
    <w:rsid w:val="00671B91"/>
    <w:rsid w:val="00671DC1"/>
    <w:rsid w:val="00671DED"/>
    <w:rsid w:val="0067238A"/>
    <w:rsid w:val="006724C8"/>
    <w:rsid w:val="006725D0"/>
    <w:rsid w:val="006725DE"/>
    <w:rsid w:val="00672A2D"/>
    <w:rsid w:val="00672ACC"/>
    <w:rsid w:val="00672B14"/>
    <w:rsid w:val="00672C41"/>
    <w:rsid w:val="006733F0"/>
    <w:rsid w:val="00673442"/>
    <w:rsid w:val="00673520"/>
    <w:rsid w:val="006735D5"/>
    <w:rsid w:val="0067364E"/>
    <w:rsid w:val="006737BF"/>
    <w:rsid w:val="0067398F"/>
    <w:rsid w:val="00673B2A"/>
    <w:rsid w:val="00673DE3"/>
    <w:rsid w:val="0067409C"/>
    <w:rsid w:val="00674233"/>
    <w:rsid w:val="00674242"/>
    <w:rsid w:val="0067460A"/>
    <w:rsid w:val="00674628"/>
    <w:rsid w:val="0067464F"/>
    <w:rsid w:val="006748EC"/>
    <w:rsid w:val="00674A29"/>
    <w:rsid w:val="00674EF1"/>
    <w:rsid w:val="006750EF"/>
    <w:rsid w:val="0067562A"/>
    <w:rsid w:val="006758A9"/>
    <w:rsid w:val="00675C21"/>
    <w:rsid w:val="00675CED"/>
    <w:rsid w:val="00676303"/>
    <w:rsid w:val="00676669"/>
    <w:rsid w:val="006766E9"/>
    <w:rsid w:val="00676701"/>
    <w:rsid w:val="0067675D"/>
    <w:rsid w:val="00676AD5"/>
    <w:rsid w:val="00676CC9"/>
    <w:rsid w:val="00676CF4"/>
    <w:rsid w:val="00676D3B"/>
    <w:rsid w:val="00676E9F"/>
    <w:rsid w:val="006772BF"/>
    <w:rsid w:val="00677307"/>
    <w:rsid w:val="00677419"/>
    <w:rsid w:val="006774EB"/>
    <w:rsid w:val="00677982"/>
    <w:rsid w:val="006779A5"/>
    <w:rsid w:val="00677A69"/>
    <w:rsid w:val="00677A9E"/>
    <w:rsid w:val="00677B7B"/>
    <w:rsid w:val="00677CB0"/>
    <w:rsid w:val="006800DE"/>
    <w:rsid w:val="006802B7"/>
    <w:rsid w:val="00680304"/>
    <w:rsid w:val="006803CC"/>
    <w:rsid w:val="006803E1"/>
    <w:rsid w:val="00680602"/>
    <w:rsid w:val="00680BB7"/>
    <w:rsid w:val="00680C23"/>
    <w:rsid w:val="00680C9B"/>
    <w:rsid w:val="00680E1A"/>
    <w:rsid w:val="00680FBA"/>
    <w:rsid w:val="0068122B"/>
    <w:rsid w:val="00681321"/>
    <w:rsid w:val="00681429"/>
    <w:rsid w:val="00681821"/>
    <w:rsid w:val="00681A67"/>
    <w:rsid w:val="00681CEA"/>
    <w:rsid w:val="00681DCC"/>
    <w:rsid w:val="006823A1"/>
    <w:rsid w:val="006829D9"/>
    <w:rsid w:val="00682A5C"/>
    <w:rsid w:val="00682AED"/>
    <w:rsid w:val="00682E14"/>
    <w:rsid w:val="00682F60"/>
    <w:rsid w:val="006837E9"/>
    <w:rsid w:val="00683874"/>
    <w:rsid w:val="00683952"/>
    <w:rsid w:val="00683B4A"/>
    <w:rsid w:val="00683B4D"/>
    <w:rsid w:val="00683B7A"/>
    <w:rsid w:val="00684180"/>
    <w:rsid w:val="00684CD6"/>
    <w:rsid w:val="00684CE4"/>
    <w:rsid w:val="00684E33"/>
    <w:rsid w:val="00684E8D"/>
    <w:rsid w:val="00684ECA"/>
    <w:rsid w:val="00685127"/>
    <w:rsid w:val="00685294"/>
    <w:rsid w:val="00685714"/>
    <w:rsid w:val="0068579C"/>
    <w:rsid w:val="00685A32"/>
    <w:rsid w:val="006863F3"/>
    <w:rsid w:val="006864B0"/>
    <w:rsid w:val="0068673B"/>
    <w:rsid w:val="00686A59"/>
    <w:rsid w:val="00686AA8"/>
    <w:rsid w:val="00686DD0"/>
    <w:rsid w:val="006872C4"/>
    <w:rsid w:val="006874A5"/>
    <w:rsid w:val="00687A84"/>
    <w:rsid w:val="006900BB"/>
    <w:rsid w:val="006901B3"/>
    <w:rsid w:val="0069061C"/>
    <w:rsid w:val="00690B6C"/>
    <w:rsid w:val="00690C81"/>
    <w:rsid w:val="00690FB0"/>
    <w:rsid w:val="0069122C"/>
    <w:rsid w:val="0069139F"/>
    <w:rsid w:val="0069143E"/>
    <w:rsid w:val="006918D6"/>
    <w:rsid w:val="0069192C"/>
    <w:rsid w:val="00691A05"/>
    <w:rsid w:val="00691B74"/>
    <w:rsid w:val="00691D7F"/>
    <w:rsid w:val="00691E57"/>
    <w:rsid w:val="00692044"/>
    <w:rsid w:val="0069249C"/>
    <w:rsid w:val="006925C4"/>
    <w:rsid w:val="00692966"/>
    <w:rsid w:val="006929B4"/>
    <w:rsid w:val="00692C6E"/>
    <w:rsid w:val="00692F18"/>
    <w:rsid w:val="00692F89"/>
    <w:rsid w:val="006930DC"/>
    <w:rsid w:val="00693224"/>
    <w:rsid w:val="00693329"/>
    <w:rsid w:val="00693344"/>
    <w:rsid w:val="00693499"/>
    <w:rsid w:val="00693553"/>
    <w:rsid w:val="00693617"/>
    <w:rsid w:val="006937C1"/>
    <w:rsid w:val="00693830"/>
    <w:rsid w:val="006938C6"/>
    <w:rsid w:val="00693B5A"/>
    <w:rsid w:val="00693DE9"/>
    <w:rsid w:val="00693F6C"/>
    <w:rsid w:val="006941DA"/>
    <w:rsid w:val="006943D3"/>
    <w:rsid w:val="00694AFF"/>
    <w:rsid w:val="00694D2A"/>
    <w:rsid w:val="00694E12"/>
    <w:rsid w:val="00694F3E"/>
    <w:rsid w:val="00694FE3"/>
    <w:rsid w:val="00695069"/>
    <w:rsid w:val="0069522D"/>
    <w:rsid w:val="00695383"/>
    <w:rsid w:val="0069577F"/>
    <w:rsid w:val="006959A1"/>
    <w:rsid w:val="00695A3F"/>
    <w:rsid w:val="00695F79"/>
    <w:rsid w:val="0069602E"/>
    <w:rsid w:val="006961CC"/>
    <w:rsid w:val="006964E8"/>
    <w:rsid w:val="00696569"/>
    <w:rsid w:val="0069667C"/>
    <w:rsid w:val="006966B2"/>
    <w:rsid w:val="006967AD"/>
    <w:rsid w:val="00696C32"/>
    <w:rsid w:val="00696D46"/>
    <w:rsid w:val="00697002"/>
    <w:rsid w:val="00697218"/>
    <w:rsid w:val="00697973"/>
    <w:rsid w:val="00697B0A"/>
    <w:rsid w:val="00697B6B"/>
    <w:rsid w:val="00697C5F"/>
    <w:rsid w:val="00697FAD"/>
    <w:rsid w:val="006A0495"/>
    <w:rsid w:val="006A0B5F"/>
    <w:rsid w:val="006A0C5C"/>
    <w:rsid w:val="006A0CC1"/>
    <w:rsid w:val="006A0D5D"/>
    <w:rsid w:val="006A0FE9"/>
    <w:rsid w:val="006A1025"/>
    <w:rsid w:val="006A12C1"/>
    <w:rsid w:val="006A1559"/>
    <w:rsid w:val="006A1676"/>
    <w:rsid w:val="006A1784"/>
    <w:rsid w:val="006A184D"/>
    <w:rsid w:val="006A1855"/>
    <w:rsid w:val="006A18B4"/>
    <w:rsid w:val="006A18D7"/>
    <w:rsid w:val="006A1A27"/>
    <w:rsid w:val="006A1EF2"/>
    <w:rsid w:val="006A209B"/>
    <w:rsid w:val="006A24C6"/>
    <w:rsid w:val="006A251A"/>
    <w:rsid w:val="006A2CB2"/>
    <w:rsid w:val="006A2D6E"/>
    <w:rsid w:val="006A2F64"/>
    <w:rsid w:val="006A3057"/>
    <w:rsid w:val="006A33E4"/>
    <w:rsid w:val="006A349B"/>
    <w:rsid w:val="006A38C0"/>
    <w:rsid w:val="006A3A46"/>
    <w:rsid w:val="006A3BEB"/>
    <w:rsid w:val="006A3C3E"/>
    <w:rsid w:val="006A3D2D"/>
    <w:rsid w:val="006A3FC5"/>
    <w:rsid w:val="006A4162"/>
    <w:rsid w:val="006A4412"/>
    <w:rsid w:val="006A448D"/>
    <w:rsid w:val="006A44ED"/>
    <w:rsid w:val="006A4CB6"/>
    <w:rsid w:val="006A4DAF"/>
    <w:rsid w:val="006A4F5B"/>
    <w:rsid w:val="006A510C"/>
    <w:rsid w:val="006A569F"/>
    <w:rsid w:val="006A57D1"/>
    <w:rsid w:val="006A5C70"/>
    <w:rsid w:val="006A60F5"/>
    <w:rsid w:val="006A6137"/>
    <w:rsid w:val="006A61A8"/>
    <w:rsid w:val="006A63E4"/>
    <w:rsid w:val="006A6481"/>
    <w:rsid w:val="006A64D8"/>
    <w:rsid w:val="006A6815"/>
    <w:rsid w:val="006A6A89"/>
    <w:rsid w:val="006A6C20"/>
    <w:rsid w:val="006A6C30"/>
    <w:rsid w:val="006A6DB0"/>
    <w:rsid w:val="006A72EB"/>
    <w:rsid w:val="006A782F"/>
    <w:rsid w:val="006A78A1"/>
    <w:rsid w:val="006A7A5A"/>
    <w:rsid w:val="006A7A5D"/>
    <w:rsid w:val="006B0313"/>
    <w:rsid w:val="006B0423"/>
    <w:rsid w:val="006B0551"/>
    <w:rsid w:val="006B082C"/>
    <w:rsid w:val="006B0A6E"/>
    <w:rsid w:val="006B0BDB"/>
    <w:rsid w:val="006B0C3E"/>
    <w:rsid w:val="006B0D5C"/>
    <w:rsid w:val="006B0E32"/>
    <w:rsid w:val="006B19CE"/>
    <w:rsid w:val="006B1A05"/>
    <w:rsid w:val="006B1B6B"/>
    <w:rsid w:val="006B1B7A"/>
    <w:rsid w:val="006B1CBA"/>
    <w:rsid w:val="006B1D81"/>
    <w:rsid w:val="006B1E85"/>
    <w:rsid w:val="006B20BE"/>
    <w:rsid w:val="006B22EC"/>
    <w:rsid w:val="006B239D"/>
    <w:rsid w:val="006B24B2"/>
    <w:rsid w:val="006B26A1"/>
    <w:rsid w:val="006B2BC8"/>
    <w:rsid w:val="006B2EB1"/>
    <w:rsid w:val="006B3238"/>
    <w:rsid w:val="006B34ED"/>
    <w:rsid w:val="006B35BA"/>
    <w:rsid w:val="006B370A"/>
    <w:rsid w:val="006B3800"/>
    <w:rsid w:val="006B3B94"/>
    <w:rsid w:val="006B3FE6"/>
    <w:rsid w:val="006B436C"/>
    <w:rsid w:val="006B443A"/>
    <w:rsid w:val="006B44C7"/>
    <w:rsid w:val="006B468F"/>
    <w:rsid w:val="006B48A6"/>
    <w:rsid w:val="006B49B0"/>
    <w:rsid w:val="006B4C3C"/>
    <w:rsid w:val="006B509C"/>
    <w:rsid w:val="006B549F"/>
    <w:rsid w:val="006B557D"/>
    <w:rsid w:val="006B5BC6"/>
    <w:rsid w:val="006B607D"/>
    <w:rsid w:val="006B6268"/>
    <w:rsid w:val="006B66FB"/>
    <w:rsid w:val="006B678B"/>
    <w:rsid w:val="006B6887"/>
    <w:rsid w:val="006B6CE5"/>
    <w:rsid w:val="006B6E77"/>
    <w:rsid w:val="006B6E7C"/>
    <w:rsid w:val="006B70FF"/>
    <w:rsid w:val="006B7128"/>
    <w:rsid w:val="006B745B"/>
    <w:rsid w:val="006B7497"/>
    <w:rsid w:val="006B7624"/>
    <w:rsid w:val="006B7644"/>
    <w:rsid w:val="006B7DBF"/>
    <w:rsid w:val="006B7E97"/>
    <w:rsid w:val="006C01B1"/>
    <w:rsid w:val="006C03F3"/>
    <w:rsid w:val="006C0767"/>
    <w:rsid w:val="006C0B33"/>
    <w:rsid w:val="006C0C78"/>
    <w:rsid w:val="006C0E02"/>
    <w:rsid w:val="006C1006"/>
    <w:rsid w:val="006C1022"/>
    <w:rsid w:val="006C1507"/>
    <w:rsid w:val="006C1637"/>
    <w:rsid w:val="006C2014"/>
    <w:rsid w:val="006C2424"/>
    <w:rsid w:val="006C25C5"/>
    <w:rsid w:val="006C27F8"/>
    <w:rsid w:val="006C2ED5"/>
    <w:rsid w:val="006C31F6"/>
    <w:rsid w:val="006C3230"/>
    <w:rsid w:val="006C3407"/>
    <w:rsid w:val="006C361F"/>
    <w:rsid w:val="006C37E7"/>
    <w:rsid w:val="006C387D"/>
    <w:rsid w:val="006C39D8"/>
    <w:rsid w:val="006C3B8A"/>
    <w:rsid w:val="006C3E1D"/>
    <w:rsid w:val="006C3E99"/>
    <w:rsid w:val="006C3EAE"/>
    <w:rsid w:val="006C3F1E"/>
    <w:rsid w:val="006C427D"/>
    <w:rsid w:val="006C4431"/>
    <w:rsid w:val="006C48ED"/>
    <w:rsid w:val="006C49A2"/>
    <w:rsid w:val="006C4F33"/>
    <w:rsid w:val="006C51AD"/>
    <w:rsid w:val="006C54E9"/>
    <w:rsid w:val="006C55B7"/>
    <w:rsid w:val="006C5D5E"/>
    <w:rsid w:val="006C626D"/>
    <w:rsid w:val="006C632F"/>
    <w:rsid w:val="006C666A"/>
    <w:rsid w:val="006C666B"/>
    <w:rsid w:val="006C6A9C"/>
    <w:rsid w:val="006C6B6C"/>
    <w:rsid w:val="006C70CA"/>
    <w:rsid w:val="006C76E4"/>
    <w:rsid w:val="006C77AE"/>
    <w:rsid w:val="006D017F"/>
    <w:rsid w:val="006D0230"/>
    <w:rsid w:val="006D049F"/>
    <w:rsid w:val="006D0860"/>
    <w:rsid w:val="006D08C3"/>
    <w:rsid w:val="006D09C9"/>
    <w:rsid w:val="006D0B4F"/>
    <w:rsid w:val="006D0B5B"/>
    <w:rsid w:val="006D0BF5"/>
    <w:rsid w:val="006D1251"/>
    <w:rsid w:val="006D1307"/>
    <w:rsid w:val="006D1484"/>
    <w:rsid w:val="006D1569"/>
    <w:rsid w:val="006D163E"/>
    <w:rsid w:val="006D19FE"/>
    <w:rsid w:val="006D1FF3"/>
    <w:rsid w:val="006D20AC"/>
    <w:rsid w:val="006D238B"/>
    <w:rsid w:val="006D266F"/>
    <w:rsid w:val="006D2922"/>
    <w:rsid w:val="006D2B57"/>
    <w:rsid w:val="006D2BB6"/>
    <w:rsid w:val="006D2D14"/>
    <w:rsid w:val="006D3078"/>
    <w:rsid w:val="006D3139"/>
    <w:rsid w:val="006D31A9"/>
    <w:rsid w:val="006D3396"/>
    <w:rsid w:val="006D36E8"/>
    <w:rsid w:val="006D36F8"/>
    <w:rsid w:val="006D3C31"/>
    <w:rsid w:val="006D41F8"/>
    <w:rsid w:val="006D4596"/>
    <w:rsid w:val="006D487C"/>
    <w:rsid w:val="006D4BF7"/>
    <w:rsid w:val="006D5011"/>
    <w:rsid w:val="006D5068"/>
    <w:rsid w:val="006D51E6"/>
    <w:rsid w:val="006D54CD"/>
    <w:rsid w:val="006D55B3"/>
    <w:rsid w:val="006D5611"/>
    <w:rsid w:val="006D570C"/>
    <w:rsid w:val="006D5735"/>
    <w:rsid w:val="006D5832"/>
    <w:rsid w:val="006D5D83"/>
    <w:rsid w:val="006D5F9F"/>
    <w:rsid w:val="006D6650"/>
    <w:rsid w:val="006D6806"/>
    <w:rsid w:val="006D6C98"/>
    <w:rsid w:val="006D6E44"/>
    <w:rsid w:val="006D7065"/>
    <w:rsid w:val="006D70DC"/>
    <w:rsid w:val="006D7290"/>
    <w:rsid w:val="006D72F4"/>
    <w:rsid w:val="006D72FD"/>
    <w:rsid w:val="006D739F"/>
    <w:rsid w:val="006D73CD"/>
    <w:rsid w:val="006D7666"/>
    <w:rsid w:val="006D7BE0"/>
    <w:rsid w:val="006D7E67"/>
    <w:rsid w:val="006D7EB5"/>
    <w:rsid w:val="006E02AF"/>
    <w:rsid w:val="006E0578"/>
    <w:rsid w:val="006E0B82"/>
    <w:rsid w:val="006E0D3E"/>
    <w:rsid w:val="006E0E2C"/>
    <w:rsid w:val="006E0F30"/>
    <w:rsid w:val="006E0F31"/>
    <w:rsid w:val="006E0F84"/>
    <w:rsid w:val="006E1058"/>
    <w:rsid w:val="006E11D2"/>
    <w:rsid w:val="006E13F7"/>
    <w:rsid w:val="006E16AD"/>
    <w:rsid w:val="006E17E1"/>
    <w:rsid w:val="006E1D96"/>
    <w:rsid w:val="006E1F86"/>
    <w:rsid w:val="006E2317"/>
    <w:rsid w:val="006E2756"/>
    <w:rsid w:val="006E2A1E"/>
    <w:rsid w:val="006E2D9B"/>
    <w:rsid w:val="006E2EE6"/>
    <w:rsid w:val="006E2F2D"/>
    <w:rsid w:val="006E3296"/>
    <w:rsid w:val="006E3412"/>
    <w:rsid w:val="006E353A"/>
    <w:rsid w:val="006E388F"/>
    <w:rsid w:val="006E445F"/>
    <w:rsid w:val="006E4A6C"/>
    <w:rsid w:val="006E51BF"/>
    <w:rsid w:val="006E53CB"/>
    <w:rsid w:val="006E58B8"/>
    <w:rsid w:val="006E58CE"/>
    <w:rsid w:val="006E5D33"/>
    <w:rsid w:val="006E6351"/>
    <w:rsid w:val="006E64DB"/>
    <w:rsid w:val="006E6AC9"/>
    <w:rsid w:val="006E6B53"/>
    <w:rsid w:val="006E74EE"/>
    <w:rsid w:val="006E75C3"/>
    <w:rsid w:val="006E7AE6"/>
    <w:rsid w:val="006E7C00"/>
    <w:rsid w:val="006F0339"/>
    <w:rsid w:val="006F050A"/>
    <w:rsid w:val="006F05A4"/>
    <w:rsid w:val="006F0C5D"/>
    <w:rsid w:val="006F0EBC"/>
    <w:rsid w:val="006F10A6"/>
    <w:rsid w:val="006F1139"/>
    <w:rsid w:val="006F15E2"/>
    <w:rsid w:val="006F18D5"/>
    <w:rsid w:val="006F1923"/>
    <w:rsid w:val="006F1A7B"/>
    <w:rsid w:val="006F1E88"/>
    <w:rsid w:val="006F205D"/>
    <w:rsid w:val="006F21AE"/>
    <w:rsid w:val="006F21E8"/>
    <w:rsid w:val="006F2797"/>
    <w:rsid w:val="006F29D8"/>
    <w:rsid w:val="006F2A12"/>
    <w:rsid w:val="006F2D1E"/>
    <w:rsid w:val="006F2D3E"/>
    <w:rsid w:val="006F2DF9"/>
    <w:rsid w:val="006F2FBD"/>
    <w:rsid w:val="006F314B"/>
    <w:rsid w:val="006F321D"/>
    <w:rsid w:val="006F32FB"/>
    <w:rsid w:val="006F3311"/>
    <w:rsid w:val="006F35D2"/>
    <w:rsid w:val="006F3659"/>
    <w:rsid w:val="006F3709"/>
    <w:rsid w:val="006F370B"/>
    <w:rsid w:val="006F37FA"/>
    <w:rsid w:val="006F3A5D"/>
    <w:rsid w:val="006F3DC6"/>
    <w:rsid w:val="006F4057"/>
    <w:rsid w:val="006F41A4"/>
    <w:rsid w:val="006F42F6"/>
    <w:rsid w:val="006F435F"/>
    <w:rsid w:val="006F485C"/>
    <w:rsid w:val="006F4AF8"/>
    <w:rsid w:val="006F4EDE"/>
    <w:rsid w:val="006F518C"/>
    <w:rsid w:val="006F55DC"/>
    <w:rsid w:val="006F58F5"/>
    <w:rsid w:val="006F5CEE"/>
    <w:rsid w:val="006F5EC5"/>
    <w:rsid w:val="006F61E5"/>
    <w:rsid w:val="006F63AF"/>
    <w:rsid w:val="006F6A56"/>
    <w:rsid w:val="006F6A5D"/>
    <w:rsid w:val="006F72F0"/>
    <w:rsid w:val="006F7435"/>
    <w:rsid w:val="006F74D8"/>
    <w:rsid w:val="006F76C4"/>
    <w:rsid w:val="006F7824"/>
    <w:rsid w:val="006F785A"/>
    <w:rsid w:val="006F7871"/>
    <w:rsid w:val="006F7916"/>
    <w:rsid w:val="006F7AF9"/>
    <w:rsid w:val="00700450"/>
    <w:rsid w:val="0070073B"/>
    <w:rsid w:val="00700940"/>
    <w:rsid w:val="00700ADC"/>
    <w:rsid w:val="00701960"/>
    <w:rsid w:val="007019B5"/>
    <w:rsid w:val="00701E2D"/>
    <w:rsid w:val="0070239D"/>
    <w:rsid w:val="00702551"/>
    <w:rsid w:val="00702649"/>
    <w:rsid w:val="0070269A"/>
    <w:rsid w:val="00702819"/>
    <w:rsid w:val="00702823"/>
    <w:rsid w:val="00702C2F"/>
    <w:rsid w:val="00702CFC"/>
    <w:rsid w:val="00703009"/>
    <w:rsid w:val="00703359"/>
    <w:rsid w:val="00703646"/>
    <w:rsid w:val="00703CA1"/>
    <w:rsid w:val="00704010"/>
    <w:rsid w:val="00704099"/>
    <w:rsid w:val="00704139"/>
    <w:rsid w:val="0070417D"/>
    <w:rsid w:val="00704260"/>
    <w:rsid w:val="007043DB"/>
    <w:rsid w:val="00704428"/>
    <w:rsid w:val="00704C07"/>
    <w:rsid w:val="00704C1A"/>
    <w:rsid w:val="00704DC0"/>
    <w:rsid w:val="00704E69"/>
    <w:rsid w:val="0070511A"/>
    <w:rsid w:val="0070524C"/>
    <w:rsid w:val="007054B2"/>
    <w:rsid w:val="00705628"/>
    <w:rsid w:val="007058BB"/>
    <w:rsid w:val="00705BBA"/>
    <w:rsid w:val="00705C59"/>
    <w:rsid w:val="0070634C"/>
    <w:rsid w:val="00706553"/>
    <w:rsid w:val="0070692A"/>
    <w:rsid w:val="00706B27"/>
    <w:rsid w:val="00706B72"/>
    <w:rsid w:val="00706FA5"/>
    <w:rsid w:val="00706FBE"/>
    <w:rsid w:val="00707171"/>
    <w:rsid w:val="00707587"/>
    <w:rsid w:val="00707EFC"/>
    <w:rsid w:val="00707F2F"/>
    <w:rsid w:val="00707FD7"/>
    <w:rsid w:val="00710483"/>
    <w:rsid w:val="00710724"/>
    <w:rsid w:val="0071097D"/>
    <w:rsid w:val="00710EF4"/>
    <w:rsid w:val="007117D3"/>
    <w:rsid w:val="0071231A"/>
    <w:rsid w:val="007128AB"/>
    <w:rsid w:val="00712937"/>
    <w:rsid w:val="00712C41"/>
    <w:rsid w:val="00712C99"/>
    <w:rsid w:val="007130C1"/>
    <w:rsid w:val="0071330A"/>
    <w:rsid w:val="007133CF"/>
    <w:rsid w:val="007138E0"/>
    <w:rsid w:val="00713923"/>
    <w:rsid w:val="00713BA0"/>
    <w:rsid w:val="00714038"/>
    <w:rsid w:val="00714254"/>
    <w:rsid w:val="0071456E"/>
    <w:rsid w:val="0071461F"/>
    <w:rsid w:val="00714685"/>
    <w:rsid w:val="007146B9"/>
    <w:rsid w:val="007149CF"/>
    <w:rsid w:val="007149F7"/>
    <w:rsid w:val="00714DB6"/>
    <w:rsid w:val="0071510D"/>
    <w:rsid w:val="00715245"/>
    <w:rsid w:val="00715399"/>
    <w:rsid w:val="0071542E"/>
    <w:rsid w:val="0071587E"/>
    <w:rsid w:val="00715C82"/>
    <w:rsid w:val="00715E69"/>
    <w:rsid w:val="007160FB"/>
    <w:rsid w:val="0071652B"/>
    <w:rsid w:val="0071665C"/>
    <w:rsid w:val="007167D0"/>
    <w:rsid w:val="00716BDD"/>
    <w:rsid w:val="00716BF0"/>
    <w:rsid w:val="00716C73"/>
    <w:rsid w:val="00716CEA"/>
    <w:rsid w:val="007170B4"/>
    <w:rsid w:val="00717343"/>
    <w:rsid w:val="007174AF"/>
    <w:rsid w:val="007176EB"/>
    <w:rsid w:val="00717841"/>
    <w:rsid w:val="0071785F"/>
    <w:rsid w:val="00717A3F"/>
    <w:rsid w:val="00717E20"/>
    <w:rsid w:val="00717E3D"/>
    <w:rsid w:val="00717E60"/>
    <w:rsid w:val="00717E79"/>
    <w:rsid w:val="0072033D"/>
    <w:rsid w:val="007204AD"/>
    <w:rsid w:val="007205DF"/>
    <w:rsid w:val="0072069C"/>
    <w:rsid w:val="0072075A"/>
    <w:rsid w:val="00720DBF"/>
    <w:rsid w:val="00720F68"/>
    <w:rsid w:val="0072101B"/>
    <w:rsid w:val="00721308"/>
    <w:rsid w:val="007213EC"/>
    <w:rsid w:val="00721585"/>
    <w:rsid w:val="007215AC"/>
    <w:rsid w:val="00721659"/>
    <w:rsid w:val="00721BDF"/>
    <w:rsid w:val="00721C11"/>
    <w:rsid w:val="00721CBD"/>
    <w:rsid w:val="00721EEC"/>
    <w:rsid w:val="0072207E"/>
    <w:rsid w:val="007226B1"/>
    <w:rsid w:val="00722B7E"/>
    <w:rsid w:val="007232AD"/>
    <w:rsid w:val="007232DB"/>
    <w:rsid w:val="007233C7"/>
    <w:rsid w:val="007238B4"/>
    <w:rsid w:val="00723FCD"/>
    <w:rsid w:val="00723FD6"/>
    <w:rsid w:val="00724452"/>
    <w:rsid w:val="0072474C"/>
    <w:rsid w:val="00724818"/>
    <w:rsid w:val="00724A9A"/>
    <w:rsid w:val="00724C3B"/>
    <w:rsid w:val="00725077"/>
    <w:rsid w:val="00725240"/>
    <w:rsid w:val="00725393"/>
    <w:rsid w:val="0072587E"/>
    <w:rsid w:val="00726024"/>
    <w:rsid w:val="00726102"/>
    <w:rsid w:val="00726195"/>
    <w:rsid w:val="0072627F"/>
    <w:rsid w:val="007262D0"/>
    <w:rsid w:val="00726454"/>
    <w:rsid w:val="00726575"/>
    <w:rsid w:val="00726606"/>
    <w:rsid w:val="0072681F"/>
    <w:rsid w:val="007269AF"/>
    <w:rsid w:val="007279FF"/>
    <w:rsid w:val="00727A0B"/>
    <w:rsid w:val="00727BEE"/>
    <w:rsid w:val="00727CA2"/>
    <w:rsid w:val="00727CF0"/>
    <w:rsid w:val="00727D51"/>
    <w:rsid w:val="0073091C"/>
    <w:rsid w:val="00730C0F"/>
    <w:rsid w:val="00730CAB"/>
    <w:rsid w:val="00731341"/>
    <w:rsid w:val="00731697"/>
    <w:rsid w:val="00731843"/>
    <w:rsid w:val="00731A24"/>
    <w:rsid w:val="00731B92"/>
    <w:rsid w:val="00731D51"/>
    <w:rsid w:val="00732386"/>
    <w:rsid w:val="007326C1"/>
    <w:rsid w:val="00732A0E"/>
    <w:rsid w:val="00732A49"/>
    <w:rsid w:val="00732BFD"/>
    <w:rsid w:val="00732C57"/>
    <w:rsid w:val="00732D8B"/>
    <w:rsid w:val="00732DBD"/>
    <w:rsid w:val="0073313C"/>
    <w:rsid w:val="00733240"/>
    <w:rsid w:val="00733326"/>
    <w:rsid w:val="00733747"/>
    <w:rsid w:val="00733BA9"/>
    <w:rsid w:val="00733BFD"/>
    <w:rsid w:val="00733CBE"/>
    <w:rsid w:val="00733D10"/>
    <w:rsid w:val="00733D5B"/>
    <w:rsid w:val="00733FC2"/>
    <w:rsid w:val="00734031"/>
    <w:rsid w:val="0073457F"/>
    <w:rsid w:val="00734720"/>
    <w:rsid w:val="00734856"/>
    <w:rsid w:val="00734A2C"/>
    <w:rsid w:val="00734BC8"/>
    <w:rsid w:val="00734C07"/>
    <w:rsid w:val="00734D2D"/>
    <w:rsid w:val="00734DFD"/>
    <w:rsid w:val="00734E02"/>
    <w:rsid w:val="00734E9C"/>
    <w:rsid w:val="00734EF1"/>
    <w:rsid w:val="00735017"/>
    <w:rsid w:val="0073522F"/>
    <w:rsid w:val="00735233"/>
    <w:rsid w:val="0073572C"/>
    <w:rsid w:val="00735C7A"/>
    <w:rsid w:val="00735CC4"/>
    <w:rsid w:val="00735EC4"/>
    <w:rsid w:val="00735EDF"/>
    <w:rsid w:val="00735FC7"/>
    <w:rsid w:val="007362BB"/>
    <w:rsid w:val="0073652B"/>
    <w:rsid w:val="00736A1B"/>
    <w:rsid w:val="00736C48"/>
    <w:rsid w:val="00736D25"/>
    <w:rsid w:val="00736D80"/>
    <w:rsid w:val="00737488"/>
    <w:rsid w:val="007375E6"/>
    <w:rsid w:val="00737645"/>
    <w:rsid w:val="0073787E"/>
    <w:rsid w:val="00737973"/>
    <w:rsid w:val="007379EF"/>
    <w:rsid w:val="00737B9E"/>
    <w:rsid w:val="00737D2D"/>
    <w:rsid w:val="00737D95"/>
    <w:rsid w:val="00737DED"/>
    <w:rsid w:val="007405A2"/>
    <w:rsid w:val="007407F3"/>
    <w:rsid w:val="00740867"/>
    <w:rsid w:val="007409F2"/>
    <w:rsid w:val="007413CC"/>
    <w:rsid w:val="00741438"/>
    <w:rsid w:val="00741448"/>
    <w:rsid w:val="0074189C"/>
    <w:rsid w:val="007418B4"/>
    <w:rsid w:val="007419BC"/>
    <w:rsid w:val="00741B91"/>
    <w:rsid w:val="00741BFC"/>
    <w:rsid w:val="00741C72"/>
    <w:rsid w:val="00742268"/>
    <w:rsid w:val="007426BC"/>
    <w:rsid w:val="00742998"/>
    <w:rsid w:val="00742A5A"/>
    <w:rsid w:val="00742A8D"/>
    <w:rsid w:val="00742B92"/>
    <w:rsid w:val="00742CBA"/>
    <w:rsid w:val="00742E70"/>
    <w:rsid w:val="00742ED6"/>
    <w:rsid w:val="00742F3B"/>
    <w:rsid w:val="00742FC1"/>
    <w:rsid w:val="007431DD"/>
    <w:rsid w:val="00743337"/>
    <w:rsid w:val="00743462"/>
    <w:rsid w:val="007434EA"/>
    <w:rsid w:val="007435DC"/>
    <w:rsid w:val="00743619"/>
    <w:rsid w:val="00743781"/>
    <w:rsid w:val="00743B58"/>
    <w:rsid w:val="00743F3A"/>
    <w:rsid w:val="0074403A"/>
    <w:rsid w:val="00744405"/>
    <w:rsid w:val="0074524B"/>
    <w:rsid w:val="00745455"/>
    <w:rsid w:val="00745602"/>
    <w:rsid w:val="00745880"/>
    <w:rsid w:val="00745B55"/>
    <w:rsid w:val="00745CDD"/>
    <w:rsid w:val="00745FA1"/>
    <w:rsid w:val="00746508"/>
    <w:rsid w:val="00746574"/>
    <w:rsid w:val="00746AC0"/>
    <w:rsid w:val="00746BCC"/>
    <w:rsid w:val="00746E0A"/>
    <w:rsid w:val="007471A9"/>
    <w:rsid w:val="0074729D"/>
    <w:rsid w:val="007476A7"/>
    <w:rsid w:val="00747731"/>
    <w:rsid w:val="00747D45"/>
    <w:rsid w:val="00747EF2"/>
    <w:rsid w:val="007502AA"/>
    <w:rsid w:val="007506A9"/>
    <w:rsid w:val="00750D3D"/>
    <w:rsid w:val="00750DAE"/>
    <w:rsid w:val="00750E0E"/>
    <w:rsid w:val="00750EE0"/>
    <w:rsid w:val="00751123"/>
    <w:rsid w:val="007514C7"/>
    <w:rsid w:val="007514F6"/>
    <w:rsid w:val="00751630"/>
    <w:rsid w:val="00751675"/>
    <w:rsid w:val="00751755"/>
    <w:rsid w:val="0075183D"/>
    <w:rsid w:val="00751B0C"/>
    <w:rsid w:val="00751B50"/>
    <w:rsid w:val="00751B78"/>
    <w:rsid w:val="00751BA1"/>
    <w:rsid w:val="00751C0B"/>
    <w:rsid w:val="00751DDE"/>
    <w:rsid w:val="00751E5E"/>
    <w:rsid w:val="00752230"/>
    <w:rsid w:val="007528E0"/>
    <w:rsid w:val="007531DC"/>
    <w:rsid w:val="00753327"/>
    <w:rsid w:val="0075335B"/>
    <w:rsid w:val="007533C5"/>
    <w:rsid w:val="00753512"/>
    <w:rsid w:val="0075351D"/>
    <w:rsid w:val="00753674"/>
    <w:rsid w:val="0075371C"/>
    <w:rsid w:val="00753BE4"/>
    <w:rsid w:val="00753F08"/>
    <w:rsid w:val="00754089"/>
    <w:rsid w:val="00754125"/>
    <w:rsid w:val="007542C1"/>
    <w:rsid w:val="00754388"/>
    <w:rsid w:val="00754BB9"/>
    <w:rsid w:val="00754FB8"/>
    <w:rsid w:val="00755097"/>
    <w:rsid w:val="0075513E"/>
    <w:rsid w:val="00755451"/>
    <w:rsid w:val="0075558F"/>
    <w:rsid w:val="007558CE"/>
    <w:rsid w:val="00755D09"/>
    <w:rsid w:val="00755E27"/>
    <w:rsid w:val="007560B1"/>
    <w:rsid w:val="00756363"/>
    <w:rsid w:val="0075638A"/>
    <w:rsid w:val="00756832"/>
    <w:rsid w:val="00756B06"/>
    <w:rsid w:val="00756CE8"/>
    <w:rsid w:val="00756DD9"/>
    <w:rsid w:val="007571D3"/>
    <w:rsid w:val="00757241"/>
    <w:rsid w:val="007574CB"/>
    <w:rsid w:val="0075751C"/>
    <w:rsid w:val="00757781"/>
    <w:rsid w:val="007577B7"/>
    <w:rsid w:val="0075795A"/>
    <w:rsid w:val="00757B7D"/>
    <w:rsid w:val="00757FAB"/>
    <w:rsid w:val="00760018"/>
    <w:rsid w:val="00760550"/>
    <w:rsid w:val="0076068D"/>
    <w:rsid w:val="007607A1"/>
    <w:rsid w:val="00760874"/>
    <w:rsid w:val="007608FC"/>
    <w:rsid w:val="00760C33"/>
    <w:rsid w:val="00760EE6"/>
    <w:rsid w:val="00761140"/>
    <w:rsid w:val="00761529"/>
    <w:rsid w:val="00761690"/>
    <w:rsid w:val="007617F5"/>
    <w:rsid w:val="007618E8"/>
    <w:rsid w:val="00761A1F"/>
    <w:rsid w:val="00761A92"/>
    <w:rsid w:val="00761C5A"/>
    <w:rsid w:val="007625A6"/>
    <w:rsid w:val="007626A6"/>
    <w:rsid w:val="00762C38"/>
    <w:rsid w:val="00762E28"/>
    <w:rsid w:val="0076332C"/>
    <w:rsid w:val="007633DD"/>
    <w:rsid w:val="007633F7"/>
    <w:rsid w:val="00763401"/>
    <w:rsid w:val="007635E3"/>
    <w:rsid w:val="007636BC"/>
    <w:rsid w:val="00763B2C"/>
    <w:rsid w:val="00763E90"/>
    <w:rsid w:val="00763EF9"/>
    <w:rsid w:val="00763FFE"/>
    <w:rsid w:val="0076469E"/>
    <w:rsid w:val="00764A5C"/>
    <w:rsid w:val="00764C3C"/>
    <w:rsid w:val="00764D43"/>
    <w:rsid w:val="00765098"/>
    <w:rsid w:val="007651FC"/>
    <w:rsid w:val="00765363"/>
    <w:rsid w:val="0076540B"/>
    <w:rsid w:val="0076548D"/>
    <w:rsid w:val="0076550B"/>
    <w:rsid w:val="00765535"/>
    <w:rsid w:val="0076565A"/>
    <w:rsid w:val="00765B1D"/>
    <w:rsid w:val="00765C60"/>
    <w:rsid w:val="00765F13"/>
    <w:rsid w:val="007661B4"/>
    <w:rsid w:val="00766604"/>
    <w:rsid w:val="0076667E"/>
    <w:rsid w:val="00766844"/>
    <w:rsid w:val="007669A5"/>
    <w:rsid w:val="00766D16"/>
    <w:rsid w:val="00766D49"/>
    <w:rsid w:val="00766E6F"/>
    <w:rsid w:val="00766E80"/>
    <w:rsid w:val="00767049"/>
    <w:rsid w:val="007670E0"/>
    <w:rsid w:val="00767168"/>
    <w:rsid w:val="0076723F"/>
    <w:rsid w:val="0076729D"/>
    <w:rsid w:val="0076771F"/>
    <w:rsid w:val="00767785"/>
    <w:rsid w:val="00767847"/>
    <w:rsid w:val="00767A36"/>
    <w:rsid w:val="00767A99"/>
    <w:rsid w:val="00767AA5"/>
    <w:rsid w:val="00767B51"/>
    <w:rsid w:val="00767F00"/>
    <w:rsid w:val="00770149"/>
    <w:rsid w:val="007701D4"/>
    <w:rsid w:val="007705C0"/>
    <w:rsid w:val="007706A3"/>
    <w:rsid w:val="00770753"/>
    <w:rsid w:val="00770821"/>
    <w:rsid w:val="00770862"/>
    <w:rsid w:val="00771237"/>
    <w:rsid w:val="007714AD"/>
    <w:rsid w:val="007717EE"/>
    <w:rsid w:val="00771864"/>
    <w:rsid w:val="00771A76"/>
    <w:rsid w:val="007726A8"/>
    <w:rsid w:val="00772748"/>
    <w:rsid w:val="00772919"/>
    <w:rsid w:val="00772A74"/>
    <w:rsid w:val="00772F48"/>
    <w:rsid w:val="007731B7"/>
    <w:rsid w:val="00773344"/>
    <w:rsid w:val="00773778"/>
    <w:rsid w:val="0077383D"/>
    <w:rsid w:val="00773D56"/>
    <w:rsid w:val="00773E38"/>
    <w:rsid w:val="00773FFF"/>
    <w:rsid w:val="007740E5"/>
    <w:rsid w:val="007741DA"/>
    <w:rsid w:val="00774563"/>
    <w:rsid w:val="007746AF"/>
    <w:rsid w:val="007747B2"/>
    <w:rsid w:val="00774EFF"/>
    <w:rsid w:val="0077500B"/>
    <w:rsid w:val="007751CA"/>
    <w:rsid w:val="0077535C"/>
    <w:rsid w:val="0077552B"/>
    <w:rsid w:val="0077579F"/>
    <w:rsid w:val="00775BD9"/>
    <w:rsid w:val="00775C29"/>
    <w:rsid w:val="00775F05"/>
    <w:rsid w:val="0077613D"/>
    <w:rsid w:val="007761BA"/>
    <w:rsid w:val="0077679F"/>
    <w:rsid w:val="007767D9"/>
    <w:rsid w:val="0077693E"/>
    <w:rsid w:val="00776A50"/>
    <w:rsid w:val="00776D7A"/>
    <w:rsid w:val="00776DEA"/>
    <w:rsid w:val="007770FE"/>
    <w:rsid w:val="00777217"/>
    <w:rsid w:val="0077738A"/>
    <w:rsid w:val="007774CD"/>
    <w:rsid w:val="007774D4"/>
    <w:rsid w:val="007775C3"/>
    <w:rsid w:val="007776FA"/>
    <w:rsid w:val="0077791F"/>
    <w:rsid w:val="007779D6"/>
    <w:rsid w:val="00777C20"/>
    <w:rsid w:val="00777DF8"/>
    <w:rsid w:val="00777F06"/>
    <w:rsid w:val="0078026C"/>
    <w:rsid w:val="00780774"/>
    <w:rsid w:val="00780F95"/>
    <w:rsid w:val="007810D1"/>
    <w:rsid w:val="007812BA"/>
    <w:rsid w:val="0078131C"/>
    <w:rsid w:val="0078194C"/>
    <w:rsid w:val="00781A87"/>
    <w:rsid w:val="00781EE6"/>
    <w:rsid w:val="007821AD"/>
    <w:rsid w:val="00782355"/>
    <w:rsid w:val="00782414"/>
    <w:rsid w:val="007824F6"/>
    <w:rsid w:val="0078255C"/>
    <w:rsid w:val="0078256C"/>
    <w:rsid w:val="0078267A"/>
    <w:rsid w:val="0078268A"/>
    <w:rsid w:val="00782B15"/>
    <w:rsid w:val="00782BC2"/>
    <w:rsid w:val="0078315F"/>
    <w:rsid w:val="007832CA"/>
    <w:rsid w:val="00783A09"/>
    <w:rsid w:val="00783CD3"/>
    <w:rsid w:val="00783DFD"/>
    <w:rsid w:val="007841BC"/>
    <w:rsid w:val="007846DC"/>
    <w:rsid w:val="007847E9"/>
    <w:rsid w:val="00784AA4"/>
    <w:rsid w:val="00784B7C"/>
    <w:rsid w:val="00784B89"/>
    <w:rsid w:val="00784EA9"/>
    <w:rsid w:val="007851C5"/>
    <w:rsid w:val="007852B4"/>
    <w:rsid w:val="007852D2"/>
    <w:rsid w:val="00785324"/>
    <w:rsid w:val="00785340"/>
    <w:rsid w:val="00785344"/>
    <w:rsid w:val="007854B1"/>
    <w:rsid w:val="00785699"/>
    <w:rsid w:val="00785944"/>
    <w:rsid w:val="0078596F"/>
    <w:rsid w:val="00785C42"/>
    <w:rsid w:val="00785CED"/>
    <w:rsid w:val="00785DF0"/>
    <w:rsid w:val="0078614A"/>
    <w:rsid w:val="007864B3"/>
    <w:rsid w:val="0078662D"/>
    <w:rsid w:val="00786A4B"/>
    <w:rsid w:val="00786AAE"/>
    <w:rsid w:val="00786BBA"/>
    <w:rsid w:val="0078746C"/>
    <w:rsid w:val="00787551"/>
    <w:rsid w:val="00787845"/>
    <w:rsid w:val="00787B66"/>
    <w:rsid w:val="00787C93"/>
    <w:rsid w:val="00787D37"/>
    <w:rsid w:val="00787EEF"/>
    <w:rsid w:val="00787F93"/>
    <w:rsid w:val="007902AC"/>
    <w:rsid w:val="007902E1"/>
    <w:rsid w:val="00790308"/>
    <w:rsid w:val="007907C6"/>
    <w:rsid w:val="0079090D"/>
    <w:rsid w:val="0079094F"/>
    <w:rsid w:val="007912AD"/>
    <w:rsid w:val="007913CE"/>
    <w:rsid w:val="00791623"/>
    <w:rsid w:val="007917B0"/>
    <w:rsid w:val="00791B00"/>
    <w:rsid w:val="00791BCE"/>
    <w:rsid w:val="00791E23"/>
    <w:rsid w:val="007922C5"/>
    <w:rsid w:val="007927C3"/>
    <w:rsid w:val="00792AF1"/>
    <w:rsid w:val="00792C5D"/>
    <w:rsid w:val="00792CC6"/>
    <w:rsid w:val="00792CF8"/>
    <w:rsid w:val="00792F99"/>
    <w:rsid w:val="007931B5"/>
    <w:rsid w:val="007935AB"/>
    <w:rsid w:val="00793897"/>
    <w:rsid w:val="007940C8"/>
    <w:rsid w:val="00794261"/>
    <w:rsid w:val="007944AD"/>
    <w:rsid w:val="00794BD1"/>
    <w:rsid w:val="00794D05"/>
    <w:rsid w:val="00794E58"/>
    <w:rsid w:val="00794F12"/>
    <w:rsid w:val="0079513D"/>
    <w:rsid w:val="007951EA"/>
    <w:rsid w:val="0079531A"/>
    <w:rsid w:val="007955EA"/>
    <w:rsid w:val="00795A62"/>
    <w:rsid w:val="00795BF9"/>
    <w:rsid w:val="00795F20"/>
    <w:rsid w:val="00796055"/>
    <w:rsid w:val="007962F1"/>
    <w:rsid w:val="007963F4"/>
    <w:rsid w:val="007966B3"/>
    <w:rsid w:val="00796ACB"/>
    <w:rsid w:val="00796B52"/>
    <w:rsid w:val="00796BE7"/>
    <w:rsid w:val="00796D4F"/>
    <w:rsid w:val="00796EC7"/>
    <w:rsid w:val="0079711A"/>
    <w:rsid w:val="0079741F"/>
    <w:rsid w:val="00797424"/>
    <w:rsid w:val="007978B1"/>
    <w:rsid w:val="00797AEB"/>
    <w:rsid w:val="00797C0D"/>
    <w:rsid w:val="007A0415"/>
    <w:rsid w:val="007A05AB"/>
    <w:rsid w:val="007A06AA"/>
    <w:rsid w:val="007A086B"/>
    <w:rsid w:val="007A0CDD"/>
    <w:rsid w:val="007A0D4C"/>
    <w:rsid w:val="007A0E3B"/>
    <w:rsid w:val="007A0EC6"/>
    <w:rsid w:val="007A0EDC"/>
    <w:rsid w:val="007A0FCA"/>
    <w:rsid w:val="007A113C"/>
    <w:rsid w:val="007A178A"/>
    <w:rsid w:val="007A18D4"/>
    <w:rsid w:val="007A201D"/>
    <w:rsid w:val="007A2028"/>
    <w:rsid w:val="007A2120"/>
    <w:rsid w:val="007A232F"/>
    <w:rsid w:val="007A24CF"/>
    <w:rsid w:val="007A32A3"/>
    <w:rsid w:val="007A32E8"/>
    <w:rsid w:val="007A37E5"/>
    <w:rsid w:val="007A3DA3"/>
    <w:rsid w:val="007A4432"/>
    <w:rsid w:val="007A4441"/>
    <w:rsid w:val="007A4559"/>
    <w:rsid w:val="007A4B14"/>
    <w:rsid w:val="007A4D88"/>
    <w:rsid w:val="007A4F61"/>
    <w:rsid w:val="007A4FE3"/>
    <w:rsid w:val="007A54BF"/>
    <w:rsid w:val="007A57DE"/>
    <w:rsid w:val="007A5896"/>
    <w:rsid w:val="007A6041"/>
    <w:rsid w:val="007A6C36"/>
    <w:rsid w:val="007A6C8B"/>
    <w:rsid w:val="007A6EB2"/>
    <w:rsid w:val="007A7130"/>
    <w:rsid w:val="007A7242"/>
    <w:rsid w:val="007A726F"/>
    <w:rsid w:val="007A72F3"/>
    <w:rsid w:val="007A77D7"/>
    <w:rsid w:val="007A7B96"/>
    <w:rsid w:val="007A7C12"/>
    <w:rsid w:val="007A7C3A"/>
    <w:rsid w:val="007A7D56"/>
    <w:rsid w:val="007B0291"/>
    <w:rsid w:val="007B04A1"/>
    <w:rsid w:val="007B05BD"/>
    <w:rsid w:val="007B0C75"/>
    <w:rsid w:val="007B0CB5"/>
    <w:rsid w:val="007B168D"/>
    <w:rsid w:val="007B16E8"/>
    <w:rsid w:val="007B18F9"/>
    <w:rsid w:val="007B1AA1"/>
    <w:rsid w:val="007B1B1E"/>
    <w:rsid w:val="007B1B6A"/>
    <w:rsid w:val="007B1C2A"/>
    <w:rsid w:val="007B1F16"/>
    <w:rsid w:val="007B2237"/>
    <w:rsid w:val="007B2306"/>
    <w:rsid w:val="007B2401"/>
    <w:rsid w:val="007B2597"/>
    <w:rsid w:val="007B2622"/>
    <w:rsid w:val="007B29DA"/>
    <w:rsid w:val="007B2A9E"/>
    <w:rsid w:val="007B2B65"/>
    <w:rsid w:val="007B2CF1"/>
    <w:rsid w:val="007B2DF6"/>
    <w:rsid w:val="007B2FC1"/>
    <w:rsid w:val="007B303B"/>
    <w:rsid w:val="007B3263"/>
    <w:rsid w:val="007B3294"/>
    <w:rsid w:val="007B3558"/>
    <w:rsid w:val="007B3F9C"/>
    <w:rsid w:val="007B40DB"/>
    <w:rsid w:val="007B4325"/>
    <w:rsid w:val="007B44D0"/>
    <w:rsid w:val="007B46AF"/>
    <w:rsid w:val="007B4718"/>
    <w:rsid w:val="007B47AD"/>
    <w:rsid w:val="007B49AE"/>
    <w:rsid w:val="007B51AD"/>
    <w:rsid w:val="007B5267"/>
    <w:rsid w:val="007B535B"/>
    <w:rsid w:val="007B53E3"/>
    <w:rsid w:val="007B5947"/>
    <w:rsid w:val="007B59C4"/>
    <w:rsid w:val="007B5AEB"/>
    <w:rsid w:val="007B5F00"/>
    <w:rsid w:val="007B62F1"/>
    <w:rsid w:val="007B667F"/>
    <w:rsid w:val="007B66F6"/>
    <w:rsid w:val="007B6848"/>
    <w:rsid w:val="007B6942"/>
    <w:rsid w:val="007B6A63"/>
    <w:rsid w:val="007B6DC8"/>
    <w:rsid w:val="007B721A"/>
    <w:rsid w:val="007B7339"/>
    <w:rsid w:val="007B7438"/>
    <w:rsid w:val="007B7583"/>
    <w:rsid w:val="007B77FB"/>
    <w:rsid w:val="007C02DD"/>
    <w:rsid w:val="007C03A7"/>
    <w:rsid w:val="007C0448"/>
    <w:rsid w:val="007C0873"/>
    <w:rsid w:val="007C08A2"/>
    <w:rsid w:val="007C09D5"/>
    <w:rsid w:val="007C1451"/>
    <w:rsid w:val="007C15E9"/>
    <w:rsid w:val="007C1780"/>
    <w:rsid w:val="007C1A3C"/>
    <w:rsid w:val="007C1E07"/>
    <w:rsid w:val="007C1F15"/>
    <w:rsid w:val="007C2187"/>
    <w:rsid w:val="007C223E"/>
    <w:rsid w:val="007C2B48"/>
    <w:rsid w:val="007C2B6B"/>
    <w:rsid w:val="007C2E97"/>
    <w:rsid w:val="007C307B"/>
    <w:rsid w:val="007C36FD"/>
    <w:rsid w:val="007C37A1"/>
    <w:rsid w:val="007C3A52"/>
    <w:rsid w:val="007C4207"/>
    <w:rsid w:val="007C47B5"/>
    <w:rsid w:val="007C4CF8"/>
    <w:rsid w:val="007C4DB4"/>
    <w:rsid w:val="007C509E"/>
    <w:rsid w:val="007C55D8"/>
    <w:rsid w:val="007C5694"/>
    <w:rsid w:val="007C5741"/>
    <w:rsid w:val="007C5B89"/>
    <w:rsid w:val="007C5BAE"/>
    <w:rsid w:val="007C5BC1"/>
    <w:rsid w:val="007C5D44"/>
    <w:rsid w:val="007C5DB0"/>
    <w:rsid w:val="007C5E12"/>
    <w:rsid w:val="007C5EDC"/>
    <w:rsid w:val="007C6238"/>
    <w:rsid w:val="007C6854"/>
    <w:rsid w:val="007C6CCF"/>
    <w:rsid w:val="007C6E36"/>
    <w:rsid w:val="007C7291"/>
    <w:rsid w:val="007C7316"/>
    <w:rsid w:val="007C7322"/>
    <w:rsid w:val="007C75E2"/>
    <w:rsid w:val="007C7642"/>
    <w:rsid w:val="007C7BEA"/>
    <w:rsid w:val="007C7D8C"/>
    <w:rsid w:val="007C7DBC"/>
    <w:rsid w:val="007C7E0C"/>
    <w:rsid w:val="007C7EE7"/>
    <w:rsid w:val="007D0050"/>
    <w:rsid w:val="007D0115"/>
    <w:rsid w:val="007D02C1"/>
    <w:rsid w:val="007D06F0"/>
    <w:rsid w:val="007D0AD9"/>
    <w:rsid w:val="007D0D27"/>
    <w:rsid w:val="007D0E03"/>
    <w:rsid w:val="007D0F85"/>
    <w:rsid w:val="007D10B5"/>
    <w:rsid w:val="007D10E3"/>
    <w:rsid w:val="007D1100"/>
    <w:rsid w:val="007D11EB"/>
    <w:rsid w:val="007D1349"/>
    <w:rsid w:val="007D1BF5"/>
    <w:rsid w:val="007D1F1B"/>
    <w:rsid w:val="007D22DF"/>
    <w:rsid w:val="007D26FD"/>
    <w:rsid w:val="007D28A8"/>
    <w:rsid w:val="007D2A4F"/>
    <w:rsid w:val="007D2D81"/>
    <w:rsid w:val="007D31C1"/>
    <w:rsid w:val="007D3528"/>
    <w:rsid w:val="007D36B3"/>
    <w:rsid w:val="007D392A"/>
    <w:rsid w:val="007D3BC5"/>
    <w:rsid w:val="007D41E3"/>
    <w:rsid w:val="007D429E"/>
    <w:rsid w:val="007D42F8"/>
    <w:rsid w:val="007D4B0C"/>
    <w:rsid w:val="007D4B6C"/>
    <w:rsid w:val="007D4B85"/>
    <w:rsid w:val="007D50AC"/>
    <w:rsid w:val="007D53AF"/>
    <w:rsid w:val="007D567D"/>
    <w:rsid w:val="007D57AC"/>
    <w:rsid w:val="007D57FF"/>
    <w:rsid w:val="007D5BE2"/>
    <w:rsid w:val="007D6621"/>
    <w:rsid w:val="007D6789"/>
    <w:rsid w:val="007D6AD2"/>
    <w:rsid w:val="007D6C50"/>
    <w:rsid w:val="007D6CEA"/>
    <w:rsid w:val="007D6F53"/>
    <w:rsid w:val="007D6F94"/>
    <w:rsid w:val="007D70E3"/>
    <w:rsid w:val="007D7251"/>
    <w:rsid w:val="007D76AE"/>
    <w:rsid w:val="007D7D88"/>
    <w:rsid w:val="007E010D"/>
    <w:rsid w:val="007E0567"/>
    <w:rsid w:val="007E05D4"/>
    <w:rsid w:val="007E09EE"/>
    <w:rsid w:val="007E0D2F"/>
    <w:rsid w:val="007E0DE5"/>
    <w:rsid w:val="007E1247"/>
    <w:rsid w:val="007E1385"/>
    <w:rsid w:val="007E1677"/>
    <w:rsid w:val="007E16F8"/>
    <w:rsid w:val="007E1736"/>
    <w:rsid w:val="007E184E"/>
    <w:rsid w:val="007E1AE2"/>
    <w:rsid w:val="007E22EA"/>
    <w:rsid w:val="007E24FA"/>
    <w:rsid w:val="007E29A9"/>
    <w:rsid w:val="007E2AFC"/>
    <w:rsid w:val="007E2BAD"/>
    <w:rsid w:val="007E2E7F"/>
    <w:rsid w:val="007E33AC"/>
    <w:rsid w:val="007E350E"/>
    <w:rsid w:val="007E360C"/>
    <w:rsid w:val="007E3E9B"/>
    <w:rsid w:val="007E40F0"/>
    <w:rsid w:val="007E411E"/>
    <w:rsid w:val="007E48CD"/>
    <w:rsid w:val="007E4903"/>
    <w:rsid w:val="007E498A"/>
    <w:rsid w:val="007E4DEE"/>
    <w:rsid w:val="007E4E06"/>
    <w:rsid w:val="007E4E4D"/>
    <w:rsid w:val="007E4E63"/>
    <w:rsid w:val="007E4ED5"/>
    <w:rsid w:val="007E5105"/>
    <w:rsid w:val="007E52DF"/>
    <w:rsid w:val="007E55C8"/>
    <w:rsid w:val="007E5671"/>
    <w:rsid w:val="007E59E9"/>
    <w:rsid w:val="007E5CF2"/>
    <w:rsid w:val="007E5D19"/>
    <w:rsid w:val="007E5D23"/>
    <w:rsid w:val="007E5DDA"/>
    <w:rsid w:val="007E619C"/>
    <w:rsid w:val="007E6424"/>
    <w:rsid w:val="007E64D9"/>
    <w:rsid w:val="007E651D"/>
    <w:rsid w:val="007E65FD"/>
    <w:rsid w:val="007E6653"/>
    <w:rsid w:val="007E6700"/>
    <w:rsid w:val="007E6BB7"/>
    <w:rsid w:val="007E6C7E"/>
    <w:rsid w:val="007E76C6"/>
    <w:rsid w:val="007E77B2"/>
    <w:rsid w:val="007E78A3"/>
    <w:rsid w:val="007E796D"/>
    <w:rsid w:val="007E7A59"/>
    <w:rsid w:val="007E7C00"/>
    <w:rsid w:val="007F078B"/>
    <w:rsid w:val="007F07E4"/>
    <w:rsid w:val="007F09E8"/>
    <w:rsid w:val="007F0BA5"/>
    <w:rsid w:val="007F0C85"/>
    <w:rsid w:val="007F0DFD"/>
    <w:rsid w:val="007F0E5F"/>
    <w:rsid w:val="007F0EBA"/>
    <w:rsid w:val="007F1142"/>
    <w:rsid w:val="007F156E"/>
    <w:rsid w:val="007F1677"/>
    <w:rsid w:val="007F16C1"/>
    <w:rsid w:val="007F195A"/>
    <w:rsid w:val="007F1BC7"/>
    <w:rsid w:val="007F1C45"/>
    <w:rsid w:val="007F1F24"/>
    <w:rsid w:val="007F240B"/>
    <w:rsid w:val="007F26F9"/>
    <w:rsid w:val="007F2D88"/>
    <w:rsid w:val="007F2DC8"/>
    <w:rsid w:val="007F2F57"/>
    <w:rsid w:val="007F2FA3"/>
    <w:rsid w:val="007F3316"/>
    <w:rsid w:val="007F3407"/>
    <w:rsid w:val="007F3636"/>
    <w:rsid w:val="007F3850"/>
    <w:rsid w:val="007F3A32"/>
    <w:rsid w:val="007F3C62"/>
    <w:rsid w:val="007F3DA1"/>
    <w:rsid w:val="007F47CE"/>
    <w:rsid w:val="007F47D5"/>
    <w:rsid w:val="007F4A78"/>
    <w:rsid w:val="007F55CF"/>
    <w:rsid w:val="007F5B66"/>
    <w:rsid w:val="007F5BAF"/>
    <w:rsid w:val="007F60F9"/>
    <w:rsid w:val="007F6172"/>
    <w:rsid w:val="007F6205"/>
    <w:rsid w:val="007F6370"/>
    <w:rsid w:val="007F63A9"/>
    <w:rsid w:val="007F6636"/>
    <w:rsid w:val="007F6741"/>
    <w:rsid w:val="007F67AA"/>
    <w:rsid w:val="007F67F8"/>
    <w:rsid w:val="007F6804"/>
    <w:rsid w:val="007F6F31"/>
    <w:rsid w:val="007F6F43"/>
    <w:rsid w:val="007F6FD7"/>
    <w:rsid w:val="007F7960"/>
    <w:rsid w:val="007F7CD1"/>
    <w:rsid w:val="0080003C"/>
    <w:rsid w:val="008000C7"/>
    <w:rsid w:val="00800107"/>
    <w:rsid w:val="00800173"/>
    <w:rsid w:val="00800ACE"/>
    <w:rsid w:val="00800D13"/>
    <w:rsid w:val="00801043"/>
    <w:rsid w:val="0080127C"/>
    <w:rsid w:val="0080143E"/>
    <w:rsid w:val="00801702"/>
    <w:rsid w:val="008017B7"/>
    <w:rsid w:val="00801B49"/>
    <w:rsid w:val="008027C5"/>
    <w:rsid w:val="00802881"/>
    <w:rsid w:val="00802C8E"/>
    <w:rsid w:val="0080309E"/>
    <w:rsid w:val="008030FD"/>
    <w:rsid w:val="0080317F"/>
    <w:rsid w:val="0080349E"/>
    <w:rsid w:val="008035F7"/>
    <w:rsid w:val="008037BB"/>
    <w:rsid w:val="00803F3C"/>
    <w:rsid w:val="00804197"/>
    <w:rsid w:val="0080480E"/>
    <w:rsid w:val="00804B0A"/>
    <w:rsid w:val="00804CBC"/>
    <w:rsid w:val="00804DE8"/>
    <w:rsid w:val="00804EA0"/>
    <w:rsid w:val="008051C8"/>
    <w:rsid w:val="008053B7"/>
    <w:rsid w:val="008056AF"/>
    <w:rsid w:val="0080586D"/>
    <w:rsid w:val="0080597A"/>
    <w:rsid w:val="00805FC0"/>
    <w:rsid w:val="0080659B"/>
    <w:rsid w:val="008065AD"/>
    <w:rsid w:val="008065B4"/>
    <w:rsid w:val="008067B2"/>
    <w:rsid w:val="008067B7"/>
    <w:rsid w:val="0080690D"/>
    <w:rsid w:val="00806C78"/>
    <w:rsid w:val="00806CB9"/>
    <w:rsid w:val="008072A2"/>
    <w:rsid w:val="008072E6"/>
    <w:rsid w:val="00807434"/>
    <w:rsid w:val="00807999"/>
    <w:rsid w:val="00807BDA"/>
    <w:rsid w:val="008105CC"/>
    <w:rsid w:val="008105EE"/>
    <w:rsid w:val="00810604"/>
    <w:rsid w:val="00810611"/>
    <w:rsid w:val="008108C1"/>
    <w:rsid w:val="00810CB5"/>
    <w:rsid w:val="00810D7C"/>
    <w:rsid w:val="00811084"/>
    <w:rsid w:val="00811206"/>
    <w:rsid w:val="008113D2"/>
    <w:rsid w:val="008114DE"/>
    <w:rsid w:val="00811936"/>
    <w:rsid w:val="008119FB"/>
    <w:rsid w:val="00811A05"/>
    <w:rsid w:val="00811CC9"/>
    <w:rsid w:val="0081241C"/>
    <w:rsid w:val="008126C7"/>
    <w:rsid w:val="0081272A"/>
    <w:rsid w:val="008128AE"/>
    <w:rsid w:val="008129F3"/>
    <w:rsid w:val="00812E84"/>
    <w:rsid w:val="00812F08"/>
    <w:rsid w:val="00812FEE"/>
    <w:rsid w:val="00813307"/>
    <w:rsid w:val="0081362A"/>
    <w:rsid w:val="00813A98"/>
    <w:rsid w:val="00813B01"/>
    <w:rsid w:val="00813B2F"/>
    <w:rsid w:val="00813BC3"/>
    <w:rsid w:val="00813D54"/>
    <w:rsid w:val="00813DCC"/>
    <w:rsid w:val="00814323"/>
    <w:rsid w:val="008148C1"/>
    <w:rsid w:val="00814CE4"/>
    <w:rsid w:val="00814DC9"/>
    <w:rsid w:val="00814E53"/>
    <w:rsid w:val="008150CE"/>
    <w:rsid w:val="0081525D"/>
    <w:rsid w:val="00815264"/>
    <w:rsid w:val="00815287"/>
    <w:rsid w:val="008152AF"/>
    <w:rsid w:val="008154C9"/>
    <w:rsid w:val="00815619"/>
    <w:rsid w:val="00815682"/>
    <w:rsid w:val="008158E7"/>
    <w:rsid w:val="00815CE4"/>
    <w:rsid w:val="00815DF4"/>
    <w:rsid w:val="00815F52"/>
    <w:rsid w:val="00816075"/>
    <w:rsid w:val="0081611F"/>
    <w:rsid w:val="008162F2"/>
    <w:rsid w:val="008166A5"/>
    <w:rsid w:val="008167EC"/>
    <w:rsid w:val="00816880"/>
    <w:rsid w:val="00816A58"/>
    <w:rsid w:val="0081716A"/>
    <w:rsid w:val="008171FB"/>
    <w:rsid w:val="00817466"/>
    <w:rsid w:val="00817CE0"/>
    <w:rsid w:val="00817D66"/>
    <w:rsid w:val="0082003F"/>
    <w:rsid w:val="008201CA"/>
    <w:rsid w:val="0082031F"/>
    <w:rsid w:val="008203AB"/>
    <w:rsid w:val="00820418"/>
    <w:rsid w:val="008207A7"/>
    <w:rsid w:val="008207EA"/>
    <w:rsid w:val="00820B03"/>
    <w:rsid w:val="00820BD9"/>
    <w:rsid w:val="0082111B"/>
    <w:rsid w:val="0082117F"/>
    <w:rsid w:val="00821519"/>
    <w:rsid w:val="00821FA0"/>
    <w:rsid w:val="00822217"/>
    <w:rsid w:val="00822513"/>
    <w:rsid w:val="00822A2D"/>
    <w:rsid w:val="00822B3C"/>
    <w:rsid w:val="00822E62"/>
    <w:rsid w:val="00822FBB"/>
    <w:rsid w:val="00823040"/>
    <w:rsid w:val="00823250"/>
    <w:rsid w:val="008232E7"/>
    <w:rsid w:val="008235FD"/>
    <w:rsid w:val="008236F4"/>
    <w:rsid w:val="00823A40"/>
    <w:rsid w:val="00823D81"/>
    <w:rsid w:val="00824203"/>
    <w:rsid w:val="008244BC"/>
    <w:rsid w:val="008244C2"/>
    <w:rsid w:val="00824870"/>
    <w:rsid w:val="00824C38"/>
    <w:rsid w:val="00824D51"/>
    <w:rsid w:val="00824E2B"/>
    <w:rsid w:val="00824EDD"/>
    <w:rsid w:val="00824FF8"/>
    <w:rsid w:val="0082505B"/>
    <w:rsid w:val="00825381"/>
    <w:rsid w:val="00825435"/>
    <w:rsid w:val="00825658"/>
    <w:rsid w:val="008258B8"/>
    <w:rsid w:val="00825F6B"/>
    <w:rsid w:val="008266D8"/>
    <w:rsid w:val="00826876"/>
    <w:rsid w:val="0082696B"/>
    <w:rsid w:val="00826D09"/>
    <w:rsid w:val="00826D31"/>
    <w:rsid w:val="00826D7F"/>
    <w:rsid w:val="0082737D"/>
    <w:rsid w:val="008275BA"/>
    <w:rsid w:val="008277F9"/>
    <w:rsid w:val="00827AE6"/>
    <w:rsid w:val="00827B83"/>
    <w:rsid w:val="00827C49"/>
    <w:rsid w:val="00827D43"/>
    <w:rsid w:val="008302AE"/>
    <w:rsid w:val="00830370"/>
    <w:rsid w:val="00830A1E"/>
    <w:rsid w:val="00830D86"/>
    <w:rsid w:val="0083106C"/>
    <w:rsid w:val="008311A5"/>
    <w:rsid w:val="00831330"/>
    <w:rsid w:val="0083195C"/>
    <w:rsid w:val="00831C52"/>
    <w:rsid w:val="00831CF1"/>
    <w:rsid w:val="00831E02"/>
    <w:rsid w:val="00831F90"/>
    <w:rsid w:val="0083210E"/>
    <w:rsid w:val="008326DE"/>
    <w:rsid w:val="00832AB9"/>
    <w:rsid w:val="00832D22"/>
    <w:rsid w:val="00832F80"/>
    <w:rsid w:val="00832FB5"/>
    <w:rsid w:val="00833022"/>
    <w:rsid w:val="008332B1"/>
    <w:rsid w:val="00833381"/>
    <w:rsid w:val="0083353C"/>
    <w:rsid w:val="008337A8"/>
    <w:rsid w:val="008337BB"/>
    <w:rsid w:val="00833BE1"/>
    <w:rsid w:val="00833BE7"/>
    <w:rsid w:val="00833ED9"/>
    <w:rsid w:val="00833F30"/>
    <w:rsid w:val="00834640"/>
    <w:rsid w:val="0083487E"/>
    <w:rsid w:val="00834CA0"/>
    <w:rsid w:val="00834DF2"/>
    <w:rsid w:val="00835118"/>
    <w:rsid w:val="00835214"/>
    <w:rsid w:val="008352AD"/>
    <w:rsid w:val="00835335"/>
    <w:rsid w:val="00835459"/>
    <w:rsid w:val="00835B0B"/>
    <w:rsid w:val="00835DA7"/>
    <w:rsid w:val="00835E4E"/>
    <w:rsid w:val="00835EE7"/>
    <w:rsid w:val="00836415"/>
    <w:rsid w:val="00836603"/>
    <w:rsid w:val="00836981"/>
    <w:rsid w:val="00837524"/>
    <w:rsid w:val="008378D8"/>
    <w:rsid w:val="008379FE"/>
    <w:rsid w:val="00837A75"/>
    <w:rsid w:val="00837A8F"/>
    <w:rsid w:val="00837BFC"/>
    <w:rsid w:val="00840118"/>
    <w:rsid w:val="008401B9"/>
    <w:rsid w:val="0084028B"/>
    <w:rsid w:val="0084063D"/>
    <w:rsid w:val="00840B04"/>
    <w:rsid w:val="0084111E"/>
    <w:rsid w:val="0084130B"/>
    <w:rsid w:val="0084140A"/>
    <w:rsid w:val="00841A33"/>
    <w:rsid w:val="00841DCD"/>
    <w:rsid w:val="0084203F"/>
    <w:rsid w:val="00842044"/>
    <w:rsid w:val="008420FB"/>
    <w:rsid w:val="00842308"/>
    <w:rsid w:val="0084237B"/>
    <w:rsid w:val="00842652"/>
    <w:rsid w:val="00842927"/>
    <w:rsid w:val="0084298E"/>
    <w:rsid w:val="00842F12"/>
    <w:rsid w:val="0084346E"/>
    <w:rsid w:val="008434E0"/>
    <w:rsid w:val="00843533"/>
    <w:rsid w:val="00843647"/>
    <w:rsid w:val="0084367A"/>
    <w:rsid w:val="00843955"/>
    <w:rsid w:val="00843FD8"/>
    <w:rsid w:val="008444C4"/>
    <w:rsid w:val="00844998"/>
    <w:rsid w:val="00844AE7"/>
    <w:rsid w:val="00844C2B"/>
    <w:rsid w:val="00844C79"/>
    <w:rsid w:val="00844DB3"/>
    <w:rsid w:val="00845265"/>
    <w:rsid w:val="0084526F"/>
    <w:rsid w:val="0084538B"/>
    <w:rsid w:val="008453B2"/>
    <w:rsid w:val="008454D8"/>
    <w:rsid w:val="0084556F"/>
    <w:rsid w:val="00845CCF"/>
    <w:rsid w:val="00845DBA"/>
    <w:rsid w:val="0084602C"/>
    <w:rsid w:val="0084658A"/>
    <w:rsid w:val="00846666"/>
    <w:rsid w:val="00846733"/>
    <w:rsid w:val="00846C79"/>
    <w:rsid w:val="00846F8D"/>
    <w:rsid w:val="008470A2"/>
    <w:rsid w:val="008474B1"/>
    <w:rsid w:val="008477F9"/>
    <w:rsid w:val="00847FBF"/>
    <w:rsid w:val="00850279"/>
    <w:rsid w:val="008502A7"/>
    <w:rsid w:val="00850740"/>
    <w:rsid w:val="00850914"/>
    <w:rsid w:val="00850B05"/>
    <w:rsid w:val="00850CE7"/>
    <w:rsid w:val="008511FE"/>
    <w:rsid w:val="00851272"/>
    <w:rsid w:val="0085168A"/>
    <w:rsid w:val="008517FF"/>
    <w:rsid w:val="00851B46"/>
    <w:rsid w:val="00851BCC"/>
    <w:rsid w:val="00852129"/>
    <w:rsid w:val="008521A1"/>
    <w:rsid w:val="0085242D"/>
    <w:rsid w:val="00852458"/>
    <w:rsid w:val="0085270C"/>
    <w:rsid w:val="00852A82"/>
    <w:rsid w:val="00852AD3"/>
    <w:rsid w:val="00852BB7"/>
    <w:rsid w:val="00852BD3"/>
    <w:rsid w:val="00852D56"/>
    <w:rsid w:val="00852E5C"/>
    <w:rsid w:val="00852E81"/>
    <w:rsid w:val="00852EB3"/>
    <w:rsid w:val="00852FD2"/>
    <w:rsid w:val="0085337F"/>
    <w:rsid w:val="00853489"/>
    <w:rsid w:val="008538E9"/>
    <w:rsid w:val="00853A66"/>
    <w:rsid w:val="00853B7D"/>
    <w:rsid w:val="00853C5A"/>
    <w:rsid w:val="00853CC0"/>
    <w:rsid w:val="00853DE0"/>
    <w:rsid w:val="00853F4E"/>
    <w:rsid w:val="00853F53"/>
    <w:rsid w:val="00854165"/>
    <w:rsid w:val="0085430B"/>
    <w:rsid w:val="00854426"/>
    <w:rsid w:val="00854655"/>
    <w:rsid w:val="008546DB"/>
    <w:rsid w:val="008548AC"/>
    <w:rsid w:val="008548F1"/>
    <w:rsid w:val="00854911"/>
    <w:rsid w:val="00854B19"/>
    <w:rsid w:val="00854D03"/>
    <w:rsid w:val="00854D6E"/>
    <w:rsid w:val="00854F38"/>
    <w:rsid w:val="00854FEB"/>
    <w:rsid w:val="008550C9"/>
    <w:rsid w:val="0085527C"/>
    <w:rsid w:val="00855345"/>
    <w:rsid w:val="008553FB"/>
    <w:rsid w:val="00855412"/>
    <w:rsid w:val="00855B04"/>
    <w:rsid w:val="00855D09"/>
    <w:rsid w:val="00855F70"/>
    <w:rsid w:val="0085601C"/>
    <w:rsid w:val="008560A7"/>
    <w:rsid w:val="00856297"/>
    <w:rsid w:val="008564DB"/>
    <w:rsid w:val="00856668"/>
    <w:rsid w:val="00856C95"/>
    <w:rsid w:val="008570B5"/>
    <w:rsid w:val="008571BB"/>
    <w:rsid w:val="00857449"/>
    <w:rsid w:val="00857675"/>
    <w:rsid w:val="008576CA"/>
    <w:rsid w:val="00857C85"/>
    <w:rsid w:val="00857DAE"/>
    <w:rsid w:val="008600E1"/>
    <w:rsid w:val="00860125"/>
    <w:rsid w:val="0086024D"/>
    <w:rsid w:val="0086032E"/>
    <w:rsid w:val="00860347"/>
    <w:rsid w:val="008603B3"/>
    <w:rsid w:val="00860494"/>
    <w:rsid w:val="00860748"/>
    <w:rsid w:val="00860BA9"/>
    <w:rsid w:val="00860C21"/>
    <w:rsid w:val="00860CD7"/>
    <w:rsid w:val="00860D0E"/>
    <w:rsid w:val="00860EE5"/>
    <w:rsid w:val="00861C47"/>
    <w:rsid w:val="00861CC4"/>
    <w:rsid w:val="00861CD9"/>
    <w:rsid w:val="00861F3F"/>
    <w:rsid w:val="00861FBF"/>
    <w:rsid w:val="008620A6"/>
    <w:rsid w:val="00862329"/>
    <w:rsid w:val="0086237F"/>
    <w:rsid w:val="008626DC"/>
    <w:rsid w:val="00862C25"/>
    <w:rsid w:val="00862D5D"/>
    <w:rsid w:val="00862FB6"/>
    <w:rsid w:val="00862FED"/>
    <w:rsid w:val="0086312D"/>
    <w:rsid w:val="008638E8"/>
    <w:rsid w:val="00863CBA"/>
    <w:rsid w:val="00864225"/>
    <w:rsid w:val="0086426E"/>
    <w:rsid w:val="0086437B"/>
    <w:rsid w:val="008644DC"/>
    <w:rsid w:val="008647CE"/>
    <w:rsid w:val="00864853"/>
    <w:rsid w:val="00864A33"/>
    <w:rsid w:val="00864EF0"/>
    <w:rsid w:val="00864EFD"/>
    <w:rsid w:val="00865192"/>
    <w:rsid w:val="008651B9"/>
    <w:rsid w:val="0086538C"/>
    <w:rsid w:val="008665E5"/>
    <w:rsid w:val="00866937"/>
    <w:rsid w:val="00866FDD"/>
    <w:rsid w:val="0086717C"/>
    <w:rsid w:val="008672EB"/>
    <w:rsid w:val="0086735C"/>
    <w:rsid w:val="00867684"/>
    <w:rsid w:val="008677D0"/>
    <w:rsid w:val="00867889"/>
    <w:rsid w:val="00867DE0"/>
    <w:rsid w:val="00867E7E"/>
    <w:rsid w:val="0087049E"/>
    <w:rsid w:val="00870B75"/>
    <w:rsid w:val="00871104"/>
    <w:rsid w:val="00871141"/>
    <w:rsid w:val="00871703"/>
    <w:rsid w:val="0087173C"/>
    <w:rsid w:val="00871BE0"/>
    <w:rsid w:val="00871E5D"/>
    <w:rsid w:val="00871F1B"/>
    <w:rsid w:val="0087203F"/>
    <w:rsid w:val="00872231"/>
    <w:rsid w:val="00872675"/>
    <w:rsid w:val="00872735"/>
    <w:rsid w:val="00872AD8"/>
    <w:rsid w:val="00872D12"/>
    <w:rsid w:val="00872DA9"/>
    <w:rsid w:val="008736CA"/>
    <w:rsid w:val="00873AA3"/>
    <w:rsid w:val="00874117"/>
    <w:rsid w:val="00874316"/>
    <w:rsid w:val="0087447F"/>
    <w:rsid w:val="00874513"/>
    <w:rsid w:val="00874535"/>
    <w:rsid w:val="0087495C"/>
    <w:rsid w:val="00874990"/>
    <w:rsid w:val="00874C79"/>
    <w:rsid w:val="00874D70"/>
    <w:rsid w:val="0087509E"/>
    <w:rsid w:val="00875B0A"/>
    <w:rsid w:val="00875E29"/>
    <w:rsid w:val="00875EB2"/>
    <w:rsid w:val="00876245"/>
    <w:rsid w:val="0087631B"/>
    <w:rsid w:val="00876648"/>
    <w:rsid w:val="0087676D"/>
    <w:rsid w:val="00876A46"/>
    <w:rsid w:val="00876D8E"/>
    <w:rsid w:val="0087717E"/>
    <w:rsid w:val="00877253"/>
    <w:rsid w:val="00877443"/>
    <w:rsid w:val="008774CE"/>
    <w:rsid w:val="00877591"/>
    <w:rsid w:val="008775C9"/>
    <w:rsid w:val="0087761F"/>
    <w:rsid w:val="008776D3"/>
    <w:rsid w:val="008777F5"/>
    <w:rsid w:val="00877871"/>
    <w:rsid w:val="00877909"/>
    <w:rsid w:val="00877C8F"/>
    <w:rsid w:val="00877EB5"/>
    <w:rsid w:val="00877F2E"/>
    <w:rsid w:val="008803CE"/>
    <w:rsid w:val="008806E4"/>
    <w:rsid w:val="0088073F"/>
    <w:rsid w:val="008807A1"/>
    <w:rsid w:val="008807C5"/>
    <w:rsid w:val="00880B85"/>
    <w:rsid w:val="00880F8F"/>
    <w:rsid w:val="00880FD9"/>
    <w:rsid w:val="008820E3"/>
    <w:rsid w:val="00882696"/>
    <w:rsid w:val="00882872"/>
    <w:rsid w:val="00882A33"/>
    <w:rsid w:val="00882DCA"/>
    <w:rsid w:val="008831BD"/>
    <w:rsid w:val="0088333F"/>
    <w:rsid w:val="008836A1"/>
    <w:rsid w:val="0088392C"/>
    <w:rsid w:val="00883E96"/>
    <w:rsid w:val="008842B1"/>
    <w:rsid w:val="00884A4F"/>
    <w:rsid w:val="00884BE4"/>
    <w:rsid w:val="00884CE3"/>
    <w:rsid w:val="00884E3E"/>
    <w:rsid w:val="00885183"/>
    <w:rsid w:val="00885189"/>
    <w:rsid w:val="008852C3"/>
    <w:rsid w:val="008853B9"/>
    <w:rsid w:val="008853D3"/>
    <w:rsid w:val="008858D9"/>
    <w:rsid w:val="008858DB"/>
    <w:rsid w:val="00885E1D"/>
    <w:rsid w:val="008862EC"/>
    <w:rsid w:val="0088632A"/>
    <w:rsid w:val="00886333"/>
    <w:rsid w:val="008864D6"/>
    <w:rsid w:val="0088666E"/>
    <w:rsid w:val="008869CC"/>
    <w:rsid w:val="00886B22"/>
    <w:rsid w:val="00886CC3"/>
    <w:rsid w:val="008870AD"/>
    <w:rsid w:val="00887447"/>
    <w:rsid w:val="00887927"/>
    <w:rsid w:val="00887A7A"/>
    <w:rsid w:val="00887CE6"/>
    <w:rsid w:val="00887D3B"/>
    <w:rsid w:val="00890041"/>
    <w:rsid w:val="0089025E"/>
    <w:rsid w:val="0089035E"/>
    <w:rsid w:val="00890560"/>
    <w:rsid w:val="00890574"/>
    <w:rsid w:val="00890681"/>
    <w:rsid w:val="008906CA"/>
    <w:rsid w:val="0089075E"/>
    <w:rsid w:val="00890AB3"/>
    <w:rsid w:val="00890DF6"/>
    <w:rsid w:val="00891397"/>
    <w:rsid w:val="008916B9"/>
    <w:rsid w:val="00891EC9"/>
    <w:rsid w:val="00891F94"/>
    <w:rsid w:val="0089206D"/>
    <w:rsid w:val="00892733"/>
    <w:rsid w:val="0089308A"/>
    <w:rsid w:val="00893102"/>
    <w:rsid w:val="00893200"/>
    <w:rsid w:val="00893783"/>
    <w:rsid w:val="00893A57"/>
    <w:rsid w:val="00893A80"/>
    <w:rsid w:val="00893FB7"/>
    <w:rsid w:val="008943A5"/>
    <w:rsid w:val="00894935"/>
    <w:rsid w:val="00894AC0"/>
    <w:rsid w:val="00894CAE"/>
    <w:rsid w:val="00894F05"/>
    <w:rsid w:val="00894F87"/>
    <w:rsid w:val="00895342"/>
    <w:rsid w:val="00895654"/>
    <w:rsid w:val="008960B8"/>
    <w:rsid w:val="008962B9"/>
    <w:rsid w:val="00896341"/>
    <w:rsid w:val="00896549"/>
    <w:rsid w:val="0089665B"/>
    <w:rsid w:val="00896985"/>
    <w:rsid w:val="00896AA1"/>
    <w:rsid w:val="00896C64"/>
    <w:rsid w:val="00896CCA"/>
    <w:rsid w:val="00897012"/>
    <w:rsid w:val="008972CF"/>
    <w:rsid w:val="00897530"/>
    <w:rsid w:val="008975D5"/>
    <w:rsid w:val="00897619"/>
    <w:rsid w:val="0089774A"/>
    <w:rsid w:val="00897811"/>
    <w:rsid w:val="00897CDD"/>
    <w:rsid w:val="00897DE1"/>
    <w:rsid w:val="00897E37"/>
    <w:rsid w:val="008A0448"/>
    <w:rsid w:val="008A0654"/>
    <w:rsid w:val="008A0DCC"/>
    <w:rsid w:val="008A0EA2"/>
    <w:rsid w:val="008A0EF7"/>
    <w:rsid w:val="008A0F98"/>
    <w:rsid w:val="008A10C4"/>
    <w:rsid w:val="008A116D"/>
    <w:rsid w:val="008A15F4"/>
    <w:rsid w:val="008A1641"/>
    <w:rsid w:val="008A16C2"/>
    <w:rsid w:val="008A1729"/>
    <w:rsid w:val="008A1A21"/>
    <w:rsid w:val="008A1A2D"/>
    <w:rsid w:val="008A2613"/>
    <w:rsid w:val="008A2A7E"/>
    <w:rsid w:val="008A301E"/>
    <w:rsid w:val="008A3322"/>
    <w:rsid w:val="008A3B9A"/>
    <w:rsid w:val="008A3C04"/>
    <w:rsid w:val="008A4C70"/>
    <w:rsid w:val="008A4F2A"/>
    <w:rsid w:val="008A504E"/>
    <w:rsid w:val="008A516C"/>
    <w:rsid w:val="008A532B"/>
    <w:rsid w:val="008A5390"/>
    <w:rsid w:val="008A54E8"/>
    <w:rsid w:val="008A56CA"/>
    <w:rsid w:val="008A58AE"/>
    <w:rsid w:val="008A5C4E"/>
    <w:rsid w:val="008A5CFA"/>
    <w:rsid w:val="008A5DDF"/>
    <w:rsid w:val="008A5FDE"/>
    <w:rsid w:val="008A5FF1"/>
    <w:rsid w:val="008A6165"/>
    <w:rsid w:val="008A624B"/>
    <w:rsid w:val="008A6545"/>
    <w:rsid w:val="008A6602"/>
    <w:rsid w:val="008A6B99"/>
    <w:rsid w:val="008A6BC8"/>
    <w:rsid w:val="008A6BD2"/>
    <w:rsid w:val="008A6C60"/>
    <w:rsid w:val="008A6F28"/>
    <w:rsid w:val="008A745C"/>
    <w:rsid w:val="008A74E9"/>
    <w:rsid w:val="008A7626"/>
    <w:rsid w:val="008A791E"/>
    <w:rsid w:val="008A795D"/>
    <w:rsid w:val="008A7BE9"/>
    <w:rsid w:val="008B02C3"/>
    <w:rsid w:val="008B0401"/>
    <w:rsid w:val="008B07EF"/>
    <w:rsid w:val="008B0946"/>
    <w:rsid w:val="008B0976"/>
    <w:rsid w:val="008B0C45"/>
    <w:rsid w:val="008B0D61"/>
    <w:rsid w:val="008B0E33"/>
    <w:rsid w:val="008B10A7"/>
    <w:rsid w:val="008B1281"/>
    <w:rsid w:val="008B128F"/>
    <w:rsid w:val="008B1B22"/>
    <w:rsid w:val="008B1C33"/>
    <w:rsid w:val="008B1CB9"/>
    <w:rsid w:val="008B1D62"/>
    <w:rsid w:val="008B1EB8"/>
    <w:rsid w:val="008B1F4D"/>
    <w:rsid w:val="008B2036"/>
    <w:rsid w:val="008B2440"/>
    <w:rsid w:val="008B25C8"/>
    <w:rsid w:val="008B265F"/>
    <w:rsid w:val="008B286A"/>
    <w:rsid w:val="008B2956"/>
    <w:rsid w:val="008B2A30"/>
    <w:rsid w:val="008B2AC0"/>
    <w:rsid w:val="008B2B33"/>
    <w:rsid w:val="008B2C2A"/>
    <w:rsid w:val="008B2D9F"/>
    <w:rsid w:val="008B2F01"/>
    <w:rsid w:val="008B30B6"/>
    <w:rsid w:val="008B3272"/>
    <w:rsid w:val="008B32D0"/>
    <w:rsid w:val="008B3D4C"/>
    <w:rsid w:val="008B4072"/>
    <w:rsid w:val="008B40EE"/>
    <w:rsid w:val="008B427B"/>
    <w:rsid w:val="008B4F72"/>
    <w:rsid w:val="008B50E7"/>
    <w:rsid w:val="008B51A1"/>
    <w:rsid w:val="008B55A8"/>
    <w:rsid w:val="008B5643"/>
    <w:rsid w:val="008B58EF"/>
    <w:rsid w:val="008B5947"/>
    <w:rsid w:val="008B5B89"/>
    <w:rsid w:val="008B5C81"/>
    <w:rsid w:val="008B5D0D"/>
    <w:rsid w:val="008B5E3A"/>
    <w:rsid w:val="008B5E77"/>
    <w:rsid w:val="008B5F49"/>
    <w:rsid w:val="008B676E"/>
    <w:rsid w:val="008B6C39"/>
    <w:rsid w:val="008B6D2C"/>
    <w:rsid w:val="008B6F38"/>
    <w:rsid w:val="008B710B"/>
    <w:rsid w:val="008B7256"/>
    <w:rsid w:val="008B73E7"/>
    <w:rsid w:val="008B7A30"/>
    <w:rsid w:val="008C01A1"/>
    <w:rsid w:val="008C0238"/>
    <w:rsid w:val="008C0512"/>
    <w:rsid w:val="008C0582"/>
    <w:rsid w:val="008C06F5"/>
    <w:rsid w:val="008C07A5"/>
    <w:rsid w:val="008C07CF"/>
    <w:rsid w:val="008C0F1F"/>
    <w:rsid w:val="008C0F91"/>
    <w:rsid w:val="008C0FD4"/>
    <w:rsid w:val="008C109A"/>
    <w:rsid w:val="008C1137"/>
    <w:rsid w:val="008C1191"/>
    <w:rsid w:val="008C1331"/>
    <w:rsid w:val="008C1584"/>
    <w:rsid w:val="008C16D4"/>
    <w:rsid w:val="008C18DF"/>
    <w:rsid w:val="008C1E5E"/>
    <w:rsid w:val="008C219C"/>
    <w:rsid w:val="008C24CC"/>
    <w:rsid w:val="008C25CA"/>
    <w:rsid w:val="008C2635"/>
    <w:rsid w:val="008C26EC"/>
    <w:rsid w:val="008C2A8D"/>
    <w:rsid w:val="008C2D5F"/>
    <w:rsid w:val="008C2E4D"/>
    <w:rsid w:val="008C2F96"/>
    <w:rsid w:val="008C2FC7"/>
    <w:rsid w:val="008C36AA"/>
    <w:rsid w:val="008C38B0"/>
    <w:rsid w:val="008C3BA7"/>
    <w:rsid w:val="008C3C2F"/>
    <w:rsid w:val="008C3CD2"/>
    <w:rsid w:val="008C3E4B"/>
    <w:rsid w:val="008C3E72"/>
    <w:rsid w:val="008C3F64"/>
    <w:rsid w:val="008C43BB"/>
    <w:rsid w:val="008C47DF"/>
    <w:rsid w:val="008C47E0"/>
    <w:rsid w:val="008C4E3B"/>
    <w:rsid w:val="008C500B"/>
    <w:rsid w:val="008C52BE"/>
    <w:rsid w:val="008C5ABD"/>
    <w:rsid w:val="008C5AD6"/>
    <w:rsid w:val="008C5BA4"/>
    <w:rsid w:val="008C5CA0"/>
    <w:rsid w:val="008C6150"/>
    <w:rsid w:val="008C61C4"/>
    <w:rsid w:val="008C6959"/>
    <w:rsid w:val="008C70EF"/>
    <w:rsid w:val="008C7125"/>
    <w:rsid w:val="008C71D5"/>
    <w:rsid w:val="008C7634"/>
    <w:rsid w:val="008C77AA"/>
    <w:rsid w:val="008C790D"/>
    <w:rsid w:val="008C793E"/>
    <w:rsid w:val="008D03E4"/>
    <w:rsid w:val="008D044D"/>
    <w:rsid w:val="008D0475"/>
    <w:rsid w:val="008D05B8"/>
    <w:rsid w:val="008D05FB"/>
    <w:rsid w:val="008D0868"/>
    <w:rsid w:val="008D0ABD"/>
    <w:rsid w:val="008D0AF5"/>
    <w:rsid w:val="008D0DB4"/>
    <w:rsid w:val="008D135F"/>
    <w:rsid w:val="008D164D"/>
    <w:rsid w:val="008D168F"/>
    <w:rsid w:val="008D16BC"/>
    <w:rsid w:val="008D20CD"/>
    <w:rsid w:val="008D29DC"/>
    <w:rsid w:val="008D321E"/>
    <w:rsid w:val="008D3E75"/>
    <w:rsid w:val="008D4087"/>
    <w:rsid w:val="008D4486"/>
    <w:rsid w:val="008D4935"/>
    <w:rsid w:val="008D49A7"/>
    <w:rsid w:val="008D4ADC"/>
    <w:rsid w:val="008D4D54"/>
    <w:rsid w:val="008D4E7A"/>
    <w:rsid w:val="008D4FA9"/>
    <w:rsid w:val="008D59AB"/>
    <w:rsid w:val="008D59E5"/>
    <w:rsid w:val="008D621A"/>
    <w:rsid w:val="008D625B"/>
    <w:rsid w:val="008D6261"/>
    <w:rsid w:val="008D645B"/>
    <w:rsid w:val="008D677C"/>
    <w:rsid w:val="008D69B2"/>
    <w:rsid w:val="008D6A14"/>
    <w:rsid w:val="008D6B60"/>
    <w:rsid w:val="008D6E84"/>
    <w:rsid w:val="008D764A"/>
    <w:rsid w:val="008D7AAD"/>
    <w:rsid w:val="008D7B7B"/>
    <w:rsid w:val="008D7B86"/>
    <w:rsid w:val="008D7EBD"/>
    <w:rsid w:val="008E0066"/>
    <w:rsid w:val="008E0299"/>
    <w:rsid w:val="008E0729"/>
    <w:rsid w:val="008E07DC"/>
    <w:rsid w:val="008E0AD7"/>
    <w:rsid w:val="008E0C62"/>
    <w:rsid w:val="008E0C77"/>
    <w:rsid w:val="008E0D06"/>
    <w:rsid w:val="008E0EF6"/>
    <w:rsid w:val="008E11FD"/>
    <w:rsid w:val="008E15A7"/>
    <w:rsid w:val="008E185C"/>
    <w:rsid w:val="008E1B0E"/>
    <w:rsid w:val="008E1C60"/>
    <w:rsid w:val="008E1D17"/>
    <w:rsid w:val="008E1D4B"/>
    <w:rsid w:val="008E1D8D"/>
    <w:rsid w:val="008E20C7"/>
    <w:rsid w:val="008E2EEA"/>
    <w:rsid w:val="008E2F9A"/>
    <w:rsid w:val="008E30A3"/>
    <w:rsid w:val="008E3184"/>
    <w:rsid w:val="008E3282"/>
    <w:rsid w:val="008E3384"/>
    <w:rsid w:val="008E353B"/>
    <w:rsid w:val="008E398D"/>
    <w:rsid w:val="008E3C09"/>
    <w:rsid w:val="008E3C93"/>
    <w:rsid w:val="008E3CDD"/>
    <w:rsid w:val="008E3D58"/>
    <w:rsid w:val="008E3D99"/>
    <w:rsid w:val="008E3DD4"/>
    <w:rsid w:val="008E46E7"/>
    <w:rsid w:val="008E4AA0"/>
    <w:rsid w:val="008E4D6E"/>
    <w:rsid w:val="008E5144"/>
    <w:rsid w:val="008E53E1"/>
    <w:rsid w:val="008E5435"/>
    <w:rsid w:val="008E57D7"/>
    <w:rsid w:val="008E5836"/>
    <w:rsid w:val="008E5E2D"/>
    <w:rsid w:val="008E6030"/>
    <w:rsid w:val="008E64BA"/>
    <w:rsid w:val="008E6671"/>
    <w:rsid w:val="008E674F"/>
    <w:rsid w:val="008E68BB"/>
    <w:rsid w:val="008E691F"/>
    <w:rsid w:val="008E696D"/>
    <w:rsid w:val="008E6B5F"/>
    <w:rsid w:val="008E6E05"/>
    <w:rsid w:val="008E7110"/>
    <w:rsid w:val="008E7327"/>
    <w:rsid w:val="008E7712"/>
    <w:rsid w:val="008E7926"/>
    <w:rsid w:val="008E7BE0"/>
    <w:rsid w:val="008E7D15"/>
    <w:rsid w:val="008F0062"/>
    <w:rsid w:val="008F01F2"/>
    <w:rsid w:val="008F026D"/>
    <w:rsid w:val="008F03EE"/>
    <w:rsid w:val="008F0631"/>
    <w:rsid w:val="008F08B6"/>
    <w:rsid w:val="008F0970"/>
    <w:rsid w:val="008F0A47"/>
    <w:rsid w:val="008F0E96"/>
    <w:rsid w:val="008F0F8D"/>
    <w:rsid w:val="008F1004"/>
    <w:rsid w:val="008F137F"/>
    <w:rsid w:val="008F139D"/>
    <w:rsid w:val="008F152D"/>
    <w:rsid w:val="008F161C"/>
    <w:rsid w:val="008F165A"/>
    <w:rsid w:val="008F17A7"/>
    <w:rsid w:val="008F1930"/>
    <w:rsid w:val="008F19AD"/>
    <w:rsid w:val="008F1D43"/>
    <w:rsid w:val="008F1E52"/>
    <w:rsid w:val="008F2106"/>
    <w:rsid w:val="008F25E4"/>
    <w:rsid w:val="008F284E"/>
    <w:rsid w:val="008F2AAD"/>
    <w:rsid w:val="008F2BEF"/>
    <w:rsid w:val="008F2E58"/>
    <w:rsid w:val="008F2F65"/>
    <w:rsid w:val="008F30A6"/>
    <w:rsid w:val="008F31B8"/>
    <w:rsid w:val="008F3350"/>
    <w:rsid w:val="008F3680"/>
    <w:rsid w:val="008F377D"/>
    <w:rsid w:val="008F3A11"/>
    <w:rsid w:val="008F4188"/>
    <w:rsid w:val="008F46AF"/>
    <w:rsid w:val="008F472A"/>
    <w:rsid w:val="008F491B"/>
    <w:rsid w:val="008F4DB6"/>
    <w:rsid w:val="008F4E03"/>
    <w:rsid w:val="008F4E8C"/>
    <w:rsid w:val="008F513C"/>
    <w:rsid w:val="008F53C7"/>
    <w:rsid w:val="008F56BD"/>
    <w:rsid w:val="008F58AF"/>
    <w:rsid w:val="008F5986"/>
    <w:rsid w:val="008F5A0B"/>
    <w:rsid w:val="008F5AB9"/>
    <w:rsid w:val="008F5C5F"/>
    <w:rsid w:val="008F5FAB"/>
    <w:rsid w:val="008F6102"/>
    <w:rsid w:val="008F63C2"/>
    <w:rsid w:val="008F6457"/>
    <w:rsid w:val="008F64BE"/>
    <w:rsid w:val="008F64F1"/>
    <w:rsid w:val="008F666D"/>
    <w:rsid w:val="008F69BA"/>
    <w:rsid w:val="008F6CA8"/>
    <w:rsid w:val="008F6EDC"/>
    <w:rsid w:val="008F6FA2"/>
    <w:rsid w:val="008F70D1"/>
    <w:rsid w:val="008F7354"/>
    <w:rsid w:val="008F7584"/>
    <w:rsid w:val="008F7A09"/>
    <w:rsid w:val="008F7C01"/>
    <w:rsid w:val="008F7C29"/>
    <w:rsid w:val="009000D2"/>
    <w:rsid w:val="00900230"/>
    <w:rsid w:val="0090047C"/>
    <w:rsid w:val="009007E4"/>
    <w:rsid w:val="00900C5B"/>
    <w:rsid w:val="00900EB1"/>
    <w:rsid w:val="00901104"/>
    <w:rsid w:val="0090172C"/>
    <w:rsid w:val="00901804"/>
    <w:rsid w:val="00901897"/>
    <w:rsid w:val="00901BE6"/>
    <w:rsid w:val="00901C91"/>
    <w:rsid w:val="00901D71"/>
    <w:rsid w:val="00901F29"/>
    <w:rsid w:val="0090235D"/>
    <w:rsid w:val="0090245A"/>
    <w:rsid w:val="0090253E"/>
    <w:rsid w:val="00902DA7"/>
    <w:rsid w:val="00903299"/>
    <w:rsid w:val="0090353B"/>
    <w:rsid w:val="00903615"/>
    <w:rsid w:val="009038FC"/>
    <w:rsid w:val="0090395E"/>
    <w:rsid w:val="00903AC4"/>
    <w:rsid w:val="00903BE8"/>
    <w:rsid w:val="00903D00"/>
    <w:rsid w:val="00903DC5"/>
    <w:rsid w:val="00903F0E"/>
    <w:rsid w:val="00903FB7"/>
    <w:rsid w:val="0090401B"/>
    <w:rsid w:val="00904175"/>
    <w:rsid w:val="00904204"/>
    <w:rsid w:val="009042FC"/>
    <w:rsid w:val="00904698"/>
    <w:rsid w:val="0090494B"/>
    <w:rsid w:val="00904A26"/>
    <w:rsid w:val="00904AD4"/>
    <w:rsid w:val="00904B2F"/>
    <w:rsid w:val="00904BED"/>
    <w:rsid w:val="00904EF9"/>
    <w:rsid w:val="00904F1C"/>
    <w:rsid w:val="00904F3D"/>
    <w:rsid w:val="00904FBC"/>
    <w:rsid w:val="009051DB"/>
    <w:rsid w:val="00905202"/>
    <w:rsid w:val="0090535E"/>
    <w:rsid w:val="009057CD"/>
    <w:rsid w:val="009058CF"/>
    <w:rsid w:val="009059B9"/>
    <w:rsid w:val="00905AE1"/>
    <w:rsid w:val="00906233"/>
    <w:rsid w:val="0090630A"/>
    <w:rsid w:val="009065AA"/>
    <w:rsid w:val="009068E5"/>
    <w:rsid w:val="00906B0A"/>
    <w:rsid w:val="00906F83"/>
    <w:rsid w:val="00907081"/>
    <w:rsid w:val="0090723B"/>
    <w:rsid w:val="00907DE5"/>
    <w:rsid w:val="009102C8"/>
    <w:rsid w:val="0091094A"/>
    <w:rsid w:val="0091118A"/>
    <w:rsid w:val="00911BD5"/>
    <w:rsid w:val="00911BE6"/>
    <w:rsid w:val="00911C98"/>
    <w:rsid w:val="00912081"/>
    <w:rsid w:val="009120E5"/>
    <w:rsid w:val="009120E8"/>
    <w:rsid w:val="009121FC"/>
    <w:rsid w:val="00912B0F"/>
    <w:rsid w:val="00912F0C"/>
    <w:rsid w:val="00912FE1"/>
    <w:rsid w:val="00913145"/>
    <w:rsid w:val="0091315A"/>
    <w:rsid w:val="0091323C"/>
    <w:rsid w:val="00913277"/>
    <w:rsid w:val="009144A6"/>
    <w:rsid w:val="00914678"/>
    <w:rsid w:val="00914735"/>
    <w:rsid w:val="009147C1"/>
    <w:rsid w:val="0091483C"/>
    <w:rsid w:val="009148F3"/>
    <w:rsid w:val="00914957"/>
    <w:rsid w:val="0091498F"/>
    <w:rsid w:val="00914FFD"/>
    <w:rsid w:val="009152EA"/>
    <w:rsid w:val="009153E0"/>
    <w:rsid w:val="009158DA"/>
    <w:rsid w:val="0091594D"/>
    <w:rsid w:val="00915A3A"/>
    <w:rsid w:val="00915CCB"/>
    <w:rsid w:val="009161F5"/>
    <w:rsid w:val="00916257"/>
    <w:rsid w:val="00916688"/>
    <w:rsid w:val="009169AD"/>
    <w:rsid w:val="00916F39"/>
    <w:rsid w:val="00917076"/>
    <w:rsid w:val="0091730C"/>
    <w:rsid w:val="009173D8"/>
    <w:rsid w:val="0091742B"/>
    <w:rsid w:val="00917520"/>
    <w:rsid w:val="00917541"/>
    <w:rsid w:val="009175AC"/>
    <w:rsid w:val="0091777C"/>
    <w:rsid w:val="00917815"/>
    <w:rsid w:val="00917DE9"/>
    <w:rsid w:val="009200A6"/>
    <w:rsid w:val="0092014E"/>
    <w:rsid w:val="00920236"/>
    <w:rsid w:val="009203D2"/>
    <w:rsid w:val="009203DE"/>
    <w:rsid w:val="0092045E"/>
    <w:rsid w:val="009204AD"/>
    <w:rsid w:val="009207CC"/>
    <w:rsid w:val="00920886"/>
    <w:rsid w:val="009215D8"/>
    <w:rsid w:val="009216FA"/>
    <w:rsid w:val="00921798"/>
    <w:rsid w:val="00921B21"/>
    <w:rsid w:val="00921CA9"/>
    <w:rsid w:val="00921D40"/>
    <w:rsid w:val="00921E28"/>
    <w:rsid w:val="00921EFA"/>
    <w:rsid w:val="009223E9"/>
    <w:rsid w:val="00922457"/>
    <w:rsid w:val="00922525"/>
    <w:rsid w:val="0092267B"/>
    <w:rsid w:val="0092288C"/>
    <w:rsid w:val="00922C90"/>
    <w:rsid w:val="00922E62"/>
    <w:rsid w:val="009230CF"/>
    <w:rsid w:val="00923410"/>
    <w:rsid w:val="0092372E"/>
    <w:rsid w:val="0092387B"/>
    <w:rsid w:val="00923E8D"/>
    <w:rsid w:val="00924031"/>
    <w:rsid w:val="00924375"/>
    <w:rsid w:val="00924BD6"/>
    <w:rsid w:val="00924E84"/>
    <w:rsid w:val="00924FA8"/>
    <w:rsid w:val="009250A7"/>
    <w:rsid w:val="0092541D"/>
    <w:rsid w:val="009255AE"/>
    <w:rsid w:val="00925713"/>
    <w:rsid w:val="009261EC"/>
    <w:rsid w:val="00926406"/>
    <w:rsid w:val="00926461"/>
    <w:rsid w:val="0092655A"/>
    <w:rsid w:val="00926A25"/>
    <w:rsid w:val="00926A2B"/>
    <w:rsid w:val="00926B68"/>
    <w:rsid w:val="00926B96"/>
    <w:rsid w:val="00927162"/>
    <w:rsid w:val="00927812"/>
    <w:rsid w:val="00927972"/>
    <w:rsid w:val="00927A17"/>
    <w:rsid w:val="00927CC7"/>
    <w:rsid w:val="00927F90"/>
    <w:rsid w:val="0093012B"/>
    <w:rsid w:val="00930145"/>
    <w:rsid w:val="0093021C"/>
    <w:rsid w:val="009302B8"/>
    <w:rsid w:val="00930674"/>
    <w:rsid w:val="00930F8C"/>
    <w:rsid w:val="009310AF"/>
    <w:rsid w:val="009313EE"/>
    <w:rsid w:val="009319AF"/>
    <w:rsid w:val="009319E6"/>
    <w:rsid w:val="00931A8D"/>
    <w:rsid w:val="00931CCA"/>
    <w:rsid w:val="00931F1A"/>
    <w:rsid w:val="00932282"/>
    <w:rsid w:val="009326F6"/>
    <w:rsid w:val="009328F2"/>
    <w:rsid w:val="00932B00"/>
    <w:rsid w:val="00932F3E"/>
    <w:rsid w:val="0093307A"/>
    <w:rsid w:val="00933218"/>
    <w:rsid w:val="009334B5"/>
    <w:rsid w:val="00933775"/>
    <w:rsid w:val="00933E3D"/>
    <w:rsid w:val="00933E52"/>
    <w:rsid w:val="0093426F"/>
    <w:rsid w:val="0093433E"/>
    <w:rsid w:val="009344CE"/>
    <w:rsid w:val="0093458B"/>
    <w:rsid w:val="009345D8"/>
    <w:rsid w:val="00934829"/>
    <w:rsid w:val="00934836"/>
    <w:rsid w:val="00934C38"/>
    <w:rsid w:val="009357EC"/>
    <w:rsid w:val="00935A0F"/>
    <w:rsid w:val="00935BBA"/>
    <w:rsid w:val="009366FD"/>
    <w:rsid w:val="00936727"/>
    <w:rsid w:val="0093682D"/>
    <w:rsid w:val="00936A56"/>
    <w:rsid w:val="00936CF8"/>
    <w:rsid w:val="00937794"/>
    <w:rsid w:val="00937826"/>
    <w:rsid w:val="00937FC0"/>
    <w:rsid w:val="0094002E"/>
    <w:rsid w:val="00940202"/>
    <w:rsid w:val="009405B4"/>
    <w:rsid w:val="009409C2"/>
    <w:rsid w:val="00940E97"/>
    <w:rsid w:val="00941117"/>
    <w:rsid w:val="00941323"/>
    <w:rsid w:val="00941541"/>
    <w:rsid w:val="009417B7"/>
    <w:rsid w:val="00941D36"/>
    <w:rsid w:val="00941FEC"/>
    <w:rsid w:val="009421A6"/>
    <w:rsid w:val="009423AD"/>
    <w:rsid w:val="00942528"/>
    <w:rsid w:val="0094253A"/>
    <w:rsid w:val="009426E8"/>
    <w:rsid w:val="0094277C"/>
    <w:rsid w:val="0094296B"/>
    <w:rsid w:val="0094297C"/>
    <w:rsid w:val="00942B14"/>
    <w:rsid w:val="00943123"/>
    <w:rsid w:val="009431E6"/>
    <w:rsid w:val="00943231"/>
    <w:rsid w:val="009433F7"/>
    <w:rsid w:val="00943633"/>
    <w:rsid w:val="00943F9B"/>
    <w:rsid w:val="0094403E"/>
    <w:rsid w:val="009443A2"/>
    <w:rsid w:val="00944441"/>
    <w:rsid w:val="00944532"/>
    <w:rsid w:val="0094461F"/>
    <w:rsid w:val="009446E2"/>
    <w:rsid w:val="0094473E"/>
    <w:rsid w:val="00944923"/>
    <w:rsid w:val="00944C84"/>
    <w:rsid w:val="00945CA9"/>
    <w:rsid w:val="0094603C"/>
    <w:rsid w:val="009461FB"/>
    <w:rsid w:val="009468B2"/>
    <w:rsid w:val="00946B5A"/>
    <w:rsid w:val="00946CCD"/>
    <w:rsid w:val="00946CF0"/>
    <w:rsid w:val="00946F27"/>
    <w:rsid w:val="00946FAB"/>
    <w:rsid w:val="00947009"/>
    <w:rsid w:val="0094719E"/>
    <w:rsid w:val="00947633"/>
    <w:rsid w:val="00947855"/>
    <w:rsid w:val="0095031D"/>
    <w:rsid w:val="009504CE"/>
    <w:rsid w:val="0095059C"/>
    <w:rsid w:val="00950769"/>
    <w:rsid w:val="00950F76"/>
    <w:rsid w:val="00951010"/>
    <w:rsid w:val="009510BB"/>
    <w:rsid w:val="0095126F"/>
    <w:rsid w:val="009513FB"/>
    <w:rsid w:val="0095164F"/>
    <w:rsid w:val="00951942"/>
    <w:rsid w:val="00951A07"/>
    <w:rsid w:val="00951A75"/>
    <w:rsid w:val="00951E06"/>
    <w:rsid w:val="00951E74"/>
    <w:rsid w:val="0095212B"/>
    <w:rsid w:val="0095266B"/>
    <w:rsid w:val="009526A2"/>
    <w:rsid w:val="0095282E"/>
    <w:rsid w:val="00952B2D"/>
    <w:rsid w:val="00952B79"/>
    <w:rsid w:val="00952BA0"/>
    <w:rsid w:val="00953037"/>
    <w:rsid w:val="00953174"/>
    <w:rsid w:val="0095398B"/>
    <w:rsid w:val="00953E36"/>
    <w:rsid w:val="009540A9"/>
    <w:rsid w:val="009541B0"/>
    <w:rsid w:val="0095438C"/>
    <w:rsid w:val="0095466B"/>
    <w:rsid w:val="00954A65"/>
    <w:rsid w:val="00954D92"/>
    <w:rsid w:val="00954E4D"/>
    <w:rsid w:val="0095554F"/>
    <w:rsid w:val="00955839"/>
    <w:rsid w:val="009558F8"/>
    <w:rsid w:val="00955DD9"/>
    <w:rsid w:val="00955F41"/>
    <w:rsid w:val="00956075"/>
    <w:rsid w:val="00956380"/>
    <w:rsid w:val="0095655F"/>
    <w:rsid w:val="00956646"/>
    <w:rsid w:val="00956830"/>
    <w:rsid w:val="00956B7F"/>
    <w:rsid w:val="009574CB"/>
    <w:rsid w:val="00957702"/>
    <w:rsid w:val="00960516"/>
    <w:rsid w:val="009606C4"/>
    <w:rsid w:val="00960875"/>
    <w:rsid w:val="00960ADE"/>
    <w:rsid w:val="00960CA6"/>
    <w:rsid w:val="00961045"/>
    <w:rsid w:val="00961631"/>
    <w:rsid w:val="00961C27"/>
    <w:rsid w:val="00961FE0"/>
    <w:rsid w:val="00962052"/>
    <w:rsid w:val="0096209F"/>
    <w:rsid w:val="00962404"/>
    <w:rsid w:val="00962494"/>
    <w:rsid w:val="009626C6"/>
    <w:rsid w:val="00962DAB"/>
    <w:rsid w:val="00962DDB"/>
    <w:rsid w:val="00962F95"/>
    <w:rsid w:val="00962FE1"/>
    <w:rsid w:val="00963531"/>
    <w:rsid w:val="009637AD"/>
    <w:rsid w:val="009639F6"/>
    <w:rsid w:val="00963A81"/>
    <w:rsid w:val="0096411E"/>
    <w:rsid w:val="00964141"/>
    <w:rsid w:val="0096432C"/>
    <w:rsid w:val="0096433F"/>
    <w:rsid w:val="00964468"/>
    <w:rsid w:val="0096466C"/>
    <w:rsid w:val="0096499B"/>
    <w:rsid w:val="00964DD3"/>
    <w:rsid w:val="009650F5"/>
    <w:rsid w:val="00965127"/>
    <w:rsid w:val="009652F3"/>
    <w:rsid w:val="0096554A"/>
    <w:rsid w:val="009656C7"/>
    <w:rsid w:val="00965A4B"/>
    <w:rsid w:val="00965B27"/>
    <w:rsid w:val="00965B38"/>
    <w:rsid w:val="009661CD"/>
    <w:rsid w:val="00966740"/>
    <w:rsid w:val="00966868"/>
    <w:rsid w:val="0096722A"/>
    <w:rsid w:val="00967D70"/>
    <w:rsid w:val="00967F62"/>
    <w:rsid w:val="00967FDB"/>
    <w:rsid w:val="00970227"/>
    <w:rsid w:val="0097041E"/>
    <w:rsid w:val="00970AF5"/>
    <w:rsid w:val="00970B6C"/>
    <w:rsid w:val="00970B8E"/>
    <w:rsid w:val="00971115"/>
    <w:rsid w:val="009711D2"/>
    <w:rsid w:val="00971540"/>
    <w:rsid w:val="00971A96"/>
    <w:rsid w:val="00971CB1"/>
    <w:rsid w:val="0097216D"/>
    <w:rsid w:val="00972319"/>
    <w:rsid w:val="009727C6"/>
    <w:rsid w:val="00972A56"/>
    <w:rsid w:val="00972A71"/>
    <w:rsid w:val="00972C53"/>
    <w:rsid w:val="00972C83"/>
    <w:rsid w:val="009732D2"/>
    <w:rsid w:val="0097333A"/>
    <w:rsid w:val="00973DFF"/>
    <w:rsid w:val="00973F75"/>
    <w:rsid w:val="00973F9A"/>
    <w:rsid w:val="0097409E"/>
    <w:rsid w:val="00974454"/>
    <w:rsid w:val="009748C3"/>
    <w:rsid w:val="0097523E"/>
    <w:rsid w:val="00975440"/>
    <w:rsid w:val="009755D4"/>
    <w:rsid w:val="009757CC"/>
    <w:rsid w:val="00975834"/>
    <w:rsid w:val="009758AA"/>
    <w:rsid w:val="00975941"/>
    <w:rsid w:val="00975A4D"/>
    <w:rsid w:val="00975CDB"/>
    <w:rsid w:val="00975FCA"/>
    <w:rsid w:val="009761CB"/>
    <w:rsid w:val="00976361"/>
    <w:rsid w:val="009765F7"/>
    <w:rsid w:val="0097691F"/>
    <w:rsid w:val="00976D62"/>
    <w:rsid w:val="00976F7E"/>
    <w:rsid w:val="00976FB3"/>
    <w:rsid w:val="009770D5"/>
    <w:rsid w:val="009771F2"/>
    <w:rsid w:val="0097729F"/>
    <w:rsid w:val="009775FC"/>
    <w:rsid w:val="009778C0"/>
    <w:rsid w:val="00977CEF"/>
    <w:rsid w:val="00980123"/>
    <w:rsid w:val="009803A6"/>
    <w:rsid w:val="009804A5"/>
    <w:rsid w:val="009806B2"/>
    <w:rsid w:val="009807D7"/>
    <w:rsid w:val="00980833"/>
    <w:rsid w:val="00980A0E"/>
    <w:rsid w:val="00980A41"/>
    <w:rsid w:val="00980C50"/>
    <w:rsid w:val="00980E72"/>
    <w:rsid w:val="009812E0"/>
    <w:rsid w:val="00981665"/>
    <w:rsid w:val="00981AED"/>
    <w:rsid w:val="00981CA2"/>
    <w:rsid w:val="00981D84"/>
    <w:rsid w:val="0098206C"/>
    <w:rsid w:val="009824A3"/>
    <w:rsid w:val="00982BA5"/>
    <w:rsid w:val="00982DF7"/>
    <w:rsid w:val="00983256"/>
    <w:rsid w:val="00983752"/>
    <w:rsid w:val="00983758"/>
    <w:rsid w:val="0098376C"/>
    <w:rsid w:val="00983A0B"/>
    <w:rsid w:val="00983A0F"/>
    <w:rsid w:val="00983A3C"/>
    <w:rsid w:val="00983A7D"/>
    <w:rsid w:val="00984027"/>
    <w:rsid w:val="0098434D"/>
    <w:rsid w:val="009843C9"/>
    <w:rsid w:val="00984BCA"/>
    <w:rsid w:val="00984C3E"/>
    <w:rsid w:val="00984CF8"/>
    <w:rsid w:val="00984D64"/>
    <w:rsid w:val="00985286"/>
    <w:rsid w:val="00985326"/>
    <w:rsid w:val="00985473"/>
    <w:rsid w:val="0098556C"/>
    <w:rsid w:val="00985845"/>
    <w:rsid w:val="0098592F"/>
    <w:rsid w:val="00985BDD"/>
    <w:rsid w:val="00985D8A"/>
    <w:rsid w:val="00985E8F"/>
    <w:rsid w:val="009862BA"/>
    <w:rsid w:val="009864A7"/>
    <w:rsid w:val="00986596"/>
    <w:rsid w:val="009865F4"/>
    <w:rsid w:val="00986674"/>
    <w:rsid w:val="0098668A"/>
    <w:rsid w:val="00986C2A"/>
    <w:rsid w:val="009871C3"/>
    <w:rsid w:val="0098730A"/>
    <w:rsid w:val="0098747F"/>
    <w:rsid w:val="009879C6"/>
    <w:rsid w:val="00987C08"/>
    <w:rsid w:val="00987C5D"/>
    <w:rsid w:val="00987EB7"/>
    <w:rsid w:val="00990603"/>
    <w:rsid w:val="009906B9"/>
    <w:rsid w:val="00990A26"/>
    <w:rsid w:val="00990A97"/>
    <w:rsid w:val="00990CE7"/>
    <w:rsid w:val="00990D84"/>
    <w:rsid w:val="00991204"/>
    <w:rsid w:val="00991503"/>
    <w:rsid w:val="00991620"/>
    <w:rsid w:val="0099171F"/>
    <w:rsid w:val="00991BA9"/>
    <w:rsid w:val="00991C25"/>
    <w:rsid w:val="00991E37"/>
    <w:rsid w:val="00991F74"/>
    <w:rsid w:val="00991FC2"/>
    <w:rsid w:val="009921A2"/>
    <w:rsid w:val="00992291"/>
    <w:rsid w:val="0099243F"/>
    <w:rsid w:val="009925AC"/>
    <w:rsid w:val="009927B1"/>
    <w:rsid w:val="009927BC"/>
    <w:rsid w:val="0099299F"/>
    <w:rsid w:val="00992B3E"/>
    <w:rsid w:val="0099373B"/>
    <w:rsid w:val="00993CDB"/>
    <w:rsid w:val="009945D0"/>
    <w:rsid w:val="00994809"/>
    <w:rsid w:val="00994A99"/>
    <w:rsid w:val="00994AA1"/>
    <w:rsid w:val="00994ACE"/>
    <w:rsid w:val="00994EAC"/>
    <w:rsid w:val="00994ECD"/>
    <w:rsid w:val="00994EE7"/>
    <w:rsid w:val="0099501B"/>
    <w:rsid w:val="00995028"/>
    <w:rsid w:val="00995410"/>
    <w:rsid w:val="00995514"/>
    <w:rsid w:val="00995674"/>
    <w:rsid w:val="00995D33"/>
    <w:rsid w:val="0099602C"/>
    <w:rsid w:val="009961DE"/>
    <w:rsid w:val="009962C6"/>
    <w:rsid w:val="009963B2"/>
    <w:rsid w:val="0099643C"/>
    <w:rsid w:val="00996551"/>
    <w:rsid w:val="00996586"/>
    <w:rsid w:val="009968FA"/>
    <w:rsid w:val="00996A56"/>
    <w:rsid w:val="00996A68"/>
    <w:rsid w:val="00996AD2"/>
    <w:rsid w:val="00996B30"/>
    <w:rsid w:val="00996C87"/>
    <w:rsid w:val="00996CE6"/>
    <w:rsid w:val="0099718E"/>
    <w:rsid w:val="00997387"/>
    <w:rsid w:val="0099749F"/>
    <w:rsid w:val="00997585"/>
    <w:rsid w:val="00997616"/>
    <w:rsid w:val="009976AC"/>
    <w:rsid w:val="00997E6F"/>
    <w:rsid w:val="00997FD9"/>
    <w:rsid w:val="009A0155"/>
    <w:rsid w:val="009A02B6"/>
    <w:rsid w:val="009A0432"/>
    <w:rsid w:val="009A05CB"/>
    <w:rsid w:val="009A0B4D"/>
    <w:rsid w:val="009A0BE9"/>
    <w:rsid w:val="009A0CE4"/>
    <w:rsid w:val="009A0E83"/>
    <w:rsid w:val="009A105B"/>
    <w:rsid w:val="009A17FB"/>
    <w:rsid w:val="009A1D95"/>
    <w:rsid w:val="009A1E3B"/>
    <w:rsid w:val="009A1F10"/>
    <w:rsid w:val="009A2026"/>
    <w:rsid w:val="009A21EF"/>
    <w:rsid w:val="009A29D2"/>
    <w:rsid w:val="009A2E74"/>
    <w:rsid w:val="009A2EFF"/>
    <w:rsid w:val="009A2F80"/>
    <w:rsid w:val="009A31A7"/>
    <w:rsid w:val="009A34C1"/>
    <w:rsid w:val="009A3577"/>
    <w:rsid w:val="009A364F"/>
    <w:rsid w:val="009A3A6B"/>
    <w:rsid w:val="009A3BDC"/>
    <w:rsid w:val="009A3C5E"/>
    <w:rsid w:val="009A3E8D"/>
    <w:rsid w:val="009A3E9D"/>
    <w:rsid w:val="009A4045"/>
    <w:rsid w:val="009A43B7"/>
    <w:rsid w:val="009A44D7"/>
    <w:rsid w:val="009A547C"/>
    <w:rsid w:val="009A54FC"/>
    <w:rsid w:val="009A5781"/>
    <w:rsid w:val="009A5833"/>
    <w:rsid w:val="009A58FE"/>
    <w:rsid w:val="009A59BC"/>
    <w:rsid w:val="009A5A01"/>
    <w:rsid w:val="009A5A84"/>
    <w:rsid w:val="009A5AD3"/>
    <w:rsid w:val="009A5DB5"/>
    <w:rsid w:val="009A6169"/>
    <w:rsid w:val="009A6941"/>
    <w:rsid w:val="009A6BA2"/>
    <w:rsid w:val="009A6F3A"/>
    <w:rsid w:val="009A701A"/>
    <w:rsid w:val="009A70BA"/>
    <w:rsid w:val="009A710A"/>
    <w:rsid w:val="009A7141"/>
    <w:rsid w:val="009A72C5"/>
    <w:rsid w:val="009A749D"/>
    <w:rsid w:val="009A74BE"/>
    <w:rsid w:val="009A74CB"/>
    <w:rsid w:val="009A75A7"/>
    <w:rsid w:val="009A75F6"/>
    <w:rsid w:val="009A76B8"/>
    <w:rsid w:val="009A773A"/>
    <w:rsid w:val="009A782A"/>
    <w:rsid w:val="009A7DF8"/>
    <w:rsid w:val="009A7E2D"/>
    <w:rsid w:val="009B0119"/>
    <w:rsid w:val="009B01F8"/>
    <w:rsid w:val="009B04B4"/>
    <w:rsid w:val="009B05A7"/>
    <w:rsid w:val="009B05E7"/>
    <w:rsid w:val="009B0798"/>
    <w:rsid w:val="009B07FE"/>
    <w:rsid w:val="009B08A5"/>
    <w:rsid w:val="009B0F9C"/>
    <w:rsid w:val="009B135B"/>
    <w:rsid w:val="009B14F0"/>
    <w:rsid w:val="009B163C"/>
    <w:rsid w:val="009B17B5"/>
    <w:rsid w:val="009B1ADF"/>
    <w:rsid w:val="009B1F14"/>
    <w:rsid w:val="009B293E"/>
    <w:rsid w:val="009B2E9F"/>
    <w:rsid w:val="009B2FAB"/>
    <w:rsid w:val="009B32F7"/>
    <w:rsid w:val="009B33D1"/>
    <w:rsid w:val="009B345B"/>
    <w:rsid w:val="009B34E5"/>
    <w:rsid w:val="009B3595"/>
    <w:rsid w:val="009B3BB8"/>
    <w:rsid w:val="009B4451"/>
    <w:rsid w:val="009B451B"/>
    <w:rsid w:val="009B479F"/>
    <w:rsid w:val="009B4D75"/>
    <w:rsid w:val="009B4E27"/>
    <w:rsid w:val="009B4EFC"/>
    <w:rsid w:val="009B522F"/>
    <w:rsid w:val="009B52FE"/>
    <w:rsid w:val="009B54B8"/>
    <w:rsid w:val="009B56F0"/>
    <w:rsid w:val="009B5B92"/>
    <w:rsid w:val="009B627E"/>
    <w:rsid w:val="009B695E"/>
    <w:rsid w:val="009B6A74"/>
    <w:rsid w:val="009B70F7"/>
    <w:rsid w:val="009B769C"/>
    <w:rsid w:val="009B78B0"/>
    <w:rsid w:val="009B792C"/>
    <w:rsid w:val="009B7947"/>
    <w:rsid w:val="009B7BB0"/>
    <w:rsid w:val="009B7C88"/>
    <w:rsid w:val="009B7FF0"/>
    <w:rsid w:val="009C0179"/>
    <w:rsid w:val="009C018D"/>
    <w:rsid w:val="009C0378"/>
    <w:rsid w:val="009C0480"/>
    <w:rsid w:val="009C0C38"/>
    <w:rsid w:val="009C0F00"/>
    <w:rsid w:val="009C10EC"/>
    <w:rsid w:val="009C10ED"/>
    <w:rsid w:val="009C15AC"/>
    <w:rsid w:val="009C1689"/>
    <w:rsid w:val="009C17C8"/>
    <w:rsid w:val="009C17D4"/>
    <w:rsid w:val="009C18C8"/>
    <w:rsid w:val="009C1F98"/>
    <w:rsid w:val="009C218B"/>
    <w:rsid w:val="009C230B"/>
    <w:rsid w:val="009C2634"/>
    <w:rsid w:val="009C29CE"/>
    <w:rsid w:val="009C2A46"/>
    <w:rsid w:val="009C2B45"/>
    <w:rsid w:val="009C2C24"/>
    <w:rsid w:val="009C2D10"/>
    <w:rsid w:val="009C2E28"/>
    <w:rsid w:val="009C35F9"/>
    <w:rsid w:val="009C3901"/>
    <w:rsid w:val="009C3C21"/>
    <w:rsid w:val="009C3E44"/>
    <w:rsid w:val="009C3EBC"/>
    <w:rsid w:val="009C3F01"/>
    <w:rsid w:val="009C400B"/>
    <w:rsid w:val="009C4304"/>
    <w:rsid w:val="009C43F4"/>
    <w:rsid w:val="009C448B"/>
    <w:rsid w:val="009C48E8"/>
    <w:rsid w:val="009C4AB8"/>
    <w:rsid w:val="009C4C65"/>
    <w:rsid w:val="009C4E2B"/>
    <w:rsid w:val="009C4F14"/>
    <w:rsid w:val="009C5151"/>
    <w:rsid w:val="009C519A"/>
    <w:rsid w:val="009C5656"/>
    <w:rsid w:val="009C5AA1"/>
    <w:rsid w:val="009C5BE6"/>
    <w:rsid w:val="009C5FB3"/>
    <w:rsid w:val="009C625D"/>
    <w:rsid w:val="009C6802"/>
    <w:rsid w:val="009C68EA"/>
    <w:rsid w:val="009C69E5"/>
    <w:rsid w:val="009C6A96"/>
    <w:rsid w:val="009C6B20"/>
    <w:rsid w:val="009C7302"/>
    <w:rsid w:val="009C7D40"/>
    <w:rsid w:val="009C7FBD"/>
    <w:rsid w:val="009D0444"/>
    <w:rsid w:val="009D052F"/>
    <w:rsid w:val="009D087D"/>
    <w:rsid w:val="009D0BC0"/>
    <w:rsid w:val="009D0D76"/>
    <w:rsid w:val="009D0DC6"/>
    <w:rsid w:val="009D0ECF"/>
    <w:rsid w:val="009D0EE3"/>
    <w:rsid w:val="009D0FDB"/>
    <w:rsid w:val="009D10EF"/>
    <w:rsid w:val="009D12B2"/>
    <w:rsid w:val="009D12C0"/>
    <w:rsid w:val="009D1370"/>
    <w:rsid w:val="009D15BF"/>
    <w:rsid w:val="009D18ED"/>
    <w:rsid w:val="009D1ABC"/>
    <w:rsid w:val="009D1CDF"/>
    <w:rsid w:val="009D2040"/>
    <w:rsid w:val="009D211E"/>
    <w:rsid w:val="009D22E5"/>
    <w:rsid w:val="009D2451"/>
    <w:rsid w:val="009D24E9"/>
    <w:rsid w:val="009D2957"/>
    <w:rsid w:val="009D2C48"/>
    <w:rsid w:val="009D2DBA"/>
    <w:rsid w:val="009D2EE7"/>
    <w:rsid w:val="009D30D2"/>
    <w:rsid w:val="009D30D6"/>
    <w:rsid w:val="009D3184"/>
    <w:rsid w:val="009D34F6"/>
    <w:rsid w:val="009D36A5"/>
    <w:rsid w:val="009D380A"/>
    <w:rsid w:val="009D38EE"/>
    <w:rsid w:val="009D3DC2"/>
    <w:rsid w:val="009D40A2"/>
    <w:rsid w:val="009D4222"/>
    <w:rsid w:val="009D4E70"/>
    <w:rsid w:val="009D516C"/>
    <w:rsid w:val="009D5337"/>
    <w:rsid w:val="009D5378"/>
    <w:rsid w:val="009D56A8"/>
    <w:rsid w:val="009D5B2B"/>
    <w:rsid w:val="009D5D2B"/>
    <w:rsid w:val="009D5E35"/>
    <w:rsid w:val="009D5F52"/>
    <w:rsid w:val="009D6653"/>
    <w:rsid w:val="009D6EA2"/>
    <w:rsid w:val="009D6FEF"/>
    <w:rsid w:val="009D711F"/>
    <w:rsid w:val="009D7718"/>
    <w:rsid w:val="009D78D0"/>
    <w:rsid w:val="009D7C52"/>
    <w:rsid w:val="009D7E66"/>
    <w:rsid w:val="009E044E"/>
    <w:rsid w:val="009E0479"/>
    <w:rsid w:val="009E04BD"/>
    <w:rsid w:val="009E07CF"/>
    <w:rsid w:val="009E0C39"/>
    <w:rsid w:val="009E0C80"/>
    <w:rsid w:val="009E0F9B"/>
    <w:rsid w:val="009E10DD"/>
    <w:rsid w:val="009E1111"/>
    <w:rsid w:val="009E12EF"/>
    <w:rsid w:val="009E1300"/>
    <w:rsid w:val="009E1366"/>
    <w:rsid w:val="009E1BEC"/>
    <w:rsid w:val="009E1C85"/>
    <w:rsid w:val="009E1E77"/>
    <w:rsid w:val="009E20D2"/>
    <w:rsid w:val="009E221C"/>
    <w:rsid w:val="009E2554"/>
    <w:rsid w:val="009E2829"/>
    <w:rsid w:val="009E2ADA"/>
    <w:rsid w:val="009E2BB9"/>
    <w:rsid w:val="009E2C5E"/>
    <w:rsid w:val="009E2CB3"/>
    <w:rsid w:val="009E2F0C"/>
    <w:rsid w:val="009E3A70"/>
    <w:rsid w:val="009E3B86"/>
    <w:rsid w:val="009E42E6"/>
    <w:rsid w:val="009E43F3"/>
    <w:rsid w:val="009E52C3"/>
    <w:rsid w:val="009E5682"/>
    <w:rsid w:val="009E56C3"/>
    <w:rsid w:val="009E57A1"/>
    <w:rsid w:val="009E59EE"/>
    <w:rsid w:val="009E5A24"/>
    <w:rsid w:val="009E5C8D"/>
    <w:rsid w:val="009E5DEB"/>
    <w:rsid w:val="009E5F00"/>
    <w:rsid w:val="009E5F2A"/>
    <w:rsid w:val="009E606B"/>
    <w:rsid w:val="009E6126"/>
    <w:rsid w:val="009E6273"/>
    <w:rsid w:val="009E64AC"/>
    <w:rsid w:val="009E6A3F"/>
    <w:rsid w:val="009E6D72"/>
    <w:rsid w:val="009E7024"/>
    <w:rsid w:val="009E706C"/>
    <w:rsid w:val="009E709E"/>
    <w:rsid w:val="009E7167"/>
    <w:rsid w:val="009E7183"/>
    <w:rsid w:val="009E78C9"/>
    <w:rsid w:val="009F0121"/>
    <w:rsid w:val="009F02C1"/>
    <w:rsid w:val="009F02D4"/>
    <w:rsid w:val="009F0539"/>
    <w:rsid w:val="009F0A0C"/>
    <w:rsid w:val="009F1017"/>
    <w:rsid w:val="009F13BA"/>
    <w:rsid w:val="009F14EF"/>
    <w:rsid w:val="009F15BF"/>
    <w:rsid w:val="009F1680"/>
    <w:rsid w:val="009F1942"/>
    <w:rsid w:val="009F1B36"/>
    <w:rsid w:val="009F1B97"/>
    <w:rsid w:val="009F1DB2"/>
    <w:rsid w:val="009F1DFF"/>
    <w:rsid w:val="009F1FBD"/>
    <w:rsid w:val="009F1FD2"/>
    <w:rsid w:val="009F217A"/>
    <w:rsid w:val="009F2199"/>
    <w:rsid w:val="009F2583"/>
    <w:rsid w:val="009F27F5"/>
    <w:rsid w:val="009F2845"/>
    <w:rsid w:val="009F297F"/>
    <w:rsid w:val="009F2BB2"/>
    <w:rsid w:val="009F2D44"/>
    <w:rsid w:val="009F2E14"/>
    <w:rsid w:val="009F2FC8"/>
    <w:rsid w:val="009F2FDA"/>
    <w:rsid w:val="009F33B9"/>
    <w:rsid w:val="009F3419"/>
    <w:rsid w:val="009F35D2"/>
    <w:rsid w:val="009F391C"/>
    <w:rsid w:val="009F3970"/>
    <w:rsid w:val="009F3AE2"/>
    <w:rsid w:val="009F3C9F"/>
    <w:rsid w:val="009F3CCC"/>
    <w:rsid w:val="009F459D"/>
    <w:rsid w:val="009F4685"/>
    <w:rsid w:val="009F49E7"/>
    <w:rsid w:val="009F4BFE"/>
    <w:rsid w:val="009F5007"/>
    <w:rsid w:val="009F5064"/>
    <w:rsid w:val="009F51B1"/>
    <w:rsid w:val="009F525B"/>
    <w:rsid w:val="009F5283"/>
    <w:rsid w:val="009F53CE"/>
    <w:rsid w:val="009F5A66"/>
    <w:rsid w:val="009F5A75"/>
    <w:rsid w:val="009F5E2C"/>
    <w:rsid w:val="009F5FAB"/>
    <w:rsid w:val="009F60C9"/>
    <w:rsid w:val="009F623D"/>
    <w:rsid w:val="009F6267"/>
    <w:rsid w:val="009F62C6"/>
    <w:rsid w:val="009F6386"/>
    <w:rsid w:val="009F687A"/>
    <w:rsid w:val="009F68ED"/>
    <w:rsid w:val="009F77CB"/>
    <w:rsid w:val="009F7C78"/>
    <w:rsid w:val="009F7F41"/>
    <w:rsid w:val="00A000DA"/>
    <w:rsid w:val="00A001D2"/>
    <w:rsid w:val="00A00C48"/>
    <w:rsid w:val="00A00E5F"/>
    <w:rsid w:val="00A00E72"/>
    <w:rsid w:val="00A00F81"/>
    <w:rsid w:val="00A00FEC"/>
    <w:rsid w:val="00A0117F"/>
    <w:rsid w:val="00A011F7"/>
    <w:rsid w:val="00A01261"/>
    <w:rsid w:val="00A013DD"/>
    <w:rsid w:val="00A018A1"/>
    <w:rsid w:val="00A019AE"/>
    <w:rsid w:val="00A01CF6"/>
    <w:rsid w:val="00A02218"/>
    <w:rsid w:val="00A023D0"/>
    <w:rsid w:val="00A02573"/>
    <w:rsid w:val="00A02C14"/>
    <w:rsid w:val="00A02CC9"/>
    <w:rsid w:val="00A03BA0"/>
    <w:rsid w:val="00A03D6A"/>
    <w:rsid w:val="00A042B3"/>
    <w:rsid w:val="00A043EF"/>
    <w:rsid w:val="00A04440"/>
    <w:rsid w:val="00A0449D"/>
    <w:rsid w:val="00A047F3"/>
    <w:rsid w:val="00A04BC7"/>
    <w:rsid w:val="00A04DB1"/>
    <w:rsid w:val="00A05218"/>
    <w:rsid w:val="00A05332"/>
    <w:rsid w:val="00A05579"/>
    <w:rsid w:val="00A05CF8"/>
    <w:rsid w:val="00A05D54"/>
    <w:rsid w:val="00A06546"/>
    <w:rsid w:val="00A065EA"/>
    <w:rsid w:val="00A06720"/>
    <w:rsid w:val="00A068D2"/>
    <w:rsid w:val="00A06948"/>
    <w:rsid w:val="00A0698C"/>
    <w:rsid w:val="00A06AD6"/>
    <w:rsid w:val="00A06B23"/>
    <w:rsid w:val="00A06B70"/>
    <w:rsid w:val="00A06B8A"/>
    <w:rsid w:val="00A06BBF"/>
    <w:rsid w:val="00A06E8A"/>
    <w:rsid w:val="00A06FE4"/>
    <w:rsid w:val="00A07273"/>
    <w:rsid w:val="00A07380"/>
    <w:rsid w:val="00A07947"/>
    <w:rsid w:val="00A07E0E"/>
    <w:rsid w:val="00A07F53"/>
    <w:rsid w:val="00A10173"/>
    <w:rsid w:val="00A101FF"/>
    <w:rsid w:val="00A103B7"/>
    <w:rsid w:val="00A1048F"/>
    <w:rsid w:val="00A105A5"/>
    <w:rsid w:val="00A10675"/>
    <w:rsid w:val="00A108D3"/>
    <w:rsid w:val="00A10A03"/>
    <w:rsid w:val="00A10D93"/>
    <w:rsid w:val="00A10E70"/>
    <w:rsid w:val="00A10FDE"/>
    <w:rsid w:val="00A10FF0"/>
    <w:rsid w:val="00A11286"/>
    <w:rsid w:val="00A112D6"/>
    <w:rsid w:val="00A116FF"/>
    <w:rsid w:val="00A11B44"/>
    <w:rsid w:val="00A12099"/>
    <w:rsid w:val="00A12288"/>
    <w:rsid w:val="00A124C8"/>
    <w:rsid w:val="00A12608"/>
    <w:rsid w:val="00A12655"/>
    <w:rsid w:val="00A128A8"/>
    <w:rsid w:val="00A129DA"/>
    <w:rsid w:val="00A12A1B"/>
    <w:rsid w:val="00A12A9A"/>
    <w:rsid w:val="00A12D5C"/>
    <w:rsid w:val="00A12E80"/>
    <w:rsid w:val="00A12F17"/>
    <w:rsid w:val="00A1314C"/>
    <w:rsid w:val="00A13228"/>
    <w:rsid w:val="00A13423"/>
    <w:rsid w:val="00A13509"/>
    <w:rsid w:val="00A135C0"/>
    <w:rsid w:val="00A137A3"/>
    <w:rsid w:val="00A137C2"/>
    <w:rsid w:val="00A138F6"/>
    <w:rsid w:val="00A13A6B"/>
    <w:rsid w:val="00A13C3F"/>
    <w:rsid w:val="00A14346"/>
    <w:rsid w:val="00A14493"/>
    <w:rsid w:val="00A1450A"/>
    <w:rsid w:val="00A148E1"/>
    <w:rsid w:val="00A14906"/>
    <w:rsid w:val="00A1490B"/>
    <w:rsid w:val="00A14CFB"/>
    <w:rsid w:val="00A14D7F"/>
    <w:rsid w:val="00A15312"/>
    <w:rsid w:val="00A15704"/>
    <w:rsid w:val="00A159FE"/>
    <w:rsid w:val="00A15A58"/>
    <w:rsid w:val="00A15BC3"/>
    <w:rsid w:val="00A15DB0"/>
    <w:rsid w:val="00A15E0B"/>
    <w:rsid w:val="00A15F7E"/>
    <w:rsid w:val="00A1612F"/>
    <w:rsid w:val="00A161CE"/>
    <w:rsid w:val="00A165D0"/>
    <w:rsid w:val="00A165E8"/>
    <w:rsid w:val="00A16881"/>
    <w:rsid w:val="00A16ADF"/>
    <w:rsid w:val="00A16C7E"/>
    <w:rsid w:val="00A16D03"/>
    <w:rsid w:val="00A171B0"/>
    <w:rsid w:val="00A175DF"/>
    <w:rsid w:val="00A17852"/>
    <w:rsid w:val="00A179D1"/>
    <w:rsid w:val="00A17EAB"/>
    <w:rsid w:val="00A17F65"/>
    <w:rsid w:val="00A2041A"/>
    <w:rsid w:val="00A20442"/>
    <w:rsid w:val="00A205BC"/>
    <w:rsid w:val="00A20638"/>
    <w:rsid w:val="00A20726"/>
    <w:rsid w:val="00A20745"/>
    <w:rsid w:val="00A2091A"/>
    <w:rsid w:val="00A20BE4"/>
    <w:rsid w:val="00A214E3"/>
    <w:rsid w:val="00A2153F"/>
    <w:rsid w:val="00A2155B"/>
    <w:rsid w:val="00A215F2"/>
    <w:rsid w:val="00A219F2"/>
    <w:rsid w:val="00A21C90"/>
    <w:rsid w:val="00A22AC1"/>
    <w:rsid w:val="00A22D07"/>
    <w:rsid w:val="00A22D67"/>
    <w:rsid w:val="00A22DF4"/>
    <w:rsid w:val="00A22FD3"/>
    <w:rsid w:val="00A2317B"/>
    <w:rsid w:val="00A234BD"/>
    <w:rsid w:val="00A236B6"/>
    <w:rsid w:val="00A23A23"/>
    <w:rsid w:val="00A2417B"/>
    <w:rsid w:val="00A24212"/>
    <w:rsid w:val="00A24F20"/>
    <w:rsid w:val="00A25092"/>
    <w:rsid w:val="00A250E2"/>
    <w:rsid w:val="00A25413"/>
    <w:rsid w:val="00A254F8"/>
    <w:rsid w:val="00A25693"/>
    <w:rsid w:val="00A25AF5"/>
    <w:rsid w:val="00A263E7"/>
    <w:rsid w:val="00A264E5"/>
    <w:rsid w:val="00A26915"/>
    <w:rsid w:val="00A2692F"/>
    <w:rsid w:val="00A269E1"/>
    <w:rsid w:val="00A26FC8"/>
    <w:rsid w:val="00A273D4"/>
    <w:rsid w:val="00A275E2"/>
    <w:rsid w:val="00A2762F"/>
    <w:rsid w:val="00A2764A"/>
    <w:rsid w:val="00A277DB"/>
    <w:rsid w:val="00A27E89"/>
    <w:rsid w:val="00A30080"/>
    <w:rsid w:val="00A30236"/>
    <w:rsid w:val="00A303FD"/>
    <w:rsid w:val="00A3045B"/>
    <w:rsid w:val="00A3084A"/>
    <w:rsid w:val="00A308A2"/>
    <w:rsid w:val="00A30DE1"/>
    <w:rsid w:val="00A31141"/>
    <w:rsid w:val="00A314A0"/>
    <w:rsid w:val="00A317D8"/>
    <w:rsid w:val="00A3191C"/>
    <w:rsid w:val="00A31BAF"/>
    <w:rsid w:val="00A31EE1"/>
    <w:rsid w:val="00A31F10"/>
    <w:rsid w:val="00A32174"/>
    <w:rsid w:val="00A323C9"/>
    <w:rsid w:val="00A32730"/>
    <w:rsid w:val="00A32C6A"/>
    <w:rsid w:val="00A32EDC"/>
    <w:rsid w:val="00A3322C"/>
    <w:rsid w:val="00A33387"/>
    <w:rsid w:val="00A33388"/>
    <w:rsid w:val="00A334D2"/>
    <w:rsid w:val="00A33616"/>
    <w:rsid w:val="00A336C2"/>
    <w:rsid w:val="00A339F3"/>
    <w:rsid w:val="00A33B2A"/>
    <w:rsid w:val="00A33B9E"/>
    <w:rsid w:val="00A340C4"/>
    <w:rsid w:val="00A340D8"/>
    <w:rsid w:val="00A3430F"/>
    <w:rsid w:val="00A34464"/>
    <w:rsid w:val="00A34A02"/>
    <w:rsid w:val="00A34AE8"/>
    <w:rsid w:val="00A3519C"/>
    <w:rsid w:val="00A3535E"/>
    <w:rsid w:val="00A354A1"/>
    <w:rsid w:val="00A35562"/>
    <w:rsid w:val="00A355CD"/>
    <w:rsid w:val="00A35730"/>
    <w:rsid w:val="00A35992"/>
    <w:rsid w:val="00A35A0E"/>
    <w:rsid w:val="00A35E5F"/>
    <w:rsid w:val="00A35FDA"/>
    <w:rsid w:val="00A361F9"/>
    <w:rsid w:val="00A3634E"/>
    <w:rsid w:val="00A367E1"/>
    <w:rsid w:val="00A370B5"/>
    <w:rsid w:val="00A371B1"/>
    <w:rsid w:val="00A37393"/>
    <w:rsid w:val="00A37467"/>
    <w:rsid w:val="00A379CC"/>
    <w:rsid w:val="00A37E9A"/>
    <w:rsid w:val="00A40208"/>
    <w:rsid w:val="00A40613"/>
    <w:rsid w:val="00A406C2"/>
    <w:rsid w:val="00A407F5"/>
    <w:rsid w:val="00A40900"/>
    <w:rsid w:val="00A40CFD"/>
    <w:rsid w:val="00A40FC8"/>
    <w:rsid w:val="00A41C24"/>
    <w:rsid w:val="00A41CCB"/>
    <w:rsid w:val="00A41EC0"/>
    <w:rsid w:val="00A41F30"/>
    <w:rsid w:val="00A41FF9"/>
    <w:rsid w:val="00A4202A"/>
    <w:rsid w:val="00A42174"/>
    <w:rsid w:val="00A422CC"/>
    <w:rsid w:val="00A42794"/>
    <w:rsid w:val="00A42A61"/>
    <w:rsid w:val="00A42B22"/>
    <w:rsid w:val="00A42BAC"/>
    <w:rsid w:val="00A42BB5"/>
    <w:rsid w:val="00A42D3F"/>
    <w:rsid w:val="00A42D87"/>
    <w:rsid w:val="00A433E0"/>
    <w:rsid w:val="00A43498"/>
    <w:rsid w:val="00A43621"/>
    <w:rsid w:val="00A43712"/>
    <w:rsid w:val="00A4378A"/>
    <w:rsid w:val="00A43EB7"/>
    <w:rsid w:val="00A4402E"/>
    <w:rsid w:val="00A442A7"/>
    <w:rsid w:val="00A44774"/>
    <w:rsid w:val="00A44865"/>
    <w:rsid w:val="00A44AD6"/>
    <w:rsid w:val="00A44BA1"/>
    <w:rsid w:val="00A44C1D"/>
    <w:rsid w:val="00A44C38"/>
    <w:rsid w:val="00A4547A"/>
    <w:rsid w:val="00A4549D"/>
    <w:rsid w:val="00A4563F"/>
    <w:rsid w:val="00A45C29"/>
    <w:rsid w:val="00A45C5E"/>
    <w:rsid w:val="00A45D7C"/>
    <w:rsid w:val="00A45F68"/>
    <w:rsid w:val="00A46546"/>
    <w:rsid w:val="00A46798"/>
    <w:rsid w:val="00A468DA"/>
    <w:rsid w:val="00A46ACB"/>
    <w:rsid w:val="00A46E22"/>
    <w:rsid w:val="00A46E79"/>
    <w:rsid w:val="00A46FC2"/>
    <w:rsid w:val="00A471F8"/>
    <w:rsid w:val="00A47321"/>
    <w:rsid w:val="00A47E35"/>
    <w:rsid w:val="00A50D51"/>
    <w:rsid w:val="00A51030"/>
    <w:rsid w:val="00A5119D"/>
    <w:rsid w:val="00A511A2"/>
    <w:rsid w:val="00A51351"/>
    <w:rsid w:val="00A5159A"/>
    <w:rsid w:val="00A51609"/>
    <w:rsid w:val="00A517CE"/>
    <w:rsid w:val="00A51858"/>
    <w:rsid w:val="00A51A48"/>
    <w:rsid w:val="00A51BCB"/>
    <w:rsid w:val="00A51E36"/>
    <w:rsid w:val="00A51F33"/>
    <w:rsid w:val="00A52043"/>
    <w:rsid w:val="00A520FD"/>
    <w:rsid w:val="00A522A4"/>
    <w:rsid w:val="00A5233B"/>
    <w:rsid w:val="00A52641"/>
    <w:rsid w:val="00A52F85"/>
    <w:rsid w:val="00A53849"/>
    <w:rsid w:val="00A5398F"/>
    <w:rsid w:val="00A539B2"/>
    <w:rsid w:val="00A53D16"/>
    <w:rsid w:val="00A53F32"/>
    <w:rsid w:val="00A53F4D"/>
    <w:rsid w:val="00A544EF"/>
    <w:rsid w:val="00A54814"/>
    <w:rsid w:val="00A549A5"/>
    <w:rsid w:val="00A54AFF"/>
    <w:rsid w:val="00A54F08"/>
    <w:rsid w:val="00A5548C"/>
    <w:rsid w:val="00A5550E"/>
    <w:rsid w:val="00A557F3"/>
    <w:rsid w:val="00A559BC"/>
    <w:rsid w:val="00A55AEF"/>
    <w:rsid w:val="00A55BD8"/>
    <w:rsid w:val="00A55C30"/>
    <w:rsid w:val="00A55D74"/>
    <w:rsid w:val="00A5605E"/>
    <w:rsid w:val="00A56453"/>
    <w:rsid w:val="00A565D9"/>
    <w:rsid w:val="00A56806"/>
    <w:rsid w:val="00A56C33"/>
    <w:rsid w:val="00A56CDB"/>
    <w:rsid w:val="00A56DA1"/>
    <w:rsid w:val="00A57099"/>
    <w:rsid w:val="00A57448"/>
    <w:rsid w:val="00A575A1"/>
    <w:rsid w:val="00A575CD"/>
    <w:rsid w:val="00A5768B"/>
    <w:rsid w:val="00A57D1E"/>
    <w:rsid w:val="00A57D6C"/>
    <w:rsid w:val="00A601A4"/>
    <w:rsid w:val="00A60285"/>
    <w:rsid w:val="00A60329"/>
    <w:rsid w:val="00A60A19"/>
    <w:rsid w:val="00A61066"/>
    <w:rsid w:val="00A61204"/>
    <w:rsid w:val="00A61D1C"/>
    <w:rsid w:val="00A61DCD"/>
    <w:rsid w:val="00A61FF9"/>
    <w:rsid w:val="00A62041"/>
    <w:rsid w:val="00A6243F"/>
    <w:rsid w:val="00A62479"/>
    <w:rsid w:val="00A62652"/>
    <w:rsid w:val="00A626EB"/>
    <w:rsid w:val="00A62887"/>
    <w:rsid w:val="00A62A9B"/>
    <w:rsid w:val="00A62D3C"/>
    <w:rsid w:val="00A62E04"/>
    <w:rsid w:val="00A6309C"/>
    <w:rsid w:val="00A633AC"/>
    <w:rsid w:val="00A63583"/>
    <w:rsid w:val="00A637F1"/>
    <w:rsid w:val="00A6385F"/>
    <w:rsid w:val="00A639E4"/>
    <w:rsid w:val="00A63F62"/>
    <w:rsid w:val="00A64035"/>
    <w:rsid w:val="00A644FD"/>
    <w:rsid w:val="00A6458C"/>
    <w:rsid w:val="00A64868"/>
    <w:rsid w:val="00A64E64"/>
    <w:rsid w:val="00A64FBF"/>
    <w:rsid w:val="00A6506D"/>
    <w:rsid w:val="00A651C9"/>
    <w:rsid w:val="00A654A4"/>
    <w:rsid w:val="00A65770"/>
    <w:rsid w:val="00A65D7A"/>
    <w:rsid w:val="00A663B2"/>
    <w:rsid w:val="00A664EE"/>
    <w:rsid w:val="00A6659A"/>
    <w:rsid w:val="00A66707"/>
    <w:rsid w:val="00A6681F"/>
    <w:rsid w:val="00A668D2"/>
    <w:rsid w:val="00A66982"/>
    <w:rsid w:val="00A66A9B"/>
    <w:rsid w:val="00A66C25"/>
    <w:rsid w:val="00A66C29"/>
    <w:rsid w:val="00A66FE7"/>
    <w:rsid w:val="00A67379"/>
    <w:rsid w:val="00A675A9"/>
    <w:rsid w:val="00A677DD"/>
    <w:rsid w:val="00A67844"/>
    <w:rsid w:val="00A6784D"/>
    <w:rsid w:val="00A67898"/>
    <w:rsid w:val="00A67916"/>
    <w:rsid w:val="00A6793D"/>
    <w:rsid w:val="00A679EA"/>
    <w:rsid w:val="00A67F89"/>
    <w:rsid w:val="00A7038A"/>
    <w:rsid w:val="00A7075F"/>
    <w:rsid w:val="00A70A49"/>
    <w:rsid w:val="00A70C91"/>
    <w:rsid w:val="00A70D23"/>
    <w:rsid w:val="00A70E31"/>
    <w:rsid w:val="00A71920"/>
    <w:rsid w:val="00A71DEF"/>
    <w:rsid w:val="00A722C0"/>
    <w:rsid w:val="00A72748"/>
    <w:rsid w:val="00A7283D"/>
    <w:rsid w:val="00A72A7B"/>
    <w:rsid w:val="00A72EED"/>
    <w:rsid w:val="00A72F46"/>
    <w:rsid w:val="00A73A74"/>
    <w:rsid w:val="00A73D2F"/>
    <w:rsid w:val="00A73ED8"/>
    <w:rsid w:val="00A747B1"/>
    <w:rsid w:val="00A7492B"/>
    <w:rsid w:val="00A74B37"/>
    <w:rsid w:val="00A74D53"/>
    <w:rsid w:val="00A75490"/>
    <w:rsid w:val="00A757BD"/>
    <w:rsid w:val="00A758E4"/>
    <w:rsid w:val="00A75AF8"/>
    <w:rsid w:val="00A75EEC"/>
    <w:rsid w:val="00A7658F"/>
    <w:rsid w:val="00A76721"/>
    <w:rsid w:val="00A76927"/>
    <w:rsid w:val="00A76CF3"/>
    <w:rsid w:val="00A76D7B"/>
    <w:rsid w:val="00A76E70"/>
    <w:rsid w:val="00A76E7C"/>
    <w:rsid w:val="00A774E9"/>
    <w:rsid w:val="00A77594"/>
    <w:rsid w:val="00A776A7"/>
    <w:rsid w:val="00A776D0"/>
    <w:rsid w:val="00A7781D"/>
    <w:rsid w:val="00A77872"/>
    <w:rsid w:val="00A77B22"/>
    <w:rsid w:val="00A77B80"/>
    <w:rsid w:val="00A77BC1"/>
    <w:rsid w:val="00A77CA9"/>
    <w:rsid w:val="00A77CDF"/>
    <w:rsid w:val="00A77D31"/>
    <w:rsid w:val="00A77D71"/>
    <w:rsid w:val="00A77E18"/>
    <w:rsid w:val="00A77F41"/>
    <w:rsid w:val="00A8000F"/>
    <w:rsid w:val="00A800AB"/>
    <w:rsid w:val="00A800EB"/>
    <w:rsid w:val="00A803A7"/>
    <w:rsid w:val="00A8062E"/>
    <w:rsid w:val="00A80A0C"/>
    <w:rsid w:val="00A80FA4"/>
    <w:rsid w:val="00A80FB5"/>
    <w:rsid w:val="00A81354"/>
    <w:rsid w:val="00A815AE"/>
    <w:rsid w:val="00A815E8"/>
    <w:rsid w:val="00A81C2A"/>
    <w:rsid w:val="00A81D9A"/>
    <w:rsid w:val="00A82173"/>
    <w:rsid w:val="00A82393"/>
    <w:rsid w:val="00A8244A"/>
    <w:rsid w:val="00A825A9"/>
    <w:rsid w:val="00A826EE"/>
    <w:rsid w:val="00A82721"/>
    <w:rsid w:val="00A827E2"/>
    <w:rsid w:val="00A82B2D"/>
    <w:rsid w:val="00A82C3F"/>
    <w:rsid w:val="00A82E99"/>
    <w:rsid w:val="00A82F99"/>
    <w:rsid w:val="00A8323C"/>
    <w:rsid w:val="00A83733"/>
    <w:rsid w:val="00A83DAC"/>
    <w:rsid w:val="00A83DDC"/>
    <w:rsid w:val="00A83FCF"/>
    <w:rsid w:val="00A83FD5"/>
    <w:rsid w:val="00A846C7"/>
    <w:rsid w:val="00A84B5A"/>
    <w:rsid w:val="00A84DD8"/>
    <w:rsid w:val="00A84E9C"/>
    <w:rsid w:val="00A85100"/>
    <w:rsid w:val="00A85B3C"/>
    <w:rsid w:val="00A85BB6"/>
    <w:rsid w:val="00A85CE7"/>
    <w:rsid w:val="00A85F15"/>
    <w:rsid w:val="00A860BD"/>
    <w:rsid w:val="00A862DB"/>
    <w:rsid w:val="00A863AA"/>
    <w:rsid w:val="00A86456"/>
    <w:rsid w:val="00A86628"/>
    <w:rsid w:val="00A86936"/>
    <w:rsid w:val="00A869BF"/>
    <w:rsid w:val="00A86D58"/>
    <w:rsid w:val="00A86E27"/>
    <w:rsid w:val="00A86FCC"/>
    <w:rsid w:val="00A87040"/>
    <w:rsid w:val="00A870F0"/>
    <w:rsid w:val="00A871A5"/>
    <w:rsid w:val="00A87485"/>
    <w:rsid w:val="00A87838"/>
    <w:rsid w:val="00A87B00"/>
    <w:rsid w:val="00A87DFA"/>
    <w:rsid w:val="00A90318"/>
    <w:rsid w:val="00A90FF7"/>
    <w:rsid w:val="00A91290"/>
    <w:rsid w:val="00A91BE9"/>
    <w:rsid w:val="00A91F44"/>
    <w:rsid w:val="00A92304"/>
    <w:rsid w:val="00A9234C"/>
    <w:rsid w:val="00A92415"/>
    <w:rsid w:val="00A928BE"/>
    <w:rsid w:val="00A929F9"/>
    <w:rsid w:val="00A92BAC"/>
    <w:rsid w:val="00A92C55"/>
    <w:rsid w:val="00A92D89"/>
    <w:rsid w:val="00A92DC7"/>
    <w:rsid w:val="00A9303A"/>
    <w:rsid w:val="00A93197"/>
    <w:rsid w:val="00A93209"/>
    <w:rsid w:val="00A93283"/>
    <w:rsid w:val="00A93950"/>
    <w:rsid w:val="00A93961"/>
    <w:rsid w:val="00A93B51"/>
    <w:rsid w:val="00A93F61"/>
    <w:rsid w:val="00A9409B"/>
    <w:rsid w:val="00A944A0"/>
    <w:rsid w:val="00A9460F"/>
    <w:rsid w:val="00A946B0"/>
    <w:rsid w:val="00A9472E"/>
    <w:rsid w:val="00A9492C"/>
    <w:rsid w:val="00A94AD0"/>
    <w:rsid w:val="00A94BCA"/>
    <w:rsid w:val="00A94C31"/>
    <w:rsid w:val="00A951AD"/>
    <w:rsid w:val="00A951F0"/>
    <w:rsid w:val="00A956B8"/>
    <w:rsid w:val="00A95A19"/>
    <w:rsid w:val="00A95BFC"/>
    <w:rsid w:val="00A96189"/>
    <w:rsid w:val="00A961EC"/>
    <w:rsid w:val="00A9647F"/>
    <w:rsid w:val="00A96B45"/>
    <w:rsid w:val="00A96D9B"/>
    <w:rsid w:val="00A97076"/>
    <w:rsid w:val="00A971AD"/>
    <w:rsid w:val="00A972BF"/>
    <w:rsid w:val="00A972E2"/>
    <w:rsid w:val="00A97439"/>
    <w:rsid w:val="00A9743B"/>
    <w:rsid w:val="00A97607"/>
    <w:rsid w:val="00A97686"/>
    <w:rsid w:val="00A976A9"/>
    <w:rsid w:val="00A9772F"/>
    <w:rsid w:val="00A977CB"/>
    <w:rsid w:val="00A97891"/>
    <w:rsid w:val="00A97BBC"/>
    <w:rsid w:val="00A97CF7"/>
    <w:rsid w:val="00A97EA8"/>
    <w:rsid w:val="00AA02B7"/>
    <w:rsid w:val="00AA0592"/>
    <w:rsid w:val="00AA05AB"/>
    <w:rsid w:val="00AA066D"/>
    <w:rsid w:val="00AA0C1F"/>
    <w:rsid w:val="00AA0FF9"/>
    <w:rsid w:val="00AA1051"/>
    <w:rsid w:val="00AA114D"/>
    <w:rsid w:val="00AA123A"/>
    <w:rsid w:val="00AA1529"/>
    <w:rsid w:val="00AA1743"/>
    <w:rsid w:val="00AA187A"/>
    <w:rsid w:val="00AA1C1F"/>
    <w:rsid w:val="00AA1E64"/>
    <w:rsid w:val="00AA2616"/>
    <w:rsid w:val="00AA2722"/>
    <w:rsid w:val="00AA2964"/>
    <w:rsid w:val="00AA2BE4"/>
    <w:rsid w:val="00AA2C83"/>
    <w:rsid w:val="00AA3321"/>
    <w:rsid w:val="00AA37AA"/>
    <w:rsid w:val="00AA3ED3"/>
    <w:rsid w:val="00AA422E"/>
    <w:rsid w:val="00AA4356"/>
    <w:rsid w:val="00AA4511"/>
    <w:rsid w:val="00AA4526"/>
    <w:rsid w:val="00AA4E06"/>
    <w:rsid w:val="00AA4FA5"/>
    <w:rsid w:val="00AA50EE"/>
    <w:rsid w:val="00AA57A9"/>
    <w:rsid w:val="00AA5C93"/>
    <w:rsid w:val="00AA5CED"/>
    <w:rsid w:val="00AA5DD3"/>
    <w:rsid w:val="00AA5DE1"/>
    <w:rsid w:val="00AA608C"/>
    <w:rsid w:val="00AA6352"/>
    <w:rsid w:val="00AA63F1"/>
    <w:rsid w:val="00AA64F9"/>
    <w:rsid w:val="00AA68ED"/>
    <w:rsid w:val="00AA6BA0"/>
    <w:rsid w:val="00AA6CEB"/>
    <w:rsid w:val="00AA6DC1"/>
    <w:rsid w:val="00AA74B6"/>
    <w:rsid w:val="00AA77F5"/>
    <w:rsid w:val="00AA7809"/>
    <w:rsid w:val="00AA784F"/>
    <w:rsid w:val="00AA78E3"/>
    <w:rsid w:val="00AA79CC"/>
    <w:rsid w:val="00AA7A5B"/>
    <w:rsid w:val="00AA7EFE"/>
    <w:rsid w:val="00AA7F61"/>
    <w:rsid w:val="00AB00A5"/>
    <w:rsid w:val="00AB01FD"/>
    <w:rsid w:val="00AB08BA"/>
    <w:rsid w:val="00AB0BD5"/>
    <w:rsid w:val="00AB1251"/>
    <w:rsid w:val="00AB13BD"/>
    <w:rsid w:val="00AB1446"/>
    <w:rsid w:val="00AB14EB"/>
    <w:rsid w:val="00AB153F"/>
    <w:rsid w:val="00AB1686"/>
    <w:rsid w:val="00AB171A"/>
    <w:rsid w:val="00AB1788"/>
    <w:rsid w:val="00AB1A13"/>
    <w:rsid w:val="00AB1AC8"/>
    <w:rsid w:val="00AB1AE7"/>
    <w:rsid w:val="00AB1B46"/>
    <w:rsid w:val="00AB1B58"/>
    <w:rsid w:val="00AB1C61"/>
    <w:rsid w:val="00AB2101"/>
    <w:rsid w:val="00AB2294"/>
    <w:rsid w:val="00AB2312"/>
    <w:rsid w:val="00AB2586"/>
    <w:rsid w:val="00AB25CA"/>
    <w:rsid w:val="00AB2F3F"/>
    <w:rsid w:val="00AB2F97"/>
    <w:rsid w:val="00AB317E"/>
    <w:rsid w:val="00AB31B9"/>
    <w:rsid w:val="00AB34DB"/>
    <w:rsid w:val="00AB355D"/>
    <w:rsid w:val="00AB375D"/>
    <w:rsid w:val="00AB38D7"/>
    <w:rsid w:val="00AB3913"/>
    <w:rsid w:val="00AB3DEE"/>
    <w:rsid w:val="00AB401A"/>
    <w:rsid w:val="00AB407B"/>
    <w:rsid w:val="00AB4442"/>
    <w:rsid w:val="00AB489A"/>
    <w:rsid w:val="00AB4A39"/>
    <w:rsid w:val="00AB4B7C"/>
    <w:rsid w:val="00AB4BE1"/>
    <w:rsid w:val="00AB4BE5"/>
    <w:rsid w:val="00AB50C5"/>
    <w:rsid w:val="00AB5517"/>
    <w:rsid w:val="00AB55E2"/>
    <w:rsid w:val="00AB57B6"/>
    <w:rsid w:val="00AB5D2A"/>
    <w:rsid w:val="00AB5DB7"/>
    <w:rsid w:val="00AB5E7D"/>
    <w:rsid w:val="00AB5F16"/>
    <w:rsid w:val="00AB610B"/>
    <w:rsid w:val="00AB6431"/>
    <w:rsid w:val="00AB65DF"/>
    <w:rsid w:val="00AB686B"/>
    <w:rsid w:val="00AB6881"/>
    <w:rsid w:val="00AB6C08"/>
    <w:rsid w:val="00AB6C2C"/>
    <w:rsid w:val="00AB72E4"/>
    <w:rsid w:val="00AB75F7"/>
    <w:rsid w:val="00AB7687"/>
    <w:rsid w:val="00AB7795"/>
    <w:rsid w:val="00AB7AEE"/>
    <w:rsid w:val="00AB7B09"/>
    <w:rsid w:val="00AB7D92"/>
    <w:rsid w:val="00AB7F30"/>
    <w:rsid w:val="00AB7F55"/>
    <w:rsid w:val="00AB7FCD"/>
    <w:rsid w:val="00AC00DE"/>
    <w:rsid w:val="00AC0142"/>
    <w:rsid w:val="00AC016C"/>
    <w:rsid w:val="00AC0219"/>
    <w:rsid w:val="00AC02BE"/>
    <w:rsid w:val="00AC0486"/>
    <w:rsid w:val="00AC0562"/>
    <w:rsid w:val="00AC05A9"/>
    <w:rsid w:val="00AC074A"/>
    <w:rsid w:val="00AC075C"/>
    <w:rsid w:val="00AC08B8"/>
    <w:rsid w:val="00AC0F0C"/>
    <w:rsid w:val="00AC1211"/>
    <w:rsid w:val="00AC142B"/>
    <w:rsid w:val="00AC1561"/>
    <w:rsid w:val="00AC174B"/>
    <w:rsid w:val="00AC17AE"/>
    <w:rsid w:val="00AC17D4"/>
    <w:rsid w:val="00AC2123"/>
    <w:rsid w:val="00AC2160"/>
    <w:rsid w:val="00AC229C"/>
    <w:rsid w:val="00AC274E"/>
    <w:rsid w:val="00AC27B9"/>
    <w:rsid w:val="00AC2882"/>
    <w:rsid w:val="00AC2B6F"/>
    <w:rsid w:val="00AC33E8"/>
    <w:rsid w:val="00AC3402"/>
    <w:rsid w:val="00AC36F4"/>
    <w:rsid w:val="00AC36FE"/>
    <w:rsid w:val="00AC4204"/>
    <w:rsid w:val="00AC4550"/>
    <w:rsid w:val="00AC4572"/>
    <w:rsid w:val="00AC461D"/>
    <w:rsid w:val="00AC4693"/>
    <w:rsid w:val="00AC4BA8"/>
    <w:rsid w:val="00AC4E32"/>
    <w:rsid w:val="00AC4F1A"/>
    <w:rsid w:val="00AC51CF"/>
    <w:rsid w:val="00AC527B"/>
    <w:rsid w:val="00AC52C6"/>
    <w:rsid w:val="00AC5426"/>
    <w:rsid w:val="00AC594B"/>
    <w:rsid w:val="00AC5B90"/>
    <w:rsid w:val="00AC5DA6"/>
    <w:rsid w:val="00AC62DE"/>
    <w:rsid w:val="00AC6459"/>
    <w:rsid w:val="00AC64A0"/>
    <w:rsid w:val="00AC65D1"/>
    <w:rsid w:val="00AC6623"/>
    <w:rsid w:val="00AC6856"/>
    <w:rsid w:val="00AC69B8"/>
    <w:rsid w:val="00AC69D4"/>
    <w:rsid w:val="00AC6B2A"/>
    <w:rsid w:val="00AC6C78"/>
    <w:rsid w:val="00AC70A8"/>
    <w:rsid w:val="00AC7145"/>
    <w:rsid w:val="00AC7521"/>
    <w:rsid w:val="00AC754E"/>
    <w:rsid w:val="00AC75A6"/>
    <w:rsid w:val="00AC766C"/>
    <w:rsid w:val="00AC76B8"/>
    <w:rsid w:val="00AC7B00"/>
    <w:rsid w:val="00AC7CBD"/>
    <w:rsid w:val="00AD0087"/>
    <w:rsid w:val="00AD00B6"/>
    <w:rsid w:val="00AD0495"/>
    <w:rsid w:val="00AD053D"/>
    <w:rsid w:val="00AD0677"/>
    <w:rsid w:val="00AD0691"/>
    <w:rsid w:val="00AD0731"/>
    <w:rsid w:val="00AD07E9"/>
    <w:rsid w:val="00AD09A5"/>
    <w:rsid w:val="00AD0AEC"/>
    <w:rsid w:val="00AD0B21"/>
    <w:rsid w:val="00AD0C46"/>
    <w:rsid w:val="00AD0D5E"/>
    <w:rsid w:val="00AD0F3A"/>
    <w:rsid w:val="00AD14CC"/>
    <w:rsid w:val="00AD1999"/>
    <w:rsid w:val="00AD1AC1"/>
    <w:rsid w:val="00AD1D90"/>
    <w:rsid w:val="00AD1F27"/>
    <w:rsid w:val="00AD2075"/>
    <w:rsid w:val="00AD22F7"/>
    <w:rsid w:val="00AD2530"/>
    <w:rsid w:val="00AD2761"/>
    <w:rsid w:val="00AD2AB6"/>
    <w:rsid w:val="00AD2AC8"/>
    <w:rsid w:val="00AD2B06"/>
    <w:rsid w:val="00AD2C56"/>
    <w:rsid w:val="00AD3318"/>
    <w:rsid w:val="00AD369C"/>
    <w:rsid w:val="00AD38DB"/>
    <w:rsid w:val="00AD3B91"/>
    <w:rsid w:val="00AD3D00"/>
    <w:rsid w:val="00AD43B0"/>
    <w:rsid w:val="00AD44C0"/>
    <w:rsid w:val="00AD476B"/>
    <w:rsid w:val="00AD4907"/>
    <w:rsid w:val="00AD4C2B"/>
    <w:rsid w:val="00AD4ECE"/>
    <w:rsid w:val="00AD54BA"/>
    <w:rsid w:val="00AD5A0E"/>
    <w:rsid w:val="00AD5B96"/>
    <w:rsid w:val="00AD5BC8"/>
    <w:rsid w:val="00AD5DD6"/>
    <w:rsid w:val="00AD6096"/>
    <w:rsid w:val="00AD6367"/>
    <w:rsid w:val="00AD6493"/>
    <w:rsid w:val="00AD64E3"/>
    <w:rsid w:val="00AD6532"/>
    <w:rsid w:val="00AD66BA"/>
    <w:rsid w:val="00AD6828"/>
    <w:rsid w:val="00AD6940"/>
    <w:rsid w:val="00AD69FD"/>
    <w:rsid w:val="00AD6ADC"/>
    <w:rsid w:val="00AD6EDC"/>
    <w:rsid w:val="00AD6FF1"/>
    <w:rsid w:val="00AD725D"/>
    <w:rsid w:val="00AD76FF"/>
    <w:rsid w:val="00AD78C1"/>
    <w:rsid w:val="00AD7A70"/>
    <w:rsid w:val="00AD7BAD"/>
    <w:rsid w:val="00AD7D98"/>
    <w:rsid w:val="00AD7F80"/>
    <w:rsid w:val="00AE003D"/>
    <w:rsid w:val="00AE009C"/>
    <w:rsid w:val="00AE01C5"/>
    <w:rsid w:val="00AE03D7"/>
    <w:rsid w:val="00AE04AD"/>
    <w:rsid w:val="00AE0673"/>
    <w:rsid w:val="00AE07C3"/>
    <w:rsid w:val="00AE07F1"/>
    <w:rsid w:val="00AE0AA4"/>
    <w:rsid w:val="00AE0BCC"/>
    <w:rsid w:val="00AE0C23"/>
    <w:rsid w:val="00AE0C6E"/>
    <w:rsid w:val="00AE0E89"/>
    <w:rsid w:val="00AE123A"/>
    <w:rsid w:val="00AE14C8"/>
    <w:rsid w:val="00AE14FC"/>
    <w:rsid w:val="00AE15EB"/>
    <w:rsid w:val="00AE169D"/>
    <w:rsid w:val="00AE1BBF"/>
    <w:rsid w:val="00AE1EB3"/>
    <w:rsid w:val="00AE21E1"/>
    <w:rsid w:val="00AE2508"/>
    <w:rsid w:val="00AE26AC"/>
    <w:rsid w:val="00AE2B18"/>
    <w:rsid w:val="00AE323C"/>
    <w:rsid w:val="00AE327B"/>
    <w:rsid w:val="00AE3A36"/>
    <w:rsid w:val="00AE3F19"/>
    <w:rsid w:val="00AE4549"/>
    <w:rsid w:val="00AE46B6"/>
    <w:rsid w:val="00AE4AAF"/>
    <w:rsid w:val="00AE4B14"/>
    <w:rsid w:val="00AE4C4E"/>
    <w:rsid w:val="00AE4C99"/>
    <w:rsid w:val="00AE4EA3"/>
    <w:rsid w:val="00AE5165"/>
    <w:rsid w:val="00AE55C0"/>
    <w:rsid w:val="00AE5696"/>
    <w:rsid w:val="00AE5796"/>
    <w:rsid w:val="00AE579C"/>
    <w:rsid w:val="00AE57E7"/>
    <w:rsid w:val="00AE5A9D"/>
    <w:rsid w:val="00AE5D9B"/>
    <w:rsid w:val="00AE5E15"/>
    <w:rsid w:val="00AE5FB6"/>
    <w:rsid w:val="00AE5FEB"/>
    <w:rsid w:val="00AE608D"/>
    <w:rsid w:val="00AE61EF"/>
    <w:rsid w:val="00AE63C0"/>
    <w:rsid w:val="00AE6657"/>
    <w:rsid w:val="00AE66BB"/>
    <w:rsid w:val="00AE66DA"/>
    <w:rsid w:val="00AE67B5"/>
    <w:rsid w:val="00AE67EC"/>
    <w:rsid w:val="00AE68A3"/>
    <w:rsid w:val="00AE6963"/>
    <w:rsid w:val="00AE6A7C"/>
    <w:rsid w:val="00AE6B8C"/>
    <w:rsid w:val="00AE6CF0"/>
    <w:rsid w:val="00AE6D4C"/>
    <w:rsid w:val="00AE6F3D"/>
    <w:rsid w:val="00AE708E"/>
    <w:rsid w:val="00AE70D2"/>
    <w:rsid w:val="00AE7231"/>
    <w:rsid w:val="00AE7249"/>
    <w:rsid w:val="00AE75BB"/>
    <w:rsid w:val="00AE7798"/>
    <w:rsid w:val="00AE7830"/>
    <w:rsid w:val="00AE78A2"/>
    <w:rsid w:val="00AE7D48"/>
    <w:rsid w:val="00AE7DA5"/>
    <w:rsid w:val="00AE7F3C"/>
    <w:rsid w:val="00AF00F6"/>
    <w:rsid w:val="00AF02D5"/>
    <w:rsid w:val="00AF03F4"/>
    <w:rsid w:val="00AF04EC"/>
    <w:rsid w:val="00AF0505"/>
    <w:rsid w:val="00AF0522"/>
    <w:rsid w:val="00AF0704"/>
    <w:rsid w:val="00AF075E"/>
    <w:rsid w:val="00AF07AB"/>
    <w:rsid w:val="00AF0DBF"/>
    <w:rsid w:val="00AF145A"/>
    <w:rsid w:val="00AF175C"/>
    <w:rsid w:val="00AF1C6A"/>
    <w:rsid w:val="00AF1CAC"/>
    <w:rsid w:val="00AF1CCA"/>
    <w:rsid w:val="00AF1E68"/>
    <w:rsid w:val="00AF1ECF"/>
    <w:rsid w:val="00AF2065"/>
    <w:rsid w:val="00AF2B60"/>
    <w:rsid w:val="00AF3049"/>
    <w:rsid w:val="00AF3167"/>
    <w:rsid w:val="00AF33AE"/>
    <w:rsid w:val="00AF33FC"/>
    <w:rsid w:val="00AF341C"/>
    <w:rsid w:val="00AF3463"/>
    <w:rsid w:val="00AF3524"/>
    <w:rsid w:val="00AF3710"/>
    <w:rsid w:val="00AF38F7"/>
    <w:rsid w:val="00AF39B7"/>
    <w:rsid w:val="00AF39C7"/>
    <w:rsid w:val="00AF3BC6"/>
    <w:rsid w:val="00AF3C7B"/>
    <w:rsid w:val="00AF4041"/>
    <w:rsid w:val="00AF40D9"/>
    <w:rsid w:val="00AF416C"/>
    <w:rsid w:val="00AF431A"/>
    <w:rsid w:val="00AF44A5"/>
    <w:rsid w:val="00AF4A2B"/>
    <w:rsid w:val="00AF4F00"/>
    <w:rsid w:val="00AF517C"/>
    <w:rsid w:val="00AF5235"/>
    <w:rsid w:val="00AF534C"/>
    <w:rsid w:val="00AF54E4"/>
    <w:rsid w:val="00AF5854"/>
    <w:rsid w:val="00AF5C07"/>
    <w:rsid w:val="00AF6130"/>
    <w:rsid w:val="00AF62B7"/>
    <w:rsid w:val="00AF647D"/>
    <w:rsid w:val="00AF68DB"/>
    <w:rsid w:val="00AF6987"/>
    <w:rsid w:val="00AF69AB"/>
    <w:rsid w:val="00AF6DEA"/>
    <w:rsid w:val="00AF71F5"/>
    <w:rsid w:val="00AF7B07"/>
    <w:rsid w:val="00AF7BB3"/>
    <w:rsid w:val="00B00571"/>
    <w:rsid w:val="00B010D3"/>
    <w:rsid w:val="00B011D3"/>
    <w:rsid w:val="00B0141C"/>
    <w:rsid w:val="00B01522"/>
    <w:rsid w:val="00B01ABE"/>
    <w:rsid w:val="00B01BF6"/>
    <w:rsid w:val="00B01D25"/>
    <w:rsid w:val="00B02197"/>
    <w:rsid w:val="00B02245"/>
    <w:rsid w:val="00B02975"/>
    <w:rsid w:val="00B02B4C"/>
    <w:rsid w:val="00B0332B"/>
    <w:rsid w:val="00B03592"/>
    <w:rsid w:val="00B037E7"/>
    <w:rsid w:val="00B03A05"/>
    <w:rsid w:val="00B03BF2"/>
    <w:rsid w:val="00B03BFA"/>
    <w:rsid w:val="00B03C06"/>
    <w:rsid w:val="00B04105"/>
    <w:rsid w:val="00B04EDD"/>
    <w:rsid w:val="00B05019"/>
    <w:rsid w:val="00B0505A"/>
    <w:rsid w:val="00B050BF"/>
    <w:rsid w:val="00B05345"/>
    <w:rsid w:val="00B05440"/>
    <w:rsid w:val="00B05597"/>
    <w:rsid w:val="00B058E9"/>
    <w:rsid w:val="00B05948"/>
    <w:rsid w:val="00B05C38"/>
    <w:rsid w:val="00B06735"/>
    <w:rsid w:val="00B06B70"/>
    <w:rsid w:val="00B06CD5"/>
    <w:rsid w:val="00B06DC6"/>
    <w:rsid w:val="00B06ED2"/>
    <w:rsid w:val="00B070C3"/>
    <w:rsid w:val="00B07D85"/>
    <w:rsid w:val="00B07DAF"/>
    <w:rsid w:val="00B07FC0"/>
    <w:rsid w:val="00B07FF4"/>
    <w:rsid w:val="00B1028E"/>
    <w:rsid w:val="00B102B0"/>
    <w:rsid w:val="00B1060B"/>
    <w:rsid w:val="00B10846"/>
    <w:rsid w:val="00B10941"/>
    <w:rsid w:val="00B10CE5"/>
    <w:rsid w:val="00B10CEF"/>
    <w:rsid w:val="00B110A2"/>
    <w:rsid w:val="00B11349"/>
    <w:rsid w:val="00B1164E"/>
    <w:rsid w:val="00B116A7"/>
    <w:rsid w:val="00B1190A"/>
    <w:rsid w:val="00B11CD0"/>
    <w:rsid w:val="00B11CE0"/>
    <w:rsid w:val="00B12209"/>
    <w:rsid w:val="00B12414"/>
    <w:rsid w:val="00B124C9"/>
    <w:rsid w:val="00B12916"/>
    <w:rsid w:val="00B12A55"/>
    <w:rsid w:val="00B12BAD"/>
    <w:rsid w:val="00B12D38"/>
    <w:rsid w:val="00B12D69"/>
    <w:rsid w:val="00B12DAA"/>
    <w:rsid w:val="00B12FC0"/>
    <w:rsid w:val="00B131B7"/>
    <w:rsid w:val="00B139A9"/>
    <w:rsid w:val="00B13B33"/>
    <w:rsid w:val="00B13F46"/>
    <w:rsid w:val="00B142B0"/>
    <w:rsid w:val="00B14367"/>
    <w:rsid w:val="00B1448D"/>
    <w:rsid w:val="00B152CD"/>
    <w:rsid w:val="00B15572"/>
    <w:rsid w:val="00B15580"/>
    <w:rsid w:val="00B15E25"/>
    <w:rsid w:val="00B16023"/>
    <w:rsid w:val="00B161C5"/>
    <w:rsid w:val="00B1669B"/>
    <w:rsid w:val="00B1684C"/>
    <w:rsid w:val="00B16F7D"/>
    <w:rsid w:val="00B177B7"/>
    <w:rsid w:val="00B17861"/>
    <w:rsid w:val="00B178D4"/>
    <w:rsid w:val="00B17B8E"/>
    <w:rsid w:val="00B17F8C"/>
    <w:rsid w:val="00B17FFB"/>
    <w:rsid w:val="00B203D8"/>
    <w:rsid w:val="00B20580"/>
    <w:rsid w:val="00B20B2F"/>
    <w:rsid w:val="00B20C52"/>
    <w:rsid w:val="00B20DFD"/>
    <w:rsid w:val="00B20F26"/>
    <w:rsid w:val="00B212E3"/>
    <w:rsid w:val="00B217D8"/>
    <w:rsid w:val="00B2190E"/>
    <w:rsid w:val="00B21A0E"/>
    <w:rsid w:val="00B21E0F"/>
    <w:rsid w:val="00B21E66"/>
    <w:rsid w:val="00B2200A"/>
    <w:rsid w:val="00B2221F"/>
    <w:rsid w:val="00B22378"/>
    <w:rsid w:val="00B229E2"/>
    <w:rsid w:val="00B22B0D"/>
    <w:rsid w:val="00B230F3"/>
    <w:rsid w:val="00B231C8"/>
    <w:rsid w:val="00B23493"/>
    <w:rsid w:val="00B23646"/>
    <w:rsid w:val="00B23980"/>
    <w:rsid w:val="00B23988"/>
    <w:rsid w:val="00B239E5"/>
    <w:rsid w:val="00B23D19"/>
    <w:rsid w:val="00B2412D"/>
    <w:rsid w:val="00B24646"/>
    <w:rsid w:val="00B24792"/>
    <w:rsid w:val="00B24993"/>
    <w:rsid w:val="00B24AB6"/>
    <w:rsid w:val="00B253E8"/>
    <w:rsid w:val="00B25582"/>
    <w:rsid w:val="00B255B5"/>
    <w:rsid w:val="00B25844"/>
    <w:rsid w:val="00B25B2B"/>
    <w:rsid w:val="00B2630B"/>
    <w:rsid w:val="00B2638A"/>
    <w:rsid w:val="00B263F3"/>
    <w:rsid w:val="00B26543"/>
    <w:rsid w:val="00B26568"/>
    <w:rsid w:val="00B267BF"/>
    <w:rsid w:val="00B26931"/>
    <w:rsid w:val="00B26B65"/>
    <w:rsid w:val="00B26C9B"/>
    <w:rsid w:val="00B26D0A"/>
    <w:rsid w:val="00B26E6F"/>
    <w:rsid w:val="00B26EBE"/>
    <w:rsid w:val="00B27397"/>
    <w:rsid w:val="00B27461"/>
    <w:rsid w:val="00B27B0B"/>
    <w:rsid w:val="00B27EB8"/>
    <w:rsid w:val="00B3008D"/>
    <w:rsid w:val="00B3039C"/>
    <w:rsid w:val="00B30602"/>
    <w:rsid w:val="00B306E1"/>
    <w:rsid w:val="00B3091D"/>
    <w:rsid w:val="00B30A80"/>
    <w:rsid w:val="00B30DAF"/>
    <w:rsid w:val="00B31488"/>
    <w:rsid w:val="00B316AD"/>
    <w:rsid w:val="00B319BB"/>
    <w:rsid w:val="00B31A30"/>
    <w:rsid w:val="00B31BCE"/>
    <w:rsid w:val="00B31C15"/>
    <w:rsid w:val="00B32513"/>
    <w:rsid w:val="00B32705"/>
    <w:rsid w:val="00B3276F"/>
    <w:rsid w:val="00B32989"/>
    <w:rsid w:val="00B32A42"/>
    <w:rsid w:val="00B32D77"/>
    <w:rsid w:val="00B33396"/>
    <w:rsid w:val="00B33626"/>
    <w:rsid w:val="00B3378D"/>
    <w:rsid w:val="00B337F1"/>
    <w:rsid w:val="00B339D0"/>
    <w:rsid w:val="00B33A6E"/>
    <w:rsid w:val="00B33EAD"/>
    <w:rsid w:val="00B34136"/>
    <w:rsid w:val="00B347DD"/>
    <w:rsid w:val="00B34801"/>
    <w:rsid w:val="00B349ED"/>
    <w:rsid w:val="00B34A70"/>
    <w:rsid w:val="00B34C2B"/>
    <w:rsid w:val="00B34CEE"/>
    <w:rsid w:val="00B34D02"/>
    <w:rsid w:val="00B34F0B"/>
    <w:rsid w:val="00B35184"/>
    <w:rsid w:val="00B35330"/>
    <w:rsid w:val="00B35353"/>
    <w:rsid w:val="00B3556B"/>
    <w:rsid w:val="00B35671"/>
    <w:rsid w:val="00B35E8C"/>
    <w:rsid w:val="00B361AA"/>
    <w:rsid w:val="00B367EC"/>
    <w:rsid w:val="00B36926"/>
    <w:rsid w:val="00B36968"/>
    <w:rsid w:val="00B36CF3"/>
    <w:rsid w:val="00B37062"/>
    <w:rsid w:val="00B370BB"/>
    <w:rsid w:val="00B37205"/>
    <w:rsid w:val="00B3727A"/>
    <w:rsid w:val="00B37355"/>
    <w:rsid w:val="00B3765C"/>
    <w:rsid w:val="00B3777D"/>
    <w:rsid w:val="00B37A87"/>
    <w:rsid w:val="00B37C59"/>
    <w:rsid w:val="00B37E5F"/>
    <w:rsid w:val="00B37F17"/>
    <w:rsid w:val="00B40370"/>
    <w:rsid w:val="00B40792"/>
    <w:rsid w:val="00B407C7"/>
    <w:rsid w:val="00B408D3"/>
    <w:rsid w:val="00B40EEC"/>
    <w:rsid w:val="00B40F5B"/>
    <w:rsid w:val="00B40FA9"/>
    <w:rsid w:val="00B41136"/>
    <w:rsid w:val="00B4119A"/>
    <w:rsid w:val="00B413A6"/>
    <w:rsid w:val="00B413C5"/>
    <w:rsid w:val="00B41624"/>
    <w:rsid w:val="00B41E67"/>
    <w:rsid w:val="00B42362"/>
    <w:rsid w:val="00B423B4"/>
    <w:rsid w:val="00B42417"/>
    <w:rsid w:val="00B424B0"/>
    <w:rsid w:val="00B425BA"/>
    <w:rsid w:val="00B4273F"/>
    <w:rsid w:val="00B4283B"/>
    <w:rsid w:val="00B4284C"/>
    <w:rsid w:val="00B42C72"/>
    <w:rsid w:val="00B42C8C"/>
    <w:rsid w:val="00B43039"/>
    <w:rsid w:val="00B430AE"/>
    <w:rsid w:val="00B430EE"/>
    <w:rsid w:val="00B4368C"/>
    <w:rsid w:val="00B43A5A"/>
    <w:rsid w:val="00B43FB2"/>
    <w:rsid w:val="00B43FFE"/>
    <w:rsid w:val="00B441B9"/>
    <w:rsid w:val="00B444B1"/>
    <w:rsid w:val="00B44928"/>
    <w:rsid w:val="00B44BD4"/>
    <w:rsid w:val="00B44CC5"/>
    <w:rsid w:val="00B44DE6"/>
    <w:rsid w:val="00B44F9A"/>
    <w:rsid w:val="00B45672"/>
    <w:rsid w:val="00B457DB"/>
    <w:rsid w:val="00B45927"/>
    <w:rsid w:val="00B45980"/>
    <w:rsid w:val="00B45BC5"/>
    <w:rsid w:val="00B45EAE"/>
    <w:rsid w:val="00B46230"/>
    <w:rsid w:val="00B4623E"/>
    <w:rsid w:val="00B4625D"/>
    <w:rsid w:val="00B46482"/>
    <w:rsid w:val="00B46A69"/>
    <w:rsid w:val="00B46C38"/>
    <w:rsid w:val="00B46FE0"/>
    <w:rsid w:val="00B47194"/>
    <w:rsid w:val="00B4790A"/>
    <w:rsid w:val="00B47956"/>
    <w:rsid w:val="00B47A42"/>
    <w:rsid w:val="00B47C5D"/>
    <w:rsid w:val="00B47C99"/>
    <w:rsid w:val="00B47D0F"/>
    <w:rsid w:val="00B47E1F"/>
    <w:rsid w:val="00B47FA3"/>
    <w:rsid w:val="00B5002C"/>
    <w:rsid w:val="00B50075"/>
    <w:rsid w:val="00B50169"/>
    <w:rsid w:val="00B501E3"/>
    <w:rsid w:val="00B50603"/>
    <w:rsid w:val="00B5063A"/>
    <w:rsid w:val="00B50BC6"/>
    <w:rsid w:val="00B50C37"/>
    <w:rsid w:val="00B50F33"/>
    <w:rsid w:val="00B51041"/>
    <w:rsid w:val="00B510DA"/>
    <w:rsid w:val="00B51232"/>
    <w:rsid w:val="00B51A58"/>
    <w:rsid w:val="00B51D19"/>
    <w:rsid w:val="00B51D36"/>
    <w:rsid w:val="00B51EE5"/>
    <w:rsid w:val="00B51EEB"/>
    <w:rsid w:val="00B5207D"/>
    <w:rsid w:val="00B5225C"/>
    <w:rsid w:val="00B5266F"/>
    <w:rsid w:val="00B527FC"/>
    <w:rsid w:val="00B52DF3"/>
    <w:rsid w:val="00B532BE"/>
    <w:rsid w:val="00B5338C"/>
    <w:rsid w:val="00B5347F"/>
    <w:rsid w:val="00B534B6"/>
    <w:rsid w:val="00B53D3F"/>
    <w:rsid w:val="00B53F5A"/>
    <w:rsid w:val="00B5461E"/>
    <w:rsid w:val="00B5495E"/>
    <w:rsid w:val="00B54C80"/>
    <w:rsid w:val="00B54CDE"/>
    <w:rsid w:val="00B54E45"/>
    <w:rsid w:val="00B55020"/>
    <w:rsid w:val="00B55779"/>
    <w:rsid w:val="00B55847"/>
    <w:rsid w:val="00B55DBC"/>
    <w:rsid w:val="00B55E15"/>
    <w:rsid w:val="00B55E3E"/>
    <w:rsid w:val="00B55E65"/>
    <w:rsid w:val="00B561D8"/>
    <w:rsid w:val="00B566B8"/>
    <w:rsid w:val="00B56748"/>
    <w:rsid w:val="00B5683A"/>
    <w:rsid w:val="00B569A3"/>
    <w:rsid w:val="00B56A79"/>
    <w:rsid w:val="00B56DB2"/>
    <w:rsid w:val="00B56F5A"/>
    <w:rsid w:val="00B57089"/>
    <w:rsid w:val="00B57461"/>
    <w:rsid w:val="00B5749B"/>
    <w:rsid w:val="00B6029A"/>
    <w:rsid w:val="00B60333"/>
    <w:rsid w:val="00B60629"/>
    <w:rsid w:val="00B60A54"/>
    <w:rsid w:val="00B60BF1"/>
    <w:rsid w:val="00B60CF8"/>
    <w:rsid w:val="00B60F61"/>
    <w:rsid w:val="00B61071"/>
    <w:rsid w:val="00B61107"/>
    <w:rsid w:val="00B6170B"/>
    <w:rsid w:val="00B61A94"/>
    <w:rsid w:val="00B61AB2"/>
    <w:rsid w:val="00B61D01"/>
    <w:rsid w:val="00B61E21"/>
    <w:rsid w:val="00B6206E"/>
    <w:rsid w:val="00B62227"/>
    <w:rsid w:val="00B623BE"/>
    <w:rsid w:val="00B62585"/>
    <w:rsid w:val="00B62784"/>
    <w:rsid w:val="00B629E2"/>
    <w:rsid w:val="00B62B14"/>
    <w:rsid w:val="00B62BF1"/>
    <w:rsid w:val="00B62FE5"/>
    <w:rsid w:val="00B631E2"/>
    <w:rsid w:val="00B6345B"/>
    <w:rsid w:val="00B634F0"/>
    <w:rsid w:val="00B63553"/>
    <w:rsid w:val="00B637AB"/>
    <w:rsid w:val="00B638FB"/>
    <w:rsid w:val="00B63CA5"/>
    <w:rsid w:val="00B63D0E"/>
    <w:rsid w:val="00B640FC"/>
    <w:rsid w:val="00B6417F"/>
    <w:rsid w:val="00B64243"/>
    <w:rsid w:val="00B64B47"/>
    <w:rsid w:val="00B64E33"/>
    <w:rsid w:val="00B65360"/>
    <w:rsid w:val="00B65D36"/>
    <w:rsid w:val="00B66194"/>
    <w:rsid w:val="00B6620C"/>
    <w:rsid w:val="00B66386"/>
    <w:rsid w:val="00B6643F"/>
    <w:rsid w:val="00B66C2C"/>
    <w:rsid w:val="00B67353"/>
    <w:rsid w:val="00B67791"/>
    <w:rsid w:val="00B67FE3"/>
    <w:rsid w:val="00B70126"/>
    <w:rsid w:val="00B70283"/>
    <w:rsid w:val="00B7031D"/>
    <w:rsid w:val="00B7044D"/>
    <w:rsid w:val="00B70634"/>
    <w:rsid w:val="00B70E76"/>
    <w:rsid w:val="00B71105"/>
    <w:rsid w:val="00B71350"/>
    <w:rsid w:val="00B71454"/>
    <w:rsid w:val="00B71707"/>
    <w:rsid w:val="00B719DB"/>
    <w:rsid w:val="00B71CB0"/>
    <w:rsid w:val="00B71EC5"/>
    <w:rsid w:val="00B71F7D"/>
    <w:rsid w:val="00B722DE"/>
    <w:rsid w:val="00B72711"/>
    <w:rsid w:val="00B72863"/>
    <w:rsid w:val="00B729C7"/>
    <w:rsid w:val="00B72ADE"/>
    <w:rsid w:val="00B72B6C"/>
    <w:rsid w:val="00B72C2D"/>
    <w:rsid w:val="00B72DC3"/>
    <w:rsid w:val="00B72DC5"/>
    <w:rsid w:val="00B72F05"/>
    <w:rsid w:val="00B73374"/>
    <w:rsid w:val="00B73596"/>
    <w:rsid w:val="00B7378E"/>
    <w:rsid w:val="00B73807"/>
    <w:rsid w:val="00B73B18"/>
    <w:rsid w:val="00B73DD1"/>
    <w:rsid w:val="00B73EBE"/>
    <w:rsid w:val="00B745A5"/>
    <w:rsid w:val="00B748F1"/>
    <w:rsid w:val="00B74BEF"/>
    <w:rsid w:val="00B74C2D"/>
    <w:rsid w:val="00B74FE6"/>
    <w:rsid w:val="00B7563E"/>
    <w:rsid w:val="00B757BC"/>
    <w:rsid w:val="00B7585F"/>
    <w:rsid w:val="00B75B88"/>
    <w:rsid w:val="00B75E6B"/>
    <w:rsid w:val="00B75EF0"/>
    <w:rsid w:val="00B76004"/>
    <w:rsid w:val="00B7607A"/>
    <w:rsid w:val="00B76144"/>
    <w:rsid w:val="00B7618F"/>
    <w:rsid w:val="00B76218"/>
    <w:rsid w:val="00B76D4C"/>
    <w:rsid w:val="00B76F30"/>
    <w:rsid w:val="00B76FC9"/>
    <w:rsid w:val="00B771ED"/>
    <w:rsid w:val="00B7749B"/>
    <w:rsid w:val="00B7781E"/>
    <w:rsid w:val="00B77880"/>
    <w:rsid w:val="00B778AD"/>
    <w:rsid w:val="00B77D22"/>
    <w:rsid w:val="00B77D28"/>
    <w:rsid w:val="00B8012A"/>
    <w:rsid w:val="00B8028B"/>
    <w:rsid w:val="00B804AF"/>
    <w:rsid w:val="00B8054D"/>
    <w:rsid w:val="00B805F1"/>
    <w:rsid w:val="00B80608"/>
    <w:rsid w:val="00B80740"/>
    <w:rsid w:val="00B80798"/>
    <w:rsid w:val="00B80C43"/>
    <w:rsid w:val="00B81059"/>
    <w:rsid w:val="00B810B8"/>
    <w:rsid w:val="00B813CA"/>
    <w:rsid w:val="00B81444"/>
    <w:rsid w:val="00B81BBA"/>
    <w:rsid w:val="00B81D77"/>
    <w:rsid w:val="00B81E28"/>
    <w:rsid w:val="00B81EFD"/>
    <w:rsid w:val="00B81F09"/>
    <w:rsid w:val="00B8255A"/>
    <w:rsid w:val="00B825D1"/>
    <w:rsid w:val="00B82D16"/>
    <w:rsid w:val="00B82E7E"/>
    <w:rsid w:val="00B82F82"/>
    <w:rsid w:val="00B8310F"/>
    <w:rsid w:val="00B83288"/>
    <w:rsid w:val="00B83480"/>
    <w:rsid w:val="00B84074"/>
    <w:rsid w:val="00B84394"/>
    <w:rsid w:val="00B84483"/>
    <w:rsid w:val="00B844FA"/>
    <w:rsid w:val="00B8477A"/>
    <w:rsid w:val="00B848B2"/>
    <w:rsid w:val="00B84900"/>
    <w:rsid w:val="00B84917"/>
    <w:rsid w:val="00B84A76"/>
    <w:rsid w:val="00B84B62"/>
    <w:rsid w:val="00B84DB5"/>
    <w:rsid w:val="00B84E75"/>
    <w:rsid w:val="00B84ECE"/>
    <w:rsid w:val="00B84FA0"/>
    <w:rsid w:val="00B85285"/>
    <w:rsid w:val="00B852AB"/>
    <w:rsid w:val="00B8572B"/>
    <w:rsid w:val="00B85C39"/>
    <w:rsid w:val="00B85FC2"/>
    <w:rsid w:val="00B8624A"/>
    <w:rsid w:val="00B863F7"/>
    <w:rsid w:val="00B86502"/>
    <w:rsid w:val="00B86EDA"/>
    <w:rsid w:val="00B87067"/>
    <w:rsid w:val="00B87146"/>
    <w:rsid w:val="00B87399"/>
    <w:rsid w:val="00B8756F"/>
    <w:rsid w:val="00B87887"/>
    <w:rsid w:val="00B87CA0"/>
    <w:rsid w:val="00B9005D"/>
    <w:rsid w:val="00B90099"/>
    <w:rsid w:val="00B900D0"/>
    <w:rsid w:val="00B902B8"/>
    <w:rsid w:val="00B902F7"/>
    <w:rsid w:val="00B90310"/>
    <w:rsid w:val="00B9032B"/>
    <w:rsid w:val="00B906DA"/>
    <w:rsid w:val="00B907FA"/>
    <w:rsid w:val="00B90FC9"/>
    <w:rsid w:val="00B9123A"/>
    <w:rsid w:val="00B91A03"/>
    <w:rsid w:val="00B91D41"/>
    <w:rsid w:val="00B91DBB"/>
    <w:rsid w:val="00B91FB1"/>
    <w:rsid w:val="00B9219D"/>
    <w:rsid w:val="00B9246A"/>
    <w:rsid w:val="00B924D9"/>
    <w:rsid w:val="00B926B1"/>
    <w:rsid w:val="00B92992"/>
    <w:rsid w:val="00B92AF4"/>
    <w:rsid w:val="00B92B92"/>
    <w:rsid w:val="00B92D98"/>
    <w:rsid w:val="00B92E35"/>
    <w:rsid w:val="00B93064"/>
    <w:rsid w:val="00B9354C"/>
    <w:rsid w:val="00B9375E"/>
    <w:rsid w:val="00B93D4D"/>
    <w:rsid w:val="00B93DA5"/>
    <w:rsid w:val="00B93E7B"/>
    <w:rsid w:val="00B93EE6"/>
    <w:rsid w:val="00B9429F"/>
    <w:rsid w:val="00B943E3"/>
    <w:rsid w:val="00B9489F"/>
    <w:rsid w:val="00B9494E"/>
    <w:rsid w:val="00B9496A"/>
    <w:rsid w:val="00B95001"/>
    <w:rsid w:val="00B95371"/>
    <w:rsid w:val="00B9567E"/>
    <w:rsid w:val="00B95792"/>
    <w:rsid w:val="00B95824"/>
    <w:rsid w:val="00B95A9F"/>
    <w:rsid w:val="00B95F0F"/>
    <w:rsid w:val="00B96004"/>
    <w:rsid w:val="00B963AD"/>
    <w:rsid w:val="00B96562"/>
    <w:rsid w:val="00B96666"/>
    <w:rsid w:val="00B96884"/>
    <w:rsid w:val="00B968E9"/>
    <w:rsid w:val="00B96AD9"/>
    <w:rsid w:val="00B96AF6"/>
    <w:rsid w:val="00B96E3B"/>
    <w:rsid w:val="00B96F85"/>
    <w:rsid w:val="00B975B8"/>
    <w:rsid w:val="00B975BD"/>
    <w:rsid w:val="00B9775E"/>
    <w:rsid w:val="00B977DA"/>
    <w:rsid w:val="00B97CC2"/>
    <w:rsid w:val="00BA0190"/>
    <w:rsid w:val="00BA01A2"/>
    <w:rsid w:val="00BA03BF"/>
    <w:rsid w:val="00BA03EF"/>
    <w:rsid w:val="00BA0499"/>
    <w:rsid w:val="00BA057E"/>
    <w:rsid w:val="00BA05AA"/>
    <w:rsid w:val="00BA0682"/>
    <w:rsid w:val="00BA0725"/>
    <w:rsid w:val="00BA0822"/>
    <w:rsid w:val="00BA0AF6"/>
    <w:rsid w:val="00BA1432"/>
    <w:rsid w:val="00BA1498"/>
    <w:rsid w:val="00BA168D"/>
    <w:rsid w:val="00BA181D"/>
    <w:rsid w:val="00BA1903"/>
    <w:rsid w:val="00BA1C13"/>
    <w:rsid w:val="00BA1DC2"/>
    <w:rsid w:val="00BA1E72"/>
    <w:rsid w:val="00BA1EFA"/>
    <w:rsid w:val="00BA229C"/>
    <w:rsid w:val="00BA2D12"/>
    <w:rsid w:val="00BA2E7E"/>
    <w:rsid w:val="00BA2F29"/>
    <w:rsid w:val="00BA301A"/>
    <w:rsid w:val="00BA3861"/>
    <w:rsid w:val="00BA39EF"/>
    <w:rsid w:val="00BA3D0B"/>
    <w:rsid w:val="00BA3FE5"/>
    <w:rsid w:val="00BA4037"/>
    <w:rsid w:val="00BA409C"/>
    <w:rsid w:val="00BA427B"/>
    <w:rsid w:val="00BA45C8"/>
    <w:rsid w:val="00BA47FA"/>
    <w:rsid w:val="00BA51C8"/>
    <w:rsid w:val="00BA5211"/>
    <w:rsid w:val="00BA5A29"/>
    <w:rsid w:val="00BA5DC8"/>
    <w:rsid w:val="00BA5E3A"/>
    <w:rsid w:val="00BA5F4A"/>
    <w:rsid w:val="00BA6046"/>
    <w:rsid w:val="00BA61DD"/>
    <w:rsid w:val="00BA64C6"/>
    <w:rsid w:val="00BA6806"/>
    <w:rsid w:val="00BA70C6"/>
    <w:rsid w:val="00BA7235"/>
    <w:rsid w:val="00BA75D8"/>
    <w:rsid w:val="00BA7685"/>
    <w:rsid w:val="00BA7C22"/>
    <w:rsid w:val="00BA7CB2"/>
    <w:rsid w:val="00BA7CD4"/>
    <w:rsid w:val="00BA7ED2"/>
    <w:rsid w:val="00BA7EDB"/>
    <w:rsid w:val="00BA7EED"/>
    <w:rsid w:val="00BB009F"/>
    <w:rsid w:val="00BB0143"/>
    <w:rsid w:val="00BB02B7"/>
    <w:rsid w:val="00BB02BE"/>
    <w:rsid w:val="00BB02C1"/>
    <w:rsid w:val="00BB04E6"/>
    <w:rsid w:val="00BB04F4"/>
    <w:rsid w:val="00BB0B1D"/>
    <w:rsid w:val="00BB0CC9"/>
    <w:rsid w:val="00BB0CCB"/>
    <w:rsid w:val="00BB0E1E"/>
    <w:rsid w:val="00BB0F46"/>
    <w:rsid w:val="00BB11D2"/>
    <w:rsid w:val="00BB1346"/>
    <w:rsid w:val="00BB1355"/>
    <w:rsid w:val="00BB1367"/>
    <w:rsid w:val="00BB1CE4"/>
    <w:rsid w:val="00BB1D33"/>
    <w:rsid w:val="00BB1F94"/>
    <w:rsid w:val="00BB1FCF"/>
    <w:rsid w:val="00BB26C6"/>
    <w:rsid w:val="00BB2BBE"/>
    <w:rsid w:val="00BB2BC5"/>
    <w:rsid w:val="00BB2C9B"/>
    <w:rsid w:val="00BB309A"/>
    <w:rsid w:val="00BB3158"/>
    <w:rsid w:val="00BB345C"/>
    <w:rsid w:val="00BB382E"/>
    <w:rsid w:val="00BB3B5E"/>
    <w:rsid w:val="00BB3BE5"/>
    <w:rsid w:val="00BB3C20"/>
    <w:rsid w:val="00BB4605"/>
    <w:rsid w:val="00BB48CB"/>
    <w:rsid w:val="00BB4B2A"/>
    <w:rsid w:val="00BB4B4D"/>
    <w:rsid w:val="00BB51E6"/>
    <w:rsid w:val="00BB542E"/>
    <w:rsid w:val="00BB5762"/>
    <w:rsid w:val="00BB5818"/>
    <w:rsid w:val="00BB5960"/>
    <w:rsid w:val="00BB61DE"/>
    <w:rsid w:val="00BB62A3"/>
    <w:rsid w:val="00BB63C5"/>
    <w:rsid w:val="00BB65A9"/>
    <w:rsid w:val="00BB66D4"/>
    <w:rsid w:val="00BB67A7"/>
    <w:rsid w:val="00BB680F"/>
    <w:rsid w:val="00BB696C"/>
    <w:rsid w:val="00BB6A92"/>
    <w:rsid w:val="00BB6B24"/>
    <w:rsid w:val="00BB6B5B"/>
    <w:rsid w:val="00BB6B73"/>
    <w:rsid w:val="00BB6B7E"/>
    <w:rsid w:val="00BB7169"/>
    <w:rsid w:val="00BB7215"/>
    <w:rsid w:val="00BB7453"/>
    <w:rsid w:val="00BB76F0"/>
    <w:rsid w:val="00BB7897"/>
    <w:rsid w:val="00BC098F"/>
    <w:rsid w:val="00BC09E6"/>
    <w:rsid w:val="00BC0AEB"/>
    <w:rsid w:val="00BC149C"/>
    <w:rsid w:val="00BC1690"/>
    <w:rsid w:val="00BC1704"/>
    <w:rsid w:val="00BC1B8F"/>
    <w:rsid w:val="00BC1C0E"/>
    <w:rsid w:val="00BC1E52"/>
    <w:rsid w:val="00BC1F00"/>
    <w:rsid w:val="00BC2492"/>
    <w:rsid w:val="00BC2584"/>
    <w:rsid w:val="00BC25A0"/>
    <w:rsid w:val="00BC270C"/>
    <w:rsid w:val="00BC2750"/>
    <w:rsid w:val="00BC2A6C"/>
    <w:rsid w:val="00BC2C54"/>
    <w:rsid w:val="00BC2D4B"/>
    <w:rsid w:val="00BC2DAE"/>
    <w:rsid w:val="00BC348F"/>
    <w:rsid w:val="00BC3832"/>
    <w:rsid w:val="00BC3834"/>
    <w:rsid w:val="00BC38BB"/>
    <w:rsid w:val="00BC3938"/>
    <w:rsid w:val="00BC40F5"/>
    <w:rsid w:val="00BC41EC"/>
    <w:rsid w:val="00BC4463"/>
    <w:rsid w:val="00BC4523"/>
    <w:rsid w:val="00BC4667"/>
    <w:rsid w:val="00BC4A49"/>
    <w:rsid w:val="00BC4D27"/>
    <w:rsid w:val="00BC4DFF"/>
    <w:rsid w:val="00BC4EB3"/>
    <w:rsid w:val="00BC4FF0"/>
    <w:rsid w:val="00BC5351"/>
    <w:rsid w:val="00BC539E"/>
    <w:rsid w:val="00BC552C"/>
    <w:rsid w:val="00BC5559"/>
    <w:rsid w:val="00BC5777"/>
    <w:rsid w:val="00BC587D"/>
    <w:rsid w:val="00BC58DD"/>
    <w:rsid w:val="00BC5B69"/>
    <w:rsid w:val="00BC5C14"/>
    <w:rsid w:val="00BC5DA9"/>
    <w:rsid w:val="00BC6588"/>
    <w:rsid w:val="00BC67AA"/>
    <w:rsid w:val="00BC690A"/>
    <w:rsid w:val="00BC6960"/>
    <w:rsid w:val="00BC6C27"/>
    <w:rsid w:val="00BC70F7"/>
    <w:rsid w:val="00BC7240"/>
    <w:rsid w:val="00BC72E4"/>
    <w:rsid w:val="00BC748D"/>
    <w:rsid w:val="00BC7AA1"/>
    <w:rsid w:val="00BC7BB3"/>
    <w:rsid w:val="00BC7DA4"/>
    <w:rsid w:val="00BD06C1"/>
    <w:rsid w:val="00BD06DB"/>
    <w:rsid w:val="00BD07BC"/>
    <w:rsid w:val="00BD0A63"/>
    <w:rsid w:val="00BD0B11"/>
    <w:rsid w:val="00BD119D"/>
    <w:rsid w:val="00BD13AB"/>
    <w:rsid w:val="00BD1488"/>
    <w:rsid w:val="00BD16A6"/>
    <w:rsid w:val="00BD1C82"/>
    <w:rsid w:val="00BD1EC1"/>
    <w:rsid w:val="00BD1FFF"/>
    <w:rsid w:val="00BD21B7"/>
    <w:rsid w:val="00BD22D2"/>
    <w:rsid w:val="00BD2986"/>
    <w:rsid w:val="00BD2DFD"/>
    <w:rsid w:val="00BD2FA4"/>
    <w:rsid w:val="00BD35CD"/>
    <w:rsid w:val="00BD3650"/>
    <w:rsid w:val="00BD4875"/>
    <w:rsid w:val="00BD4A8E"/>
    <w:rsid w:val="00BD4F18"/>
    <w:rsid w:val="00BD5013"/>
    <w:rsid w:val="00BD5103"/>
    <w:rsid w:val="00BD5317"/>
    <w:rsid w:val="00BD56AF"/>
    <w:rsid w:val="00BD5A0D"/>
    <w:rsid w:val="00BD5A42"/>
    <w:rsid w:val="00BD5A7C"/>
    <w:rsid w:val="00BD5D11"/>
    <w:rsid w:val="00BD5D5A"/>
    <w:rsid w:val="00BD60D2"/>
    <w:rsid w:val="00BD634D"/>
    <w:rsid w:val="00BD654D"/>
    <w:rsid w:val="00BD6670"/>
    <w:rsid w:val="00BD6682"/>
    <w:rsid w:val="00BD69DE"/>
    <w:rsid w:val="00BD69F7"/>
    <w:rsid w:val="00BD6A9F"/>
    <w:rsid w:val="00BD6C5D"/>
    <w:rsid w:val="00BD6DDA"/>
    <w:rsid w:val="00BD7680"/>
    <w:rsid w:val="00BD79C5"/>
    <w:rsid w:val="00BD7B1B"/>
    <w:rsid w:val="00BD7C59"/>
    <w:rsid w:val="00BD7CC8"/>
    <w:rsid w:val="00BD7FF1"/>
    <w:rsid w:val="00BE07FC"/>
    <w:rsid w:val="00BE09BB"/>
    <w:rsid w:val="00BE0C2A"/>
    <w:rsid w:val="00BE10EA"/>
    <w:rsid w:val="00BE129B"/>
    <w:rsid w:val="00BE192F"/>
    <w:rsid w:val="00BE1A3D"/>
    <w:rsid w:val="00BE1A3F"/>
    <w:rsid w:val="00BE1A43"/>
    <w:rsid w:val="00BE1C3E"/>
    <w:rsid w:val="00BE1E2F"/>
    <w:rsid w:val="00BE1F8E"/>
    <w:rsid w:val="00BE201A"/>
    <w:rsid w:val="00BE24AD"/>
    <w:rsid w:val="00BE25B8"/>
    <w:rsid w:val="00BE296F"/>
    <w:rsid w:val="00BE2B5B"/>
    <w:rsid w:val="00BE30F1"/>
    <w:rsid w:val="00BE31C1"/>
    <w:rsid w:val="00BE32FF"/>
    <w:rsid w:val="00BE33A8"/>
    <w:rsid w:val="00BE3614"/>
    <w:rsid w:val="00BE39EF"/>
    <w:rsid w:val="00BE3A8F"/>
    <w:rsid w:val="00BE3BFE"/>
    <w:rsid w:val="00BE3E34"/>
    <w:rsid w:val="00BE4146"/>
    <w:rsid w:val="00BE433C"/>
    <w:rsid w:val="00BE479E"/>
    <w:rsid w:val="00BE48F4"/>
    <w:rsid w:val="00BE49EB"/>
    <w:rsid w:val="00BE4B11"/>
    <w:rsid w:val="00BE4B75"/>
    <w:rsid w:val="00BE4BE8"/>
    <w:rsid w:val="00BE51D3"/>
    <w:rsid w:val="00BE536B"/>
    <w:rsid w:val="00BE54DC"/>
    <w:rsid w:val="00BE552A"/>
    <w:rsid w:val="00BE5A6F"/>
    <w:rsid w:val="00BE5B08"/>
    <w:rsid w:val="00BE5B51"/>
    <w:rsid w:val="00BE5DC1"/>
    <w:rsid w:val="00BE5F41"/>
    <w:rsid w:val="00BE60A0"/>
    <w:rsid w:val="00BE60CF"/>
    <w:rsid w:val="00BE61B5"/>
    <w:rsid w:val="00BE65C5"/>
    <w:rsid w:val="00BE66F2"/>
    <w:rsid w:val="00BE6831"/>
    <w:rsid w:val="00BE689B"/>
    <w:rsid w:val="00BE68FD"/>
    <w:rsid w:val="00BE6AD6"/>
    <w:rsid w:val="00BE6C20"/>
    <w:rsid w:val="00BE6E16"/>
    <w:rsid w:val="00BE72C1"/>
    <w:rsid w:val="00BE7587"/>
    <w:rsid w:val="00BE79E4"/>
    <w:rsid w:val="00BE7A4D"/>
    <w:rsid w:val="00BE7AE3"/>
    <w:rsid w:val="00BE7C85"/>
    <w:rsid w:val="00BE7CF2"/>
    <w:rsid w:val="00BF0289"/>
    <w:rsid w:val="00BF0553"/>
    <w:rsid w:val="00BF0BB1"/>
    <w:rsid w:val="00BF0CAA"/>
    <w:rsid w:val="00BF0F24"/>
    <w:rsid w:val="00BF103A"/>
    <w:rsid w:val="00BF10E9"/>
    <w:rsid w:val="00BF116F"/>
    <w:rsid w:val="00BF1661"/>
    <w:rsid w:val="00BF167C"/>
    <w:rsid w:val="00BF1808"/>
    <w:rsid w:val="00BF187A"/>
    <w:rsid w:val="00BF1A08"/>
    <w:rsid w:val="00BF1A40"/>
    <w:rsid w:val="00BF1AC8"/>
    <w:rsid w:val="00BF1D0B"/>
    <w:rsid w:val="00BF1D42"/>
    <w:rsid w:val="00BF1ED8"/>
    <w:rsid w:val="00BF24C0"/>
    <w:rsid w:val="00BF27E3"/>
    <w:rsid w:val="00BF2877"/>
    <w:rsid w:val="00BF2949"/>
    <w:rsid w:val="00BF2BBB"/>
    <w:rsid w:val="00BF2D48"/>
    <w:rsid w:val="00BF3048"/>
    <w:rsid w:val="00BF308C"/>
    <w:rsid w:val="00BF315F"/>
    <w:rsid w:val="00BF3268"/>
    <w:rsid w:val="00BF33EA"/>
    <w:rsid w:val="00BF345F"/>
    <w:rsid w:val="00BF36D5"/>
    <w:rsid w:val="00BF3A67"/>
    <w:rsid w:val="00BF3DB2"/>
    <w:rsid w:val="00BF3E42"/>
    <w:rsid w:val="00BF3FB0"/>
    <w:rsid w:val="00BF401A"/>
    <w:rsid w:val="00BF43BB"/>
    <w:rsid w:val="00BF48B3"/>
    <w:rsid w:val="00BF4D71"/>
    <w:rsid w:val="00BF4D82"/>
    <w:rsid w:val="00BF5248"/>
    <w:rsid w:val="00BF52B2"/>
    <w:rsid w:val="00BF5BFA"/>
    <w:rsid w:val="00BF5C79"/>
    <w:rsid w:val="00BF5CDC"/>
    <w:rsid w:val="00BF6173"/>
    <w:rsid w:val="00BF6234"/>
    <w:rsid w:val="00BF6AD0"/>
    <w:rsid w:val="00BF6DA5"/>
    <w:rsid w:val="00BF7040"/>
    <w:rsid w:val="00BF704D"/>
    <w:rsid w:val="00BF727C"/>
    <w:rsid w:val="00BF73D9"/>
    <w:rsid w:val="00BF757E"/>
    <w:rsid w:val="00BF76C2"/>
    <w:rsid w:val="00BF7BC2"/>
    <w:rsid w:val="00BF7EFE"/>
    <w:rsid w:val="00BF7F76"/>
    <w:rsid w:val="00C00489"/>
    <w:rsid w:val="00C00A87"/>
    <w:rsid w:val="00C00B17"/>
    <w:rsid w:val="00C014CE"/>
    <w:rsid w:val="00C014E8"/>
    <w:rsid w:val="00C015A5"/>
    <w:rsid w:val="00C016CA"/>
    <w:rsid w:val="00C017E0"/>
    <w:rsid w:val="00C020B0"/>
    <w:rsid w:val="00C024DF"/>
    <w:rsid w:val="00C025FD"/>
    <w:rsid w:val="00C027CB"/>
    <w:rsid w:val="00C029E9"/>
    <w:rsid w:val="00C02C97"/>
    <w:rsid w:val="00C02CD7"/>
    <w:rsid w:val="00C03064"/>
    <w:rsid w:val="00C035BD"/>
    <w:rsid w:val="00C03718"/>
    <w:rsid w:val="00C03AF5"/>
    <w:rsid w:val="00C03C27"/>
    <w:rsid w:val="00C03F96"/>
    <w:rsid w:val="00C040E3"/>
    <w:rsid w:val="00C044F0"/>
    <w:rsid w:val="00C046C4"/>
    <w:rsid w:val="00C049E2"/>
    <w:rsid w:val="00C04B0D"/>
    <w:rsid w:val="00C04B88"/>
    <w:rsid w:val="00C04CB6"/>
    <w:rsid w:val="00C05109"/>
    <w:rsid w:val="00C05257"/>
    <w:rsid w:val="00C055B6"/>
    <w:rsid w:val="00C05681"/>
    <w:rsid w:val="00C05B99"/>
    <w:rsid w:val="00C05FF2"/>
    <w:rsid w:val="00C0647A"/>
    <w:rsid w:val="00C06537"/>
    <w:rsid w:val="00C065E9"/>
    <w:rsid w:val="00C06756"/>
    <w:rsid w:val="00C06A94"/>
    <w:rsid w:val="00C06AEB"/>
    <w:rsid w:val="00C06BCD"/>
    <w:rsid w:val="00C06D43"/>
    <w:rsid w:val="00C07108"/>
    <w:rsid w:val="00C0734F"/>
    <w:rsid w:val="00C074F9"/>
    <w:rsid w:val="00C07505"/>
    <w:rsid w:val="00C07581"/>
    <w:rsid w:val="00C07C09"/>
    <w:rsid w:val="00C07CED"/>
    <w:rsid w:val="00C07F73"/>
    <w:rsid w:val="00C10342"/>
    <w:rsid w:val="00C104D1"/>
    <w:rsid w:val="00C106C2"/>
    <w:rsid w:val="00C107A9"/>
    <w:rsid w:val="00C1083B"/>
    <w:rsid w:val="00C10957"/>
    <w:rsid w:val="00C10B3B"/>
    <w:rsid w:val="00C10CB4"/>
    <w:rsid w:val="00C10DED"/>
    <w:rsid w:val="00C11036"/>
    <w:rsid w:val="00C113E5"/>
    <w:rsid w:val="00C11689"/>
    <w:rsid w:val="00C116B1"/>
    <w:rsid w:val="00C11DF6"/>
    <w:rsid w:val="00C11E90"/>
    <w:rsid w:val="00C11EBA"/>
    <w:rsid w:val="00C12036"/>
    <w:rsid w:val="00C1266A"/>
    <w:rsid w:val="00C127C0"/>
    <w:rsid w:val="00C12B6F"/>
    <w:rsid w:val="00C12D1C"/>
    <w:rsid w:val="00C12D60"/>
    <w:rsid w:val="00C13107"/>
    <w:rsid w:val="00C131A1"/>
    <w:rsid w:val="00C13234"/>
    <w:rsid w:val="00C13452"/>
    <w:rsid w:val="00C136FA"/>
    <w:rsid w:val="00C136FE"/>
    <w:rsid w:val="00C13765"/>
    <w:rsid w:val="00C13C3E"/>
    <w:rsid w:val="00C14417"/>
    <w:rsid w:val="00C14590"/>
    <w:rsid w:val="00C147B2"/>
    <w:rsid w:val="00C14A40"/>
    <w:rsid w:val="00C14DA3"/>
    <w:rsid w:val="00C150B8"/>
    <w:rsid w:val="00C151AC"/>
    <w:rsid w:val="00C1546F"/>
    <w:rsid w:val="00C1547B"/>
    <w:rsid w:val="00C154ED"/>
    <w:rsid w:val="00C1567B"/>
    <w:rsid w:val="00C1567C"/>
    <w:rsid w:val="00C1595B"/>
    <w:rsid w:val="00C15AA4"/>
    <w:rsid w:val="00C15CD4"/>
    <w:rsid w:val="00C15EC7"/>
    <w:rsid w:val="00C16336"/>
    <w:rsid w:val="00C167B5"/>
    <w:rsid w:val="00C16B32"/>
    <w:rsid w:val="00C16FCC"/>
    <w:rsid w:val="00C17056"/>
    <w:rsid w:val="00C170AE"/>
    <w:rsid w:val="00C170FF"/>
    <w:rsid w:val="00C17639"/>
    <w:rsid w:val="00C17BE7"/>
    <w:rsid w:val="00C17C3D"/>
    <w:rsid w:val="00C17CB9"/>
    <w:rsid w:val="00C200BD"/>
    <w:rsid w:val="00C206AC"/>
    <w:rsid w:val="00C20B38"/>
    <w:rsid w:val="00C20C0F"/>
    <w:rsid w:val="00C20EF1"/>
    <w:rsid w:val="00C20F17"/>
    <w:rsid w:val="00C20F57"/>
    <w:rsid w:val="00C20FD9"/>
    <w:rsid w:val="00C2105E"/>
    <w:rsid w:val="00C210FA"/>
    <w:rsid w:val="00C21105"/>
    <w:rsid w:val="00C21937"/>
    <w:rsid w:val="00C219D5"/>
    <w:rsid w:val="00C21A40"/>
    <w:rsid w:val="00C21AA6"/>
    <w:rsid w:val="00C21B4C"/>
    <w:rsid w:val="00C21F11"/>
    <w:rsid w:val="00C21FD3"/>
    <w:rsid w:val="00C221D8"/>
    <w:rsid w:val="00C225A2"/>
    <w:rsid w:val="00C22B0C"/>
    <w:rsid w:val="00C22CAF"/>
    <w:rsid w:val="00C22DC2"/>
    <w:rsid w:val="00C22E8A"/>
    <w:rsid w:val="00C23076"/>
    <w:rsid w:val="00C23800"/>
    <w:rsid w:val="00C23ADB"/>
    <w:rsid w:val="00C23BC8"/>
    <w:rsid w:val="00C23D37"/>
    <w:rsid w:val="00C240DF"/>
    <w:rsid w:val="00C245E3"/>
    <w:rsid w:val="00C2460E"/>
    <w:rsid w:val="00C24706"/>
    <w:rsid w:val="00C24817"/>
    <w:rsid w:val="00C24EF8"/>
    <w:rsid w:val="00C25313"/>
    <w:rsid w:val="00C25342"/>
    <w:rsid w:val="00C253E7"/>
    <w:rsid w:val="00C25788"/>
    <w:rsid w:val="00C25A29"/>
    <w:rsid w:val="00C25EA8"/>
    <w:rsid w:val="00C25F4C"/>
    <w:rsid w:val="00C260E3"/>
    <w:rsid w:val="00C26182"/>
    <w:rsid w:val="00C264C5"/>
    <w:rsid w:val="00C26994"/>
    <w:rsid w:val="00C26BB5"/>
    <w:rsid w:val="00C26EC8"/>
    <w:rsid w:val="00C27231"/>
    <w:rsid w:val="00C27368"/>
    <w:rsid w:val="00C275F6"/>
    <w:rsid w:val="00C276F0"/>
    <w:rsid w:val="00C27750"/>
    <w:rsid w:val="00C278E6"/>
    <w:rsid w:val="00C27BA3"/>
    <w:rsid w:val="00C300BA"/>
    <w:rsid w:val="00C3054F"/>
    <w:rsid w:val="00C30938"/>
    <w:rsid w:val="00C30B3B"/>
    <w:rsid w:val="00C30B43"/>
    <w:rsid w:val="00C31320"/>
    <w:rsid w:val="00C31D01"/>
    <w:rsid w:val="00C31D70"/>
    <w:rsid w:val="00C324BA"/>
    <w:rsid w:val="00C3258D"/>
    <w:rsid w:val="00C32629"/>
    <w:rsid w:val="00C328EA"/>
    <w:rsid w:val="00C33066"/>
    <w:rsid w:val="00C33491"/>
    <w:rsid w:val="00C337A8"/>
    <w:rsid w:val="00C33883"/>
    <w:rsid w:val="00C33A65"/>
    <w:rsid w:val="00C33DD9"/>
    <w:rsid w:val="00C33E35"/>
    <w:rsid w:val="00C34050"/>
    <w:rsid w:val="00C34465"/>
    <w:rsid w:val="00C34614"/>
    <w:rsid w:val="00C34743"/>
    <w:rsid w:val="00C349BE"/>
    <w:rsid w:val="00C34B30"/>
    <w:rsid w:val="00C34B4B"/>
    <w:rsid w:val="00C3512B"/>
    <w:rsid w:val="00C3539F"/>
    <w:rsid w:val="00C35597"/>
    <w:rsid w:val="00C35697"/>
    <w:rsid w:val="00C35834"/>
    <w:rsid w:val="00C359AB"/>
    <w:rsid w:val="00C35B40"/>
    <w:rsid w:val="00C36095"/>
    <w:rsid w:val="00C362A8"/>
    <w:rsid w:val="00C3654E"/>
    <w:rsid w:val="00C36632"/>
    <w:rsid w:val="00C366AB"/>
    <w:rsid w:val="00C366AD"/>
    <w:rsid w:val="00C36928"/>
    <w:rsid w:val="00C3692C"/>
    <w:rsid w:val="00C3698F"/>
    <w:rsid w:val="00C36A8C"/>
    <w:rsid w:val="00C36CEC"/>
    <w:rsid w:val="00C36E9E"/>
    <w:rsid w:val="00C373BB"/>
    <w:rsid w:val="00C37881"/>
    <w:rsid w:val="00C37949"/>
    <w:rsid w:val="00C37A33"/>
    <w:rsid w:val="00C409B9"/>
    <w:rsid w:val="00C40A9E"/>
    <w:rsid w:val="00C40BAD"/>
    <w:rsid w:val="00C40E87"/>
    <w:rsid w:val="00C414C3"/>
    <w:rsid w:val="00C41505"/>
    <w:rsid w:val="00C41744"/>
    <w:rsid w:val="00C41963"/>
    <w:rsid w:val="00C419BB"/>
    <w:rsid w:val="00C41A10"/>
    <w:rsid w:val="00C41B50"/>
    <w:rsid w:val="00C41DE4"/>
    <w:rsid w:val="00C42144"/>
    <w:rsid w:val="00C42335"/>
    <w:rsid w:val="00C4234E"/>
    <w:rsid w:val="00C424D4"/>
    <w:rsid w:val="00C424F2"/>
    <w:rsid w:val="00C425DF"/>
    <w:rsid w:val="00C4260A"/>
    <w:rsid w:val="00C428E1"/>
    <w:rsid w:val="00C42A3A"/>
    <w:rsid w:val="00C42B28"/>
    <w:rsid w:val="00C430D3"/>
    <w:rsid w:val="00C43179"/>
    <w:rsid w:val="00C435F5"/>
    <w:rsid w:val="00C43AD9"/>
    <w:rsid w:val="00C43D4F"/>
    <w:rsid w:val="00C43D6A"/>
    <w:rsid w:val="00C43DDC"/>
    <w:rsid w:val="00C44329"/>
    <w:rsid w:val="00C44790"/>
    <w:rsid w:val="00C44B2D"/>
    <w:rsid w:val="00C45003"/>
    <w:rsid w:val="00C4509C"/>
    <w:rsid w:val="00C4515C"/>
    <w:rsid w:val="00C454AB"/>
    <w:rsid w:val="00C4569D"/>
    <w:rsid w:val="00C456EC"/>
    <w:rsid w:val="00C45720"/>
    <w:rsid w:val="00C458AB"/>
    <w:rsid w:val="00C45A52"/>
    <w:rsid w:val="00C45B46"/>
    <w:rsid w:val="00C45B9F"/>
    <w:rsid w:val="00C45D6E"/>
    <w:rsid w:val="00C45F87"/>
    <w:rsid w:val="00C4607B"/>
    <w:rsid w:val="00C460AA"/>
    <w:rsid w:val="00C46168"/>
    <w:rsid w:val="00C461F8"/>
    <w:rsid w:val="00C462E8"/>
    <w:rsid w:val="00C46391"/>
    <w:rsid w:val="00C46502"/>
    <w:rsid w:val="00C46766"/>
    <w:rsid w:val="00C46815"/>
    <w:rsid w:val="00C46C31"/>
    <w:rsid w:val="00C46CC7"/>
    <w:rsid w:val="00C46F48"/>
    <w:rsid w:val="00C47178"/>
    <w:rsid w:val="00C471AD"/>
    <w:rsid w:val="00C4726A"/>
    <w:rsid w:val="00C472B5"/>
    <w:rsid w:val="00C472E0"/>
    <w:rsid w:val="00C4756E"/>
    <w:rsid w:val="00C47903"/>
    <w:rsid w:val="00C47927"/>
    <w:rsid w:val="00C47C33"/>
    <w:rsid w:val="00C47CEC"/>
    <w:rsid w:val="00C47E93"/>
    <w:rsid w:val="00C501A0"/>
    <w:rsid w:val="00C50722"/>
    <w:rsid w:val="00C50816"/>
    <w:rsid w:val="00C5083E"/>
    <w:rsid w:val="00C50A2F"/>
    <w:rsid w:val="00C50BD4"/>
    <w:rsid w:val="00C50EBE"/>
    <w:rsid w:val="00C51299"/>
    <w:rsid w:val="00C51491"/>
    <w:rsid w:val="00C515C5"/>
    <w:rsid w:val="00C51A15"/>
    <w:rsid w:val="00C51AE3"/>
    <w:rsid w:val="00C51BA9"/>
    <w:rsid w:val="00C51C67"/>
    <w:rsid w:val="00C51C8B"/>
    <w:rsid w:val="00C52124"/>
    <w:rsid w:val="00C522E5"/>
    <w:rsid w:val="00C523E0"/>
    <w:rsid w:val="00C52425"/>
    <w:rsid w:val="00C52804"/>
    <w:rsid w:val="00C52FDF"/>
    <w:rsid w:val="00C53059"/>
    <w:rsid w:val="00C531B0"/>
    <w:rsid w:val="00C533CB"/>
    <w:rsid w:val="00C534FD"/>
    <w:rsid w:val="00C538BB"/>
    <w:rsid w:val="00C53963"/>
    <w:rsid w:val="00C53C6E"/>
    <w:rsid w:val="00C53DF3"/>
    <w:rsid w:val="00C54158"/>
    <w:rsid w:val="00C5417A"/>
    <w:rsid w:val="00C54231"/>
    <w:rsid w:val="00C54C8B"/>
    <w:rsid w:val="00C54DFB"/>
    <w:rsid w:val="00C553A0"/>
    <w:rsid w:val="00C555B9"/>
    <w:rsid w:val="00C5569B"/>
    <w:rsid w:val="00C556F2"/>
    <w:rsid w:val="00C557A6"/>
    <w:rsid w:val="00C56CD9"/>
    <w:rsid w:val="00C56DC7"/>
    <w:rsid w:val="00C570ED"/>
    <w:rsid w:val="00C5727D"/>
    <w:rsid w:val="00C5737B"/>
    <w:rsid w:val="00C57631"/>
    <w:rsid w:val="00C57F42"/>
    <w:rsid w:val="00C6045F"/>
    <w:rsid w:val="00C606C2"/>
    <w:rsid w:val="00C609B6"/>
    <w:rsid w:val="00C609FF"/>
    <w:rsid w:val="00C60AD5"/>
    <w:rsid w:val="00C60D6A"/>
    <w:rsid w:val="00C61472"/>
    <w:rsid w:val="00C614CF"/>
    <w:rsid w:val="00C6194F"/>
    <w:rsid w:val="00C619DA"/>
    <w:rsid w:val="00C61DBA"/>
    <w:rsid w:val="00C61E24"/>
    <w:rsid w:val="00C624C1"/>
    <w:rsid w:val="00C62611"/>
    <w:rsid w:val="00C627DF"/>
    <w:rsid w:val="00C6297F"/>
    <w:rsid w:val="00C62D50"/>
    <w:rsid w:val="00C63112"/>
    <w:rsid w:val="00C632B7"/>
    <w:rsid w:val="00C633CC"/>
    <w:rsid w:val="00C635A7"/>
    <w:rsid w:val="00C636FD"/>
    <w:rsid w:val="00C63711"/>
    <w:rsid w:val="00C63825"/>
    <w:rsid w:val="00C638C4"/>
    <w:rsid w:val="00C63ABE"/>
    <w:rsid w:val="00C63B08"/>
    <w:rsid w:val="00C63C0F"/>
    <w:rsid w:val="00C63CF4"/>
    <w:rsid w:val="00C63ED3"/>
    <w:rsid w:val="00C643F6"/>
    <w:rsid w:val="00C6462E"/>
    <w:rsid w:val="00C6498D"/>
    <w:rsid w:val="00C64A84"/>
    <w:rsid w:val="00C64BAF"/>
    <w:rsid w:val="00C64C27"/>
    <w:rsid w:val="00C6520E"/>
    <w:rsid w:val="00C6522E"/>
    <w:rsid w:val="00C6554D"/>
    <w:rsid w:val="00C655D9"/>
    <w:rsid w:val="00C65B08"/>
    <w:rsid w:val="00C65C93"/>
    <w:rsid w:val="00C65CA2"/>
    <w:rsid w:val="00C65CCE"/>
    <w:rsid w:val="00C65E1B"/>
    <w:rsid w:val="00C65EF9"/>
    <w:rsid w:val="00C6610C"/>
    <w:rsid w:val="00C6628F"/>
    <w:rsid w:val="00C66AE9"/>
    <w:rsid w:val="00C66DC9"/>
    <w:rsid w:val="00C671CE"/>
    <w:rsid w:val="00C67279"/>
    <w:rsid w:val="00C672CF"/>
    <w:rsid w:val="00C67636"/>
    <w:rsid w:val="00C679D0"/>
    <w:rsid w:val="00C67A98"/>
    <w:rsid w:val="00C67C4C"/>
    <w:rsid w:val="00C701FA"/>
    <w:rsid w:val="00C70289"/>
    <w:rsid w:val="00C706C2"/>
    <w:rsid w:val="00C70757"/>
    <w:rsid w:val="00C708A1"/>
    <w:rsid w:val="00C708DE"/>
    <w:rsid w:val="00C70915"/>
    <w:rsid w:val="00C7098B"/>
    <w:rsid w:val="00C709A6"/>
    <w:rsid w:val="00C70AA6"/>
    <w:rsid w:val="00C70C46"/>
    <w:rsid w:val="00C710F4"/>
    <w:rsid w:val="00C7122C"/>
    <w:rsid w:val="00C7138C"/>
    <w:rsid w:val="00C714E8"/>
    <w:rsid w:val="00C71727"/>
    <w:rsid w:val="00C71853"/>
    <w:rsid w:val="00C71A9E"/>
    <w:rsid w:val="00C71AB9"/>
    <w:rsid w:val="00C720B6"/>
    <w:rsid w:val="00C720D3"/>
    <w:rsid w:val="00C72142"/>
    <w:rsid w:val="00C721C8"/>
    <w:rsid w:val="00C7268E"/>
    <w:rsid w:val="00C72C3A"/>
    <w:rsid w:val="00C72E0F"/>
    <w:rsid w:val="00C73014"/>
    <w:rsid w:val="00C73033"/>
    <w:rsid w:val="00C7336B"/>
    <w:rsid w:val="00C73467"/>
    <w:rsid w:val="00C73C93"/>
    <w:rsid w:val="00C73D63"/>
    <w:rsid w:val="00C73D7E"/>
    <w:rsid w:val="00C740B1"/>
    <w:rsid w:val="00C7496F"/>
    <w:rsid w:val="00C74B53"/>
    <w:rsid w:val="00C74B79"/>
    <w:rsid w:val="00C74C6C"/>
    <w:rsid w:val="00C74E0C"/>
    <w:rsid w:val="00C75107"/>
    <w:rsid w:val="00C7527F"/>
    <w:rsid w:val="00C75306"/>
    <w:rsid w:val="00C7537D"/>
    <w:rsid w:val="00C754C0"/>
    <w:rsid w:val="00C75582"/>
    <w:rsid w:val="00C755FA"/>
    <w:rsid w:val="00C75675"/>
    <w:rsid w:val="00C756D7"/>
    <w:rsid w:val="00C75718"/>
    <w:rsid w:val="00C75856"/>
    <w:rsid w:val="00C75954"/>
    <w:rsid w:val="00C75D37"/>
    <w:rsid w:val="00C75F93"/>
    <w:rsid w:val="00C762A4"/>
    <w:rsid w:val="00C76387"/>
    <w:rsid w:val="00C763D4"/>
    <w:rsid w:val="00C76C7A"/>
    <w:rsid w:val="00C76FA2"/>
    <w:rsid w:val="00C77157"/>
    <w:rsid w:val="00C77188"/>
    <w:rsid w:val="00C772AA"/>
    <w:rsid w:val="00C77302"/>
    <w:rsid w:val="00C77685"/>
    <w:rsid w:val="00C776A1"/>
    <w:rsid w:val="00C77A1E"/>
    <w:rsid w:val="00C77AA6"/>
    <w:rsid w:val="00C8024E"/>
    <w:rsid w:val="00C804CB"/>
    <w:rsid w:val="00C80663"/>
    <w:rsid w:val="00C807AF"/>
    <w:rsid w:val="00C807FD"/>
    <w:rsid w:val="00C808DA"/>
    <w:rsid w:val="00C80A8A"/>
    <w:rsid w:val="00C80AE6"/>
    <w:rsid w:val="00C80BAD"/>
    <w:rsid w:val="00C811B2"/>
    <w:rsid w:val="00C81329"/>
    <w:rsid w:val="00C81374"/>
    <w:rsid w:val="00C81843"/>
    <w:rsid w:val="00C81B90"/>
    <w:rsid w:val="00C81C5C"/>
    <w:rsid w:val="00C81E20"/>
    <w:rsid w:val="00C8207B"/>
    <w:rsid w:val="00C8210D"/>
    <w:rsid w:val="00C821D1"/>
    <w:rsid w:val="00C821D8"/>
    <w:rsid w:val="00C824AA"/>
    <w:rsid w:val="00C825ED"/>
    <w:rsid w:val="00C827CA"/>
    <w:rsid w:val="00C82A38"/>
    <w:rsid w:val="00C82DC2"/>
    <w:rsid w:val="00C82DCA"/>
    <w:rsid w:val="00C83385"/>
    <w:rsid w:val="00C833B1"/>
    <w:rsid w:val="00C83AD1"/>
    <w:rsid w:val="00C83EDB"/>
    <w:rsid w:val="00C8433C"/>
    <w:rsid w:val="00C845C1"/>
    <w:rsid w:val="00C847C8"/>
    <w:rsid w:val="00C84897"/>
    <w:rsid w:val="00C84B95"/>
    <w:rsid w:val="00C84BA5"/>
    <w:rsid w:val="00C84BD6"/>
    <w:rsid w:val="00C85161"/>
    <w:rsid w:val="00C85242"/>
    <w:rsid w:val="00C8524E"/>
    <w:rsid w:val="00C8553F"/>
    <w:rsid w:val="00C8569B"/>
    <w:rsid w:val="00C857A1"/>
    <w:rsid w:val="00C85987"/>
    <w:rsid w:val="00C85B3B"/>
    <w:rsid w:val="00C85C3C"/>
    <w:rsid w:val="00C85E19"/>
    <w:rsid w:val="00C8682C"/>
    <w:rsid w:val="00C86926"/>
    <w:rsid w:val="00C869D3"/>
    <w:rsid w:val="00C874AA"/>
    <w:rsid w:val="00C87C46"/>
    <w:rsid w:val="00C87E4A"/>
    <w:rsid w:val="00C87F06"/>
    <w:rsid w:val="00C87F8C"/>
    <w:rsid w:val="00C90010"/>
    <w:rsid w:val="00C900CD"/>
    <w:rsid w:val="00C906B2"/>
    <w:rsid w:val="00C90792"/>
    <w:rsid w:val="00C90DDD"/>
    <w:rsid w:val="00C90F6F"/>
    <w:rsid w:val="00C9134A"/>
    <w:rsid w:val="00C91360"/>
    <w:rsid w:val="00C916E3"/>
    <w:rsid w:val="00C917CA"/>
    <w:rsid w:val="00C91CF4"/>
    <w:rsid w:val="00C920FE"/>
    <w:rsid w:val="00C92B7F"/>
    <w:rsid w:val="00C92CE0"/>
    <w:rsid w:val="00C92EB0"/>
    <w:rsid w:val="00C93535"/>
    <w:rsid w:val="00C93C1C"/>
    <w:rsid w:val="00C93C5C"/>
    <w:rsid w:val="00C93C89"/>
    <w:rsid w:val="00C93D32"/>
    <w:rsid w:val="00C9417F"/>
    <w:rsid w:val="00C94400"/>
    <w:rsid w:val="00C94AF4"/>
    <w:rsid w:val="00C94B9F"/>
    <w:rsid w:val="00C94C65"/>
    <w:rsid w:val="00C94F6E"/>
    <w:rsid w:val="00C94FD9"/>
    <w:rsid w:val="00C954EC"/>
    <w:rsid w:val="00C95756"/>
    <w:rsid w:val="00C95A2B"/>
    <w:rsid w:val="00C95A93"/>
    <w:rsid w:val="00C95D3F"/>
    <w:rsid w:val="00C96579"/>
    <w:rsid w:val="00C96637"/>
    <w:rsid w:val="00C96976"/>
    <w:rsid w:val="00C96D0A"/>
    <w:rsid w:val="00C96E1C"/>
    <w:rsid w:val="00C9721C"/>
    <w:rsid w:val="00C9762E"/>
    <w:rsid w:val="00C97B8C"/>
    <w:rsid w:val="00C97CBF"/>
    <w:rsid w:val="00C97D20"/>
    <w:rsid w:val="00C97E39"/>
    <w:rsid w:val="00CA016A"/>
    <w:rsid w:val="00CA0248"/>
    <w:rsid w:val="00CA0775"/>
    <w:rsid w:val="00CA0880"/>
    <w:rsid w:val="00CA08B4"/>
    <w:rsid w:val="00CA0AA8"/>
    <w:rsid w:val="00CA0B04"/>
    <w:rsid w:val="00CA0D0B"/>
    <w:rsid w:val="00CA0EA8"/>
    <w:rsid w:val="00CA0EE0"/>
    <w:rsid w:val="00CA140E"/>
    <w:rsid w:val="00CA1A15"/>
    <w:rsid w:val="00CA1A1B"/>
    <w:rsid w:val="00CA1D44"/>
    <w:rsid w:val="00CA1DD6"/>
    <w:rsid w:val="00CA1F50"/>
    <w:rsid w:val="00CA2310"/>
    <w:rsid w:val="00CA2368"/>
    <w:rsid w:val="00CA239B"/>
    <w:rsid w:val="00CA24B1"/>
    <w:rsid w:val="00CA25D5"/>
    <w:rsid w:val="00CA2684"/>
    <w:rsid w:val="00CA294A"/>
    <w:rsid w:val="00CA296F"/>
    <w:rsid w:val="00CA29B8"/>
    <w:rsid w:val="00CA29DC"/>
    <w:rsid w:val="00CA2A19"/>
    <w:rsid w:val="00CA2BF3"/>
    <w:rsid w:val="00CA2C92"/>
    <w:rsid w:val="00CA2D62"/>
    <w:rsid w:val="00CA2D75"/>
    <w:rsid w:val="00CA2DF5"/>
    <w:rsid w:val="00CA3023"/>
    <w:rsid w:val="00CA32C2"/>
    <w:rsid w:val="00CA3608"/>
    <w:rsid w:val="00CA3645"/>
    <w:rsid w:val="00CA3693"/>
    <w:rsid w:val="00CA39B5"/>
    <w:rsid w:val="00CA3BE7"/>
    <w:rsid w:val="00CA3D1B"/>
    <w:rsid w:val="00CA41DA"/>
    <w:rsid w:val="00CA4284"/>
    <w:rsid w:val="00CA4991"/>
    <w:rsid w:val="00CA4C77"/>
    <w:rsid w:val="00CA4CC4"/>
    <w:rsid w:val="00CA4F1E"/>
    <w:rsid w:val="00CA4FC0"/>
    <w:rsid w:val="00CA50B7"/>
    <w:rsid w:val="00CA517B"/>
    <w:rsid w:val="00CA570E"/>
    <w:rsid w:val="00CA57B2"/>
    <w:rsid w:val="00CA58B2"/>
    <w:rsid w:val="00CA60BB"/>
    <w:rsid w:val="00CA60D2"/>
    <w:rsid w:val="00CA6115"/>
    <w:rsid w:val="00CA673B"/>
    <w:rsid w:val="00CA6843"/>
    <w:rsid w:val="00CA6A3E"/>
    <w:rsid w:val="00CA6B4D"/>
    <w:rsid w:val="00CA6D02"/>
    <w:rsid w:val="00CA6F68"/>
    <w:rsid w:val="00CA6FA6"/>
    <w:rsid w:val="00CA7180"/>
    <w:rsid w:val="00CA7389"/>
    <w:rsid w:val="00CA7565"/>
    <w:rsid w:val="00CA774D"/>
    <w:rsid w:val="00CA7BC3"/>
    <w:rsid w:val="00CA7D40"/>
    <w:rsid w:val="00CB00A9"/>
    <w:rsid w:val="00CB00F4"/>
    <w:rsid w:val="00CB0122"/>
    <w:rsid w:val="00CB021A"/>
    <w:rsid w:val="00CB072F"/>
    <w:rsid w:val="00CB0965"/>
    <w:rsid w:val="00CB0C8B"/>
    <w:rsid w:val="00CB0DBA"/>
    <w:rsid w:val="00CB0DEC"/>
    <w:rsid w:val="00CB12A5"/>
    <w:rsid w:val="00CB180C"/>
    <w:rsid w:val="00CB185B"/>
    <w:rsid w:val="00CB1862"/>
    <w:rsid w:val="00CB1B6F"/>
    <w:rsid w:val="00CB1D14"/>
    <w:rsid w:val="00CB1DF7"/>
    <w:rsid w:val="00CB27C7"/>
    <w:rsid w:val="00CB2B95"/>
    <w:rsid w:val="00CB2BA0"/>
    <w:rsid w:val="00CB2E37"/>
    <w:rsid w:val="00CB2E63"/>
    <w:rsid w:val="00CB3298"/>
    <w:rsid w:val="00CB3A15"/>
    <w:rsid w:val="00CB3A99"/>
    <w:rsid w:val="00CB3AAE"/>
    <w:rsid w:val="00CB3DE9"/>
    <w:rsid w:val="00CB405E"/>
    <w:rsid w:val="00CB493F"/>
    <w:rsid w:val="00CB4B27"/>
    <w:rsid w:val="00CB4DF3"/>
    <w:rsid w:val="00CB507A"/>
    <w:rsid w:val="00CB51DE"/>
    <w:rsid w:val="00CB532F"/>
    <w:rsid w:val="00CB55D8"/>
    <w:rsid w:val="00CB5652"/>
    <w:rsid w:val="00CB5CBC"/>
    <w:rsid w:val="00CB5E8F"/>
    <w:rsid w:val="00CB6183"/>
    <w:rsid w:val="00CB638B"/>
    <w:rsid w:val="00CB67E3"/>
    <w:rsid w:val="00CB6ADA"/>
    <w:rsid w:val="00CB6CF0"/>
    <w:rsid w:val="00CB6F20"/>
    <w:rsid w:val="00CB73C7"/>
    <w:rsid w:val="00CB76A7"/>
    <w:rsid w:val="00CB7F57"/>
    <w:rsid w:val="00CC0016"/>
    <w:rsid w:val="00CC01E4"/>
    <w:rsid w:val="00CC061C"/>
    <w:rsid w:val="00CC071E"/>
    <w:rsid w:val="00CC0730"/>
    <w:rsid w:val="00CC0843"/>
    <w:rsid w:val="00CC0963"/>
    <w:rsid w:val="00CC0A13"/>
    <w:rsid w:val="00CC0D66"/>
    <w:rsid w:val="00CC100D"/>
    <w:rsid w:val="00CC14E7"/>
    <w:rsid w:val="00CC151C"/>
    <w:rsid w:val="00CC1577"/>
    <w:rsid w:val="00CC1966"/>
    <w:rsid w:val="00CC1AF2"/>
    <w:rsid w:val="00CC1F6D"/>
    <w:rsid w:val="00CC2237"/>
    <w:rsid w:val="00CC2252"/>
    <w:rsid w:val="00CC2260"/>
    <w:rsid w:val="00CC24C0"/>
    <w:rsid w:val="00CC282F"/>
    <w:rsid w:val="00CC292D"/>
    <w:rsid w:val="00CC2968"/>
    <w:rsid w:val="00CC2A11"/>
    <w:rsid w:val="00CC2BD2"/>
    <w:rsid w:val="00CC2E48"/>
    <w:rsid w:val="00CC328B"/>
    <w:rsid w:val="00CC3421"/>
    <w:rsid w:val="00CC34F1"/>
    <w:rsid w:val="00CC36C5"/>
    <w:rsid w:val="00CC37E8"/>
    <w:rsid w:val="00CC3862"/>
    <w:rsid w:val="00CC3DD5"/>
    <w:rsid w:val="00CC3FD0"/>
    <w:rsid w:val="00CC409A"/>
    <w:rsid w:val="00CC425D"/>
    <w:rsid w:val="00CC43D3"/>
    <w:rsid w:val="00CC4810"/>
    <w:rsid w:val="00CC489E"/>
    <w:rsid w:val="00CC4A61"/>
    <w:rsid w:val="00CC4AAF"/>
    <w:rsid w:val="00CC4B58"/>
    <w:rsid w:val="00CC4F88"/>
    <w:rsid w:val="00CC5146"/>
    <w:rsid w:val="00CC5256"/>
    <w:rsid w:val="00CC52C8"/>
    <w:rsid w:val="00CC539D"/>
    <w:rsid w:val="00CC599A"/>
    <w:rsid w:val="00CC6167"/>
    <w:rsid w:val="00CC6492"/>
    <w:rsid w:val="00CC6530"/>
    <w:rsid w:val="00CC6690"/>
    <w:rsid w:val="00CC66D9"/>
    <w:rsid w:val="00CC6996"/>
    <w:rsid w:val="00CC69AE"/>
    <w:rsid w:val="00CC6C92"/>
    <w:rsid w:val="00CC6D87"/>
    <w:rsid w:val="00CC706A"/>
    <w:rsid w:val="00CC7888"/>
    <w:rsid w:val="00CC79D1"/>
    <w:rsid w:val="00CC7B39"/>
    <w:rsid w:val="00CC7D47"/>
    <w:rsid w:val="00CC7E80"/>
    <w:rsid w:val="00CD0103"/>
    <w:rsid w:val="00CD031F"/>
    <w:rsid w:val="00CD0774"/>
    <w:rsid w:val="00CD08A3"/>
    <w:rsid w:val="00CD0A10"/>
    <w:rsid w:val="00CD0AA2"/>
    <w:rsid w:val="00CD0C92"/>
    <w:rsid w:val="00CD0E2F"/>
    <w:rsid w:val="00CD0F6E"/>
    <w:rsid w:val="00CD0FCE"/>
    <w:rsid w:val="00CD10EB"/>
    <w:rsid w:val="00CD1143"/>
    <w:rsid w:val="00CD11C1"/>
    <w:rsid w:val="00CD126C"/>
    <w:rsid w:val="00CD12F1"/>
    <w:rsid w:val="00CD16D2"/>
    <w:rsid w:val="00CD1794"/>
    <w:rsid w:val="00CD18AF"/>
    <w:rsid w:val="00CD1A3B"/>
    <w:rsid w:val="00CD1A6D"/>
    <w:rsid w:val="00CD1C63"/>
    <w:rsid w:val="00CD1CD1"/>
    <w:rsid w:val="00CD2149"/>
    <w:rsid w:val="00CD217B"/>
    <w:rsid w:val="00CD231C"/>
    <w:rsid w:val="00CD23B1"/>
    <w:rsid w:val="00CD24AC"/>
    <w:rsid w:val="00CD32F5"/>
    <w:rsid w:val="00CD3419"/>
    <w:rsid w:val="00CD3587"/>
    <w:rsid w:val="00CD3BF1"/>
    <w:rsid w:val="00CD3E7A"/>
    <w:rsid w:val="00CD41FE"/>
    <w:rsid w:val="00CD42C4"/>
    <w:rsid w:val="00CD4715"/>
    <w:rsid w:val="00CD4932"/>
    <w:rsid w:val="00CD4CDA"/>
    <w:rsid w:val="00CD51BE"/>
    <w:rsid w:val="00CD53BE"/>
    <w:rsid w:val="00CD5477"/>
    <w:rsid w:val="00CD54E1"/>
    <w:rsid w:val="00CD569A"/>
    <w:rsid w:val="00CD58D0"/>
    <w:rsid w:val="00CD597E"/>
    <w:rsid w:val="00CD5CA0"/>
    <w:rsid w:val="00CD5E32"/>
    <w:rsid w:val="00CD624A"/>
    <w:rsid w:val="00CD63AA"/>
    <w:rsid w:val="00CD64AD"/>
    <w:rsid w:val="00CD64B3"/>
    <w:rsid w:val="00CD67F0"/>
    <w:rsid w:val="00CD67F7"/>
    <w:rsid w:val="00CD6823"/>
    <w:rsid w:val="00CD6F18"/>
    <w:rsid w:val="00CD70E0"/>
    <w:rsid w:val="00CD7213"/>
    <w:rsid w:val="00CD7292"/>
    <w:rsid w:val="00CD7408"/>
    <w:rsid w:val="00CD74DA"/>
    <w:rsid w:val="00CD75F7"/>
    <w:rsid w:val="00CD7667"/>
    <w:rsid w:val="00CD786C"/>
    <w:rsid w:val="00CD78AF"/>
    <w:rsid w:val="00CD7AEB"/>
    <w:rsid w:val="00CD7CC9"/>
    <w:rsid w:val="00CD7FF1"/>
    <w:rsid w:val="00CE00CF"/>
    <w:rsid w:val="00CE0124"/>
    <w:rsid w:val="00CE01E8"/>
    <w:rsid w:val="00CE0255"/>
    <w:rsid w:val="00CE0512"/>
    <w:rsid w:val="00CE06C8"/>
    <w:rsid w:val="00CE08F5"/>
    <w:rsid w:val="00CE0AEE"/>
    <w:rsid w:val="00CE0FFE"/>
    <w:rsid w:val="00CE14B6"/>
    <w:rsid w:val="00CE167E"/>
    <w:rsid w:val="00CE1989"/>
    <w:rsid w:val="00CE1C27"/>
    <w:rsid w:val="00CE1C8E"/>
    <w:rsid w:val="00CE2301"/>
    <w:rsid w:val="00CE25B9"/>
    <w:rsid w:val="00CE25EC"/>
    <w:rsid w:val="00CE26DF"/>
    <w:rsid w:val="00CE2F25"/>
    <w:rsid w:val="00CE3070"/>
    <w:rsid w:val="00CE345A"/>
    <w:rsid w:val="00CE355A"/>
    <w:rsid w:val="00CE3614"/>
    <w:rsid w:val="00CE3846"/>
    <w:rsid w:val="00CE3879"/>
    <w:rsid w:val="00CE3AC3"/>
    <w:rsid w:val="00CE3CEB"/>
    <w:rsid w:val="00CE3E16"/>
    <w:rsid w:val="00CE45FA"/>
    <w:rsid w:val="00CE46BB"/>
    <w:rsid w:val="00CE47A2"/>
    <w:rsid w:val="00CE47BE"/>
    <w:rsid w:val="00CE47E5"/>
    <w:rsid w:val="00CE4CF3"/>
    <w:rsid w:val="00CE4E16"/>
    <w:rsid w:val="00CE4ED2"/>
    <w:rsid w:val="00CE540A"/>
    <w:rsid w:val="00CE541A"/>
    <w:rsid w:val="00CE5562"/>
    <w:rsid w:val="00CE568C"/>
    <w:rsid w:val="00CE588A"/>
    <w:rsid w:val="00CE5CD2"/>
    <w:rsid w:val="00CE60F7"/>
    <w:rsid w:val="00CE6172"/>
    <w:rsid w:val="00CE6387"/>
    <w:rsid w:val="00CE6392"/>
    <w:rsid w:val="00CE6445"/>
    <w:rsid w:val="00CE646F"/>
    <w:rsid w:val="00CE64BE"/>
    <w:rsid w:val="00CE6AF6"/>
    <w:rsid w:val="00CE6B9E"/>
    <w:rsid w:val="00CE6CE1"/>
    <w:rsid w:val="00CE6CF5"/>
    <w:rsid w:val="00CE6D42"/>
    <w:rsid w:val="00CE7117"/>
    <w:rsid w:val="00CE750B"/>
    <w:rsid w:val="00CE77DB"/>
    <w:rsid w:val="00CE77EA"/>
    <w:rsid w:val="00CE7BBD"/>
    <w:rsid w:val="00CE7F57"/>
    <w:rsid w:val="00CF0151"/>
    <w:rsid w:val="00CF03FF"/>
    <w:rsid w:val="00CF0468"/>
    <w:rsid w:val="00CF04FB"/>
    <w:rsid w:val="00CF07E2"/>
    <w:rsid w:val="00CF0895"/>
    <w:rsid w:val="00CF0A91"/>
    <w:rsid w:val="00CF0ABA"/>
    <w:rsid w:val="00CF0BD6"/>
    <w:rsid w:val="00CF0E36"/>
    <w:rsid w:val="00CF1039"/>
    <w:rsid w:val="00CF1137"/>
    <w:rsid w:val="00CF13CA"/>
    <w:rsid w:val="00CF1777"/>
    <w:rsid w:val="00CF188B"/>
    <w:rsid w:val="00CF1A3A"/>
    <w:rsid w:val="00CF1EC9"/>
    <w:rsid w:val="00CF1EF8"/>
    <w:rsid w:val="00CF1F3C"/>
    <w:rsid w:val="00CF2232"/>
    <w:rsid w:val="00CF27B5"/>
    <w:rsid w:val="00CF292A"/>
    <w:rsid w:val="00CF297A"/>
    <w:rsid w:val="00CF29F1"/>
    <w:rsid w:val="00CF2A2A"/>
    <w:rsid w:val="00CF2A82"/>
    <w:rsid w:val="00CF2B0E"/>
    <w:rsid w:val="00CF2B56"/>
    <w:rsid w:val="00CF2CD6"/>
    <w:rsid w:val="00CF2D06"/>
    <w:rsid w:val="00CF2D0F"/>
    <w:rsid w:val="00CF3899"/>
    <w:rsid w:val="00CF393B"/>
    <w:rsid w:val="00CF3D08"/>
    <w:rsid w:val="00CF3D69"/>
    <w:rsid w:val="00CF3D97"/>
    <w:rsid w:val="00CF402C"/>
    <w:rsid w:val="00CF40A4"/>
    <w:rsid w:val="00CF41CE"/>
    <w:rsid w:val="00CF4BAB"/>
    <w:rsid w:val="00CF4C72"/>
    <w:rsid w:val="00CF4EC1"/>
    <w:rsid w:val="00CF5449"/>
    <w:rsid w:val="00CF5A65"/>
    <w:rsid w:val="00CF5D78"/>
    <w:rsid w:val="00CF5E19"/>
    <w:rsid w:val="00CF608B"/>
    <w:rsid w:val="00CF60D7"/>
    <w:rsid w:val="00CF62E9"/>
    <w:rsid w:val="00CF6482"/>
    <w:rsid w:val="00CF64F2"/>
    <w:rsid w:val="00CF673F"/>
    <w:rsid w:val="00CF690C"/>
    <w:rsid w:val="00CF6C1C"/>
    <w:rsid w:val="00CF7081"/>
    <w:rsid w:val="00CF7153"/>
    <w:rsid w:val="00CF744A"/>
    <w:rsid w:val="00CF74EB"/>
    <w:rsid w:val="00CF76CE"/>
    <w:rsid w:val="00CF7870"/>
    <w:rsid w:val="00CF7919"/>
    <w:rsid w:val="00CF7D88"/>
    <w:rsid w:val="00CF7FB6"/>
    <w:rsid w:val="00D0033C"/>
    <w:rsid w:val="00D0039A"/>
    <w:rsid w:val="00D0050E"/>
    <w:rsid w:val="00D00543"/>
    <w:rsid w:val="00D0064B"/>
    <w:rsid w:val="00D00AC7"/>
    <w:rsid w:val="00D00B6B"/>
    <w:rsid w:val="00D00C75"/>
    <w:rsid w:val="00D00E0D"/>
    <w:rsid w:val="00D00E7B"/>
    <w:rsid w:val="00D00EB1"/>
    <w:rsid w:val="00D01068"/>
    <w:rsid w:val="00D014CD"/>
    <w:rsid w:val="00D015C2"/>
    <w:rsid w:val="00D01646"/>
    <w:rsid w:val="00D01935"/>
    <w:rsid w:val="00D01AB8"/>
    <w:rsid w:val="00D02055"/>
    <w:rsid w:val="00D025EA"/>
    <w:rsid w:val="00D03214"/>
    <w:rsid w:val="00D0362E"/>
    <w:rsid w:val="00D0372E"/>
    <w:rsid w:val="00D037A9"/>
    <w:rsid w:val="00D03C38"/>
    <w:rsid w:val="00D03DB6"/>
    <w:rsid w:val="00D03EB7"/>
    <w:rsid w:val="00D04117"/>
    <w:rsid w:val="00D0436B"/>
    <w:rsid w:val="00D043A4"/>
    <w:rsid w:val="00D04619"/>
    <w:rsid w:val="00D046EF"/>
    <w:rsid w:val="00D04730"/>
    <w:rsid w:val="00D04A2E"/>
    <w:rsid w:val="00D04AFA"/>
    <w:rsid w:val="00D05362"/>
    <w:rsid w:val="00D053E7"/>
    <w:rsid w:val="00D05567"/>
    <w:rsid w:val="00D055F8"/>
    <w:rsid w:val="00D05757"/>
    <w:rsid w:val="00D059F3"/>
    <w:rsid w:val="00D05C50"/>
    <w:rsid w:val="00D05D9F"/>
    <w:rsid w:val="00D05EEB"/>
    <w:rsid w:val="00D05FC7"/>
    <w:rsid w:val="00D0617A"/>
    <w:rsid w:val="00D063EE"/>
    <w:rsid w:val="00D0662C"/>
    <w:rsid w:val="00D06664"/>
    <w:rsid w:val="00D06969"/>
    <w:rsid w:val="00D06987"/>
    <w:rsid w:val="00D06A62"/>
    <w:rsid w:val="00D06C47"/>
    <w:rsid w:val="00D06C65"/>
    <w:rsid w:val="00D06E30"/>
    <w:rsid w:val="00D06FAD"/>
    <w:rsid w:val="00D070DF"/>
    <w:rsid w:val="00D0713E"/>
    <w:rsid w:val="00D07337"/>
    <w:rsid w:val="00D07ABC"/>
    <w:rsid w:val="00D07B17"/>
    <w:rsid w:val="00D07B8B"/>
    <w:rsid w:val="00D07CEC"/>
    <w:rsid w:val="00D07D90"/>
    <w:rsid w:val="00D07E92"/>
    <w:rsid w:val="00D07F6D"/>
    <w:rsid w:val="00D100A2"/>
    <w:rsid w:val="00D103EC"/>
    <w:rsid w:val="00D10761"/>
    <w:rsid w:val="00D107A4"/>
    <w:rsid w:val="00D1090A"/>
    <w:rsid w:val="00D10999"/>
    <w:rsid w:val="00D10C60"/>
    <w:rsid w:val="00D1100E"/>
    <w:rsid w:val="00D110B0"/>
    <w:rsid w:val="00D11613"/>
    <w:rsid w:val="00D1168B"/>
    <w:rsid w:val="00D11892"/>
    <w:rsid w:val="00D1196D"/>
    <w:rsid w:val="00D11DCE"/>
    <w:rsid w:val="00D11E51"/>
    <w:rsid w:val="00D12075"/>
    <w:rsid w:val="00D12241"/>
    <w:rsid w:val="00D1247F"/>
    <w:rsid w:val="00D126B2"/>
    <w:rsid w:val="00D12B03"/>
    <w:rsid w:val="00D12C3A"/>
    <w:rsid w:val="00D12DFD"/>
    <w:rsid w:val="00D1375B"/>
    <w:rsid w:val="00D137E7"/>
    <w:rsid w:val="00D13B9B"/>
    <w:rsid w:val="00D13C0A"/>
    <w:rsid w:val="00D140FF"/>
    <w:rsid w:val="00D142DF"/>
    <w:rsid w:val="00D14521"/>
    <w:rsid w:val="00D148CA"/>
    <w:rsid w:val="00D149CA"/>
    <w:rsid w:val="00D149F3"/>
    <w:rsid w:val="00D149FE"/>
    <w:rsid w:val="00D14A00"/>
    <w:rsid w:val="00D14E05"/>
    <w:rsid w:val="00D14F00"/>
    <w:rsid w:val="00D15181"/>
    <w:rsid w:val="00D15493"/>
    <w:rsid w:val="00D1559B"/>
    <w:rsid w:val="00D15A2B"/>
    <w:rsid w:val="00D16396"/>
    <w:rsid w:val="00D163E2"/>
    <w:rsid w:val="00D1668F"/>
    <w:rsid w:val="00D166E8"/>
    <w:rsid w:val="00D16777"/>
    <w:rsid w:val="00D167AE"/>
    <w:rsid w:val="00D16D1A"/>
    <w:rsid w:val="00D16D43"/>
    <w:rsid w:val="00D16F74"/>
    <w:rsid w:val="00D175BB"/>
    <w:rsid w:val="00D175C5"/>
    <w:rsid w:val="00D17798"/>
    <w:rsid w:val="00D17A98"/>
    <w:rsid w:val="00D17C30"/>
    <w:rsid w:val="00D17C4F"/>
    <w:rsid w:val="00D17EAF"/>
    <w:rsid w:val="00D2008B"/>
    <w:rsid w:val="00D2043D"/>
    <w:rsid w:val="00D20474"/>
    <w:rsid w:val="00D20763"/>
    <w:rsid w:val="00D207C2"/>
    <w:rsid w:val="00D2088A"/>
    <w:rsid w:val="00D20E50"/>
    <w:rsid w:val="00D212E9"/>
    <w:rsid w:val="00D21C0E"/>
    <w:rsid w:val="00D21D69"/>
    <w:rsid w:val="00D21D9F"/>
    <w:rsid w:val="00D21FF9"/>
    <w:rsid w:val="00D22239"/>
    <w:rsid w:val="00D223C7"/>
    <w:rsid w:val="00D22446"/>
    <w:rsid w:val="00D22626"/>
    <w:rsid w:val="00D2286C"/>
    <w:rsid w:val="00D2291A"/>
    <w:rsid w:val="00D22A19"/>
    <w:rsid w:val="00D22AF7"/>
    <w:rsid w:val="00D22C03"/>
    <w:rsid w:val="00D22EBF"/>
    <w:rsid w:val="00D233BF"/>
    <w:rsid w:val="00D234CE"/>
    <w:rsid w:val="00D2358C"/>
    <w:rsid w:val="00D235CF"/>
    <w:rsid w:val="00D239C9"/>
    <w:rsid w:val="00D23C52"/>
    <w:rsid w:val="00D23D27"/>
    <w:rsid w:val="00D23E5A"/>
    <w:rsid w:val="00D23FC1"/>
    <w:rsid w:val="00D24625"/>
    <w:rsid w:val="00D248B8"/>
    <w:rsid w:val="00D24930"/>
    <w:rsid w:val="00D24B01"/>
    <w:rsid w:val="00D24E86"/>
    <w:rsid w:val="00D2503F"/>
    <w:rsid w:val="00D2504B"/>
    <w:rsid w:val="00D25662"/>
    <w:rsid w:val="00D25A77"/>
    <w:rsid w:val="00D25ABD"/>
    <w:rsid w:val="00D25C5F"/>
    <w:rsid w:val="00D25CB6"/>
    <w:rsid w:val="00D25DDB"/>
    <w:rsid w:val="00D25F89"/>
    <w:rsid w:val="00D26280"/>
    <w:rsid w:val="00D2662F"/>
    <w:rsid w:val="00D26783"/>
    <w:rsid w:val="00D267A4"/>
    <w:rsid w:val="00D269BA"/>
    <w:rsid w:val="00D269CF"/>
    <w:rsid w:val="00D27130"/>
    <w:rsid w:val="00D27517"/>
    <w:rsid w:val="00D27814"/>
    <w:rsid w:val="00D279AD"/>
    <w:rsid w:val="00D27A30"/>
    <w:rsid w:val="00D27CF9"/>
    <w:rsid w:val="00D27DE3"/>
    <w:rsid w:val="00D3014C"/>
    <w:rsid w:val="00D3037D"/>
    <w:rsid w:val="00D30559"/>
    <w:rsid w:val="00D30580"/>
    <w:rsid w:val="00D30D91"/>
    <w:rsid w:val="00D30E96"/>
    <w:rsid w:val="00D31180"/>
    <w:rsid w:val="00D319E5"/>
    <w:rsid w:val="00D31C6B"/>
    <w:rsid w:val="00D31D3A"/>
    <w:rsid w:val="00D31EC1"/>
    <w:rsid w:val="00D3200A"/>
    <w:rsid w:val="00D324F5"/>
    <w:rsid w:val="00D3261B"/>
    <w:rsid w:val="00D32AE9"/>
    <w:rsid w:val="00D330DC"/>
    <w:rsid w:val="00D33129"/>
    <w:rsid w:val="00D3316C"/>
    <w:rsid w:val="00D331AD"/>
    <w:rsid w:val="00D33262"/>
    <w:rsid w:val="00D33265"/>
    <w:rsid w:val="00D336E7"/>
    <w:rsid w:val="00D3383C"/>
    <w:rsid w:val="00D33BD3"/>
    <w:rsid w:val="00D33D1F"/>
    <w:rsid w:val="00D33D29"/>
    <w:rsid w:val="00D341AF"/>
    <w:rsid w:val="00D346B1"/>
    <w:rsid w:val="00D34EEB"/>
    <w:rsid w:val="00D35163"/>
    <w:rsid w:val="00D35207"/>
    <w:rsid w:val="00D35326"/>
    <w:rsid w:val="00D3561D"/>
    <w:rsid w:val="00D35701"/>
    <w:rsid w:val="00D35746"/>
    <w:rsid w:val="00D3593B"/>
    <w:rsid w:val="00D35B22"/>
    <w:rsid w:val="00D35B61"/>
    <w:rsid w:val="00D35E36"/>
    <w:rsid w:val="00D3648D"/>
    <w:rsid w:val="00D36631"/>
    <w:rsid w:val="00D36680"/>
    <w:rsid w:val="00D367CA"/>
    <w:rsid w:val="00D36909"/>
    <w:rsid w:val="00D36CCC"/>
    <w:rsid w:val="00D36D03"/>
    <w:rsid w:val="00D36D15"/>
    <w:rsid w:val="00D36D76"/>
    <w:rsid w:val="00D36EA7"/>
    <w:rsid w:val="00D370CC"/>
    <w:rsid w:val="00D3711E"/>
    <w:rsid w:val="00D373AB"/>
    <w:rsid w:val="00D376BB"/>
    <w:rsid w:val="00D37C3F"/>
    <w:rsid w:val="00D37C87"/>
    <w:rsid w:val="00D40468"/>
    <w:rsid w:val="00D4047C"/>
    <w:rsid w:val="00D405D7"/>
    <w:rsid w:val="00D40C23"/>
    <w:rsid w:val="00D40C4E"/>
    <w:rsid w:val="00D40D03"/>
    <w:rsid w:val="00D40D5D"/>
    <w:rsid w:val="00D40F61"/>
    <w:rsid w:val="00D4103D"/>
    <w:rsid w:val="00D4117A"/>
    <w:rsid w:val="00D41198"/>
    <w:rsid w:val="00D41497"/>
    <w:rsid w:val="00D41686"/>
    <w:rsid w:val="00D4180C"/>
    <w:rsid w:val="00D41A08"/>
    <w:rsid w:val="00D41BAC"/>
    <w:rsid w:val="00D41CA7"/>
    <w:rsid w:val="00D41ED7"/>
    <w:rsid w:val="00D41F5F"/>
    <w:rsid w:val="00D420C7"/>
    <w:rsid w:val="00D42110"/>
    <w:rsid w:val="00D42295"/>
    <w:rsid w:val="00D42314"/>
    <w:rsid w:val="00D42399"/>
    <w:rsid w:val="00D4280A"/>
    <w:rsid w:val="00D42A75"/>
    <w:rsid w:val="00D42E71"/>
    <w:rsid w:val="00D43302"/>
    <w:rsid w:val="00D434BF"/>
    <w:rsid w:val="00D436E6"/>
    <w:rsid w:val="00D43AA3"/>
    <w:rsid w:val="00D4404D"/>
    <w:rsid w:val="00D4412B"/>
    <w:rsid w:val="00D44443"/>
    <w:rsid w:val="00D446C4"/>
    <w:rsid w:val="00D447F0"/>
    <w:rsid w:val="00D44839"/>
    <w:rsid w:val="00D44A4F"/>
    <w:rsid w:val="00D44A61"/>
    <w:rsid w:val="00D44FCE"/>
    <w:rsid w:val="00D453A9"/>
    <w:rsid w:val="00D45411"/>
    <w:rsid w:val="00D454D5"/>
    <w:rsid w:val="00D454F1"/>
    <w:rsid w:val="00D45563"/>
    <w:rsid w:val="00D455BC"/>
    <w:rsid w:val="00D4574D"/>
    <w:rsid w:val="00D45801"/>
    <w:rsid w:val="00D4590C"/>
    <w:rsid w:val="00D45BC7"/>
    <w:rsid w:val="00D45DD6"/>
    <w:rsid w:val="00D45F96"/>
    <w:rsid w:val="00D46387"/>
    <w:rsid w:val="00D46496"/>
    <w:rsid w:val="00D4691F"/>
    <w:rsid w:val="00D46C79"/>
    <w:rsid w:val="00D46D20"/>
    <w:rsid w:val="00D46F7E"/>
    <w:rsid w:val="00D46FDB"/>
    <w:rsid w:val="00D47081"/>
    <w:rsid w:val="00D47098"/>
    <w:rsid w:val="00D471C1"/>
    <w:rsid w:val="00D47366"/>
    <w:rsid w:val="00D473CB"/>
    <w:rsid w:val="00D47707"/>
    <w:rsid w:val="00D4777A"/>
    <w:rsid w:val="00D47889"/>
    <w:rsid w:val="00D47B45"/>
    <w:rsid w:val="00D47D9F"/>
    <w:rsid w:val="00D50037"/>
    <w:rsid w:val="00D500A9"/>
    <w:rsid w:val="00D50178"/>
    <w:rsid w:val="00D50245"/>
    <w:rsid w:val="00D50379"/>
    <w:rsid w:val="00D506DC"/>
    <w:rsid w:val="00D509F2"/>
    <w:rsid w:val="00D50C7E"/>
    <w:rsid w:val="00D51107"/>
    <w:rsid w:val="00D51504"/>
    <w:rsid w:val="00D51787"/>
    <w:rsid w:val="00D51BCC"/>
    <w:rsid w:val="00D51BD6"/>
    <w:rsid w:val="00D51C49"/>
    <w:rsid w:val="00D51E57"/>
    <w:rsid w:val="00D51EE6"/>
    <w:rsid w:val="00D523AD"/>
    <w:rsid w:val="00D523D6"/>
    <w:rsid w:val="00D52445"/>
    <w:rsid w:val="00D527B8"/>
    <w:rsid w:val="00D529FF"/>
    <w:rsid w:val="00D531F9"/>
    <w:rsid w:val="00D5363C"/>
    <w:rsid w:val="00D53A30"/>
    <w:rsid w:val="00D53BAB"/>
    <w:rsid w:val="00D53F63"/>
    <w:rsid w:val="00D548FC"/>
    <w:rsid w:val="00D54A7F"/>
    <w:rsid w:val="00D54D6F"/>
    <w:rsid w:val="00D54F63"/>
    <w:rsid w:val="00D54FA3"/>
    <w:rsid w:val="00D55009"/>
    <w:rsid w:val="00D551E6"/>
    <w:rsid w:val="00D55258"/>
    <w:rsid w:val="00D5566E"/>
    <w:rsid w:val="00D55759"/>
    <w:rsid w:val="00D55E9C"/>
    <w:rsid w:val="00D561E5"/>
    <w:rsid w:val="00D566E3"/>
    <w:rsid w:val="00D56A7F"/>
    <w:rsid w:val="00D56AD1"/>
    <w:rsid w:val="00D56BA5"/>
    <w:rsid w:val="00D56CA6"/>
    <w:rsid w:val="00D56DE5"/>
    <w:rsid w:val="00D56E30"/>
    <w:rsid w:val="00D573D9"/>
    <w:rsid w:val="00D57AF1"/>
    <w:rsid w:val="00D57B95"/>
    <w:rsid w:val="00D57CE0"/>
    <w:rsid w:val="00D57DFA"/>
    <w:rsid w:val="00D601EF"/>
    <w:rsid w:val="00D6027F"/>
    <w:rsid w:val="00D60662"/>
    <w:rsid w:val="00D606BA"/>
    <w:rsid w:val="00D6092F"/>
    <w:rsid w:val="00D60ABF"/>
    <w:rsid w:val="00D60BC5"/>
    <w:rsid w:val="00D60E22"/>
    <w:rsid w:val="00D61107"/>
    <w:rsid w:val="00D612BD"/>
    <w:rsid w:val="00D614A9"/>
    <w:rsid w:val="00D615D4"/>
    <w:rsid w:val="00D616C2"/>
    <w:rsid w:val="00D61743"/>
    <w:rsid w:val="00D617D9"/>
    <w:rsid w:val="00D6297F"/>
    <w:rsid w:val="00D62C13"/>
    <w:rsid w:val="00D62E3D"/>
    <w:rsid w:val="00D63059"/>
    <w:rsid w:val="00D635D6"/>
    <w:rsid w:val="00D63F74"/>
    <w:rsid w:val="00D64013"/>
    <w:rsid w:val="00D6405E"/>
    <w:rsid w:val="00D640EF"/>
    <w:rsid w:val="00D64113"/>
    <w:rsid w:val="00D645EA"/>
    <w:rsid w:val="00D64842"/>
    <w:rsid w:val="00D64F01"/>
    <w:rsid w:val="00D64FF1"/>
    <w:rsid w:val="00D65149"/>
    <w:rsid w:val="00D6545F"/>
    <w:rsid w:val="00D657F6"/>
    <w:rsid w:val="00D65902"/>
    <w:rsid w:val="00D65BC7"/>
    <w:rsid w:val="00D65E31"/>
    <w:rsid w:val="00D66078"/>
    <w:rsid w:val="00D6616D"/>
    <w:rsid w:val="00D66322"/>
    <w:rsid w:val="00D670C3"/>
    <w:rsid w:val="00D6716D"/>
    <w:rsid w:val="00D67518"/>
    <w:rsid w:val="00D676D9"/>
    <w:rsid w:val="00D67844"/>
    <w:rsid w:val="00D67874"/>
    <w:rsid w:val="00D67928"/>
    <w:rsid w:val="00D67CA5"/>
    <w:rsid w:val="00D67D75"/>
    <w:rsid w:val="00D7005E"/>
    <w:rsid w:val="00D70127"/>
    <w:rsid w:val="00D7047F"/>
    <w:rsid w:val="00D7050A"/>
    <w:rsid w:val="00D70625"/>
    <w:rsid w:val="00D7082E"/>
    <w:rsid w:val="00D70870"/>
    <w:rsid w:val="00D70A82"/>
    <w:rsid w:val="00D71504"/>
    <w:rsid w:val="00D71CE6"/>
    <w:rsid w:val="00D71D35"/>
    <w:rsid w:val="00D71F8A"/>
    <w:rsid w:val="00D72234"/>
    <w:rsid w:val="00D7237E"/>
    <w:rsid w:val="00D72462"/>
    <w:rsid w:val="00D726A9"/>
    <w:rsid w:val="00D7295A"/>
    <w:rsid w:val="00D729FD"/>
    <w:rsid w:val="00D72C7B"/>
    <w:rsid w:val="00D73050"/>
    <w:rsid w:val="00D730F8"/>
    <w:rsid w:val="00D731E4"/>
    <w:rsid w:val="00D73BD9"/>
    <w:rsid w:val="00D73DE8"/>
    <w:rsid w:val="00D73E55"/>
    <w:rsid w:val="00D73EF4"/>
    <w:rsid w:val="00D73F2D"/>
    <w:rsid w:val="00D74171"/>
    <w:rsid w:val="00D74370"/>
    <w:rsid w:val="00D74555"/>
    <w:rsid w:val="00D746C2"/>
    <w:rsid w:val="00D747EE"/>
    <w:rsid w:val="00D748F4"/>
    <w:rsid w:val="00D75103"/>
    <w:rsid w:val="00D752EB"/>
    <w:rsid w:val="00D754E6"/>
    <w:rsid w:val="00D7569C"/>
    <w:rsid w:val="00D75848"/>
    <w:rsid w:val="00D75A0E"/>
    <w:rsid w:val="00D75C89"/>
    <w:rsid w:val="00D75EFD"/>
    <w:rsid w:val="00D7613A"/>
    <w:rsid w:val="00D764F6"/>
    <w:rsid w:val="00D768B4"/>
    <w:rsid w:val="00D76BF5"/>
    <w:rsid w:val="00D76DC7"/>
    <w:rsid w:val="00D77230"/>
    <w:rsid w:val="00D7732F"/>
    <w:rsid w:val="00D7752F"/>
    <w:rsid w:val="00D7771D"/>
    <w:rsid w:val="00D7783E"/>
    <w:rsid w:val="00D77C3B"/>
    <w:rsid w:val="00D8048B"/>
    <w:rsid w:val="00D80678"/>
    <w:rsid w:val="00D806E0"/>
    <w:rsid w:val="00D809BF"/>
    <w:rsid w:val="00D80BFC"/>
    <w:rsid w:val="00D80C4F"/>
    <w:rsid w:val="00D80DA2"/>
    <w:rsid w:val="00D80DD4"/>
    <w:rsid w:val="00D80F3C"/>
    <w:rsid w:val="00D81106"/>
    <w:rsid w:val="00D81211"/>
    <w:rsid w:val="00D81274"/>
    <w:rsid w:val="00D813EC"/>
    <w:rsid w:val="00D81BBC"/>
    <w:rsid w:val="00D81EC7"/>
    <w:rsid w:val="00D8208E"/>
    <w:rsid w:val="00D82112"/>
    <w:rsid w:val="00D824BF"/>
    <w:rsid w:val="00D8283D"/>
    <w:rsid w:val="00D82877"/>
    <w:rsid w:val="00D8295A"/>
    <w:rsid w:val="00D829BF"/>
    <w:rsid w:val="00D82BE4"/>
    <w:rsid w:val="00D82C23"/>
    <w:rsid w:val="00D82C37"/>
    <w:rsid w:val="00D82C99"/>
    <w:rsid w:val="00D8387E"/>
    <w:rsid w:val="00D83B72"/>
    <w:rsid w:val="00D83DA5"/>
    <w:rsid w:val="00D83DDC"/>
    <w:rsid w:val="00D8410C"/>
    <w:rsid w:val="00D84173"/>
    <w:rsid w:val="00D841BC"/>
    <w:rsid w:val="00D849EC"/>
    <w:rsid w:val="00D84D17"/>
    <w:rsid w:val="00D85162"/>
    <w:rsid w:val="00D853F4"/>
    <w:rsid w:val="00D8570A"/>
    <w:rsid w:val="00D859D0"/>
    <w:rsid w:val="00D85DA8"/>
    <w:rsid w:val="00D85DB2"/>
    <w:rsid w:val="00D86A7F"/>
    <w:rsid w:val="00D86A8C"/>
    <w:rsid w:val="00D86AD6"/>
    <w:rsid w:val="00D8705E"/>
    <w:rsid w:val="00D870CD"/>
    <w:rsid w:val="00D872EC"/>
    <w:rsid w:val="00D875E7"/>
    <w:rsid w:val="00D878A3"/>
    <w:rsid w:val="00D87B34"/>
    <w:rsid w:val="00D902D0"/>
    <w:rsid w:val="00D90809"/>
    <w:rsid w:val="00D90DC3"/>
    <w:rsid w:val="00D90DDD"/>
    <w:rsid w:val="00D90EE2"/>
    <w:rsid w:val="00D90F2B"/>
    <w:rsid w:val="00D910F6"/>
    <w:rsid w:val="00D91E82"/>
    <w:rsid w:val="00D91FB0"/>
    <w:rsid w:val="00D921E4"/>
    <w:rsid w:val="00D922EE"/>
    <w:rsid w:val="00D92537"/>
    <w:rsid w:val="00D92B7E"/>
    <w:rsid w:val="00D92C3B"/>
    <w:rsid w:val="00D93194"/>
    <w:rsid w:val="00D932E1"/>
    <w:rsid w:val="00D93DA4"/>
    <w:rsid w:val="00D93EA8"/>
    <w:rsid w:val="00D93F8E"/>
    <w:rsid w:val="00D940C1"/>
    <w:rsid w:val="00D94218"/>
    <w:rsid w:val="00D9444C"/>
    <w:rsid w:val="00D944C5"/>
    <w:rsid w:val="00D94C05"/>
    <w:rsid w:val="00D94C8E"/>
    <w:rsid w:val="00D94E19"/>
    <w:rsid w:val="00D952B5"/>
    <w:rsid w:val="00D9553E"/>
    <w:rsid w:val="00D956B3"/>
    <w:rsid w:val="00D95CA0"/>
    <w:rsid w:val="00D95E1D"/>
    <w:rsid w:val="00D961EB"/>
    <w:rsid w:val="00D96319"/>
    <w:rsid w:val="00D9689C"/>
    <w:rsid w:val="00D968C8"/>
    <w:rsid w:val="00D96AAC"/>
    <w:rsid w:val="00D96B8E"/>
    <w:rsid w:val="00D96D02"/>
    <w:rsid w:val="00D9707F"/>
    <w:rsid w:val="00D97871"/>
    <w:rsid w:val="00D97895"/>
    <w:rsid w:val="00D9792A"/>
    <w:rsid w:val="00D979AB"/>
    <w:rsid w:val="00D97AC9"/>
    <w:rsid w:val="00D97C04"/>
    <w:rsid w:val="00D97C9A"/>
    <w:rsid w:val="00D97E13"/>
    <w:rsid w:val="00D97EC0"/>
    <w:rsid w:val="00DA00C2"/>
    <w:rsid w:val="00DA04E5"/>
    <w:rsid w:val="00DA0691"/>
    <w:rsid w:val="00DA071F"/>
    <w:rsid w:val="00DA0892"/>
    <w:rsid w:val="00DA0941"/>
    <w:rsid w:val="00DA0C2D"/>
    <w:rsid w:val="00DA0DCC"/>
    <w:rsid w:val="00DA0ED3"/>
    <w:rsid w:val="00DA0F0F"/>
    <w:rsid w:val="00DA13F0"/>
    <w:rsid w:val="00DA142F"/>
    <w:rsid w:val="00DA14F5"/>
    <w:rsid w:val="00DA2190"/>
    <w:rsid w:val="00DA242D"/>
    <w:rsid w:val="00DA265D"/>
    <w:rsid w:val="00DA26C2"/>
    <w:rsid w:val="00DA26D0"/>
    <w:rsid w:val="00DA2971"/>
    <w:rsid w:val="00DA2AE9"/>
    <w:rsid w:val="00DA30A3"/>
    <w:rsid w:val="00DA31C1"/>
    <w:rsid w:val="00DA331C"/>
    <w:rsid w:val="00DA3611"/>
    <w:rsid w:val="00DA36D7"/>
    <w:rsid w:val="00DA376C"/>
    <w:rsid w:val="00DA3C0D"/>
    <w:rsid w:val="00DA3CDE"/>
    <w:rsid w:val="00DA3D90"/>
    <w:rsid w:val="00DA3E29"/>
    <w:rsid w:val="00DA3E51"/>
    <w:rsid w:val="00DA4210"/>
    <w:rsid w:val="00DA426B"/>
    <w:rsid w:val="00DA47F0"/>
    <w:rsid w:val="00DA4A43"/>
    <w:rsid w:val="00DA4E0A"/>
    <w:rsid w:val="00DA4E38"/>
    <w:rsid w:val="00DA4F06"/>
    <w:rsid w:val="00DA503F"/>
    <w:rsid w:val="00DA52D2"/>
    <w:rsid w:val="00DA5421"/>
    <w:rsid w:val="00DA56F6"/>
    <w:rsid w:val="00DA56FD"/>
    <w:rsid w:val="00DA571E"/>
    <w:rsid w:val="00DA5C2E"/>
    <w:rsid w:val="00DA60AB"/>
    <w:rsid w:val="00DA610C"/>
    <w:rsid w:val="00DA620C"/>
    <w:rsid w:val="00DA624E"/>
    <w:rsid w:val="00DA629D"/>
    <w:rsid w:val="00DA64A7"/>
    <w:rsid w:val="00DA69C5"/>
    <w:rsid w:val="00DA6A6B"/>
    <w:rsid w:val="00DA6CEE"/>
    <w:rsid w:val="00DA727A"/>
    <w:rsid w:val="00DA7406"/>
    <w:rsid w:val="00DA7613"/>
    <w:rsid w:val="00DA77CA"/>
    <w:rsid w:val="00DA78D2"/>
    <w:rsid w:val="00DA7928"/>
    <w:rsid w:val="00DA7B89"/>
    <w:rsid w:val="00DA7C00"/>
    <w:rsid w:val="00DA7D7B"/>
    <w:rsid w:val="00DA7E20"/>
    <w:rsid w:val="00DA7F4A"/>
    <w:rsid w:val="00DB0181"/>
    <w:rsid w:val="00DB01D1"/>
    <w:rsid w:val="00DB046C"/>
    <w:rsid w:val="00DB05C3"/>
    <w:rsid w:val="00DB088E"/>
    <w:rsid w:val="00DB0996"/>
    <w:rsid w:val="00DB0A9E"/>
    <w:rsid w:val="00DB0C96"/>
    <w:rsid w:val="00DB0FF2"/>
    <w:rsid w:val="00DB1045"/>
    <w:rsid w:val="00DB104A"/>
    <w:rsid w:val="00DB10BD"/>
    <w:rsid w:val="00DB1176"/>
    <w:rsid w:val="00DB14F3"/>
    <w:rsid w:val="00DB157C"/>
    <w:rsid w:val="00DB167B"/>
    <w:rsid w:val="00DB1744"/>
    <w:rsid w:val="00DB1817"/>
    <w:rsid w:val="00DB1B45"/>
    <w:rsid w:val="00DB1EA5"/>
    <w:rsid w:val="00DB1F57"/>
    <w:rsid w:val="00DB2017"/>
    <w:rsid w:val="00DB2041"/>
    <w:rsid w:val="00DB208C"/>
    <w:rsid w:val="00DB2398"/>
    <w:rsid w:val="00DB2700"/>
    <w:rsid w:val="00DB298B"/>
    <w:rsid w:val="00DB2A2C"/>
    <w:rsid w:val="00DB2B25"/>
    <w:rsid w:val="00DB31AA"/>
    <w:rsid w:val="00DB31DA"/>
    <w:rsid w:val="00DB3332"/>
    <w:rsid w:val="00DB3989"/>
    <w:rsid w:val="00DB3AFD"/>
    <w:rsid w:val="00DB4109"/>
    <w:rsid w:val="00DB43F9"/>
    <w:rsid w:val="00DB4CEC"/>
    <w:rsid w:val="00DB4F73"/>
    <w:rsid w:val="00DB5794"/>
    <w:rsid w:val="00DB5803"/>
    <w:rsid w:val="00DB5881"/>
    <w:rsid w:val="00DB5DB7"/>
    <w:rsid w:val="00DB61B4"/>
    <w:rsid w:val="00DB663C"/>
    <w:rsid w:val="00DB6B07"/>
    <w:rsid w:val="00DB6C93"/>
    <w:rsid w:val="00DB72B6"/>
    <w:rsid w:val="00DB75CA"/>
    <w:rsid w:val="00DB7C6E"/>
    <w:rsid w:val="00DB7D3F"/>
    <w:rsid w:val="00DB7FB5"/>
    <w:rsid w:val="00DC00CF"/>
    <w:rsid w:val="00DC02B7"/>
    <w:rsid w:val="00DC03A3"/>
    <w:rsid w:val="00DC0740"/>
    <w:rsid w:val="00DC0904"/>
    <w:rsid w:val="00DC0970"/>
    <w:rsid w:val="00DC1015"/>
    <w:rsid w:val="00DC1191"/>
    <w:rsid w:val="00DC12B1"/>
    <w:rsid w:val="00DC1403"/>
    <w:rsid w:val="00DC159A"/>
    <w:rsid w:val="00DC16F6"/>
    <w:rsid w:val="00DC1AAD"/>
    <w:rsid w:val="00DC2531"/>
    <w:rsid w:val="00DC27FD"/>
    <w:rsid w:val="00DC2906"/>
    <w:rsid w:val="00DC3057"/>
    <w:rsid w:val="00DC3511"/>
    <w:rsid w:val="00DC356D"/>
    <w:rsid w:val="00DC3910"/>
    <w:rsid w:val="00DC3AB1"/>
    <w:rsid w:val="00DC3D10"/>
    <w:rsid w:val="00DC3D2D"/>
    <w:rsid w:val="00DC4254"/>
    <w:rsid w:val="00DC4435"/>
    <w:rsid w:val="00DC450F"/>
    <w:rsid w:val="00DC46E4"/>
    <w:rsid w:val="00DC483A"/>
    <w:rsid w:val="00DC4B70"/>
    <w:rsid w:val="00DC4BB2"/>
    <w:rsid w:val="00DC50E8"/>
    <w:rsid w:val="00DC5311"/>
    <w:rsid w:val="00DC5525"/>
    <w:rsid w:val="00DC5BA9"/>
    <w:rsid w:val="00DC5E8F"/>
    <w:rsid w:val="00DC5ED8"/>
    <w:rsid w:val="00DC6256"/>
    <w:rsid w:val="00DC62AA"/>
    <w:rsid w:val="00DC6329"/>
    <w:rsid w:val="00DC63D2"/>
    <w:rsid w:val="00DC65D2"/>
    <w:rsid w:val="00DC66A1"/>
    <w:rsid w:val="00DC67D8"/>
    <w:rsid w:val="00DC6927"/>
    <w:rsid w:val="00DC6981"/>
    <w:rsid w:val="00DC6D94"/>
    <w:rsid w:val="00DC6DFC"/>
    <w:rsid w:val="00DC707B"/>
    <w:rsid w:val="00DC747A"/>
    <w:rsid w:val="00DC75DC"/>
    <w:rsid w:val="00DC7BAB"/>
    <w:rsid w:val="00DC7CBC"/>
    <w:rsid w:val="00DC7F66"/>
    <w:rsid w:val="00DD01C9"/>
    <w:rsid w:val="00DD022E"/>
    <w:rsid w:val="00DD03E5"/>
    <w:rsid w:val="00DD06E9"/>
    <w:rsid w:val="00DD0724"/>
    <w:rsid w:val="00DD0759"/>
    <w:rsid w:val="00DD0A25"/>
    <w:rsid w:val="00DD0CF9"/>
    <w:rsid w:val="00DD0DFA"/>
    <w:rsid w:val="00DD1195"/>
    <w:rsid w:val="00DD1246"/>
    <w:rsid w:val="00DD147E"/>
    <w:rsid w:val="00DD149D"/>
    <w:rsid w:val="00DD1AA9"/>
    <w:rsid w:val="00DD1CAA"/>
    <w:rsid w:val="00DD1E6A"/>
    <w:rsid w:val="00DD1F3C"/>
    <w:rsid w:val="00DD1FC1"/>
    <w:rsid w:val="00DD20D3"/>
    <w:rsid w:val="00DD25DB"/>
    <w:rsid w:val="00DD2758"/>
    <w:rsid w:val="00DD2A27"/>
    <w:rsid w:val="00DD2D6E"/>
    <w:rsid w:val="00DD2FEF"/>
    <w:rsid w:val="00DD305C"/>
    <w:rsid w:val="00DD312F"/>
    <w:rsid w:val="00DD35D8"/>
    <w:rsid w:val="00DD3F20"/>
    <w:rsid w:val="00DD3FB6"/>
    <w:rsid w:val="00DD4014"/>
    <w:rsid w:val="00DD4179"/>
    <w:rsid w:val="00DD4342"/>
    <w:rsid w:val="00DD467C"/>
    <w:rsid w:val="00DD48F0"/>
    <w:rsid w:val="00DD4C2D"/>
    <w:rsid w:val="00DD4E15"/>
    <w:rsid w:val="00DD5145"/>
    <w:rsid w:val="00DD5574"/>
    <w:rsid w:val="00DD57E3"/>
    <w:rsid w:val="00DD5AEB"/>
    <w:rsid w:val="00DD5CAC"/>
    <w:rsid w:val="00DD5E2E"/>
    <w:rsid w:val="00DD6A1B"/>
    <w:rsid w:val="00DD6A8F"/>
    <w:rsid w:val="00DD6B8C"/>
    <w:rsid w:val="00DD71D9"/>
    <w:rsid w:val="00DD71E2"/>
    <w:rsid w:val="00DD74FF"/>
    <w:rsid w:val="00DD7504"/>
    <w:rsid w:val="00DD7653"/>
    <w:rsid w:val="00DD7AD8"/>
    <w:rsid w:val="00DD7B0F"/>
    <w:rsid w:val="00DD7C2A"/>
    <w:rsid w:val="00DE00C7"/>
    <w:rsid w:val="00DE00F9"/>
    <w:rsid w:val="00DE0107"/>
    <w:rsid w:val="00DE0371"/>
    <w:rsid w:val="00DE0A02"/>
    <w:rsid w:val="00DE0C76"/>
    <w:rsid w:val="00DE0DA0"/>
    <w:rsid w:val="00DE108D"/>
    <w:rsid w:val="00DE1272"/>
    <w:rsid w:val="00DE1494"/>
    <w:rsid w:val="00DE16F8"/>
    <w:rsid w:val="00DE185A"/>
    <w:rsid w:val="00DE1A01"/>
    <w:rsid w:val="00DE1BF4"/>
    <w:rsid w:val="00DE1D1C"/>
    <w:rsid w:val="00DE1EFA"/>
    <w:rsid w:val="00DE21BF"/>
    <w:rsid w:val="00DE2972"/>
    <w:rsid w:val="00DE2D2D"/>
    <w:rsid w:val="00DE306D"/>
    <w:rsid w:val="00DE31E3"/>
    <w:rsid w:val="00DE328A"/>
    <w:rsid w:val="00DE3312"/>
    <w:rsid w:val="00DE3331"/>
    <w:rsid w:val="00DE3458"/>
    <w:rsid w:val="00DE36C4"/>
    <w:rsid w:val="00DE37D4"/>
    <w:rsid w:val="00DE3F9D"/>
    <w:rsid w:val="00DE40B8"/>
    <w:rsid w:val="00DE411D"/>
    <w:rsid w:val="00DE42C8"/>
    <w:rsid w:val="00DE441B"/>
    <w:rsid w:val="00DE4700"/>
    <w:rsid w:val="00DE47C1"/>
    <w:rsid w:val="00DE4ADB"/>
    <w:rsid w:val="00DE4D30"/>
    <w:rsid w:val="00DE4D83"/>
    <w:rsid w:val="00DE4EA4"/>
    <w:rsid w:val="00DE4F96"/>
    <w:rsid w:val="00DE5154"/>
    <w:rsid w:val="00DE56AD"/>
    <w:rsid w:val="00DE56F5"/>
    <w:rsid w:val="00DE578B"/>
    <w:rsid w:val="00DE58AD"/>
    <w:rsid w:val="00DE5947"/>
    <w:rsid w:val="00DE5A28"/>
    <w:rsid w:val="00DE5A92"/>
    <w:rsid w:val="00DE5CDD"/>
    <w:rsid w:val="00DE5DA9"/>
    <w:rsid w:val="00DE5EB8"/>
    <w:rsid w:val="00DE5FD1"/>
    <w:rsid w:val="00DE609F"/>
    <w:rsid w:val="00DE60A1"/>
    <w:rsid w:val="00DE652C"/>
    <w:rsid w:val="00DE65AF"/>
    <w:rsid w:val="00DE6829"/>
    <w:rsid w:val="00DE6849"/>
    <w:rsid w:val="00DE68B8"/>
    <w:rsid w:val="00DE69DC"/>
    <w:rsid w:val="00DE6A6D"/>
    <w:rsid w:val="00DE6AA3"/>
    <w:rsid w:val="00DE6F3F"/>
    <w:rsid w:val="00DE6F66"/>
    <w:rsid w:val="00DE71BE"/>
    <w:rsid w:val="00DE723E"/>
    <w:rsid w:val="00DE75EE"/>
    <w:rsid w:val="00DE7A01"/>
    <w:rsid w:val="00DE7BF4"/>
    <w:rsid w:val="00DE7FF5"/>
    <w:rsid w:val="00DF0262"/>
    <w:rsid w:val="00DF043E"/>
    <w:rsid w:val="00DF0B0B"/>
    <w:rsid w:val="00DF0E66"/>
    <w:rsid w:val="00DF0EA5"/>
    <w:rsid w:val="00DF0EED"/>
    <w:rsid w:val="00DF1009"/>
    <w:rsid w:val="00DF1114"/>
    <w:rsid w:val="00DF111B"/>
    <w:rsid w:val="00DF1320"/>
    <w:rsid w:val="00DF14DE"/>
    <w:rsid w:val="00DF16FE"/>
    <w:rsid w:val="00DF178D"/>
    <w:rsid w:val="00DF19BF"/>
    <w:rsid w:val="00DF1AFA"/>
    <w:rsid w:val="00DF1D1D"/>
    <w:rsid w:val="00DF1ED0"/>
    <w:rsid w:val="00DF20F8"/>
    <w:rsid w:val="00DF216A"/>
    <w:rsid w:val="00DF2176"/>
    <w:rsid w:val="00DF21F3"/>
    <w:rsid w:val="00DF229E"/>
    <w:rsid w:val="00DF2732"/>
    <w:rsid w:val="00DF2BC9"/>
    <w:rsid w:val="00DF2E1F"/>
    <w:rsid w:val="00DF2EEC"/>
    <w:rsid w:val="00DF2F3B"/>
    <w:rsid w:val="00DF351C"/>
    <w:rsid w:val="00DF38D1"/>
    <w:rsid w:val="00DF39C4"/>
    <w:rsid w:val="00DF3C8D"/>
    <w:rsid w:val="00DF40DA"/>
    <w:rsid w:val="00DF4316"/>
    <w:rsid w:val="00DF44E1"/>
    <w:rsid w:val="00DF4541"/>
    <w:rsid w:val="00DF4666"/>
    <w:rsid w:val="00DF4BCA"/>
    <w:rsid w:val="00DF4E68"/>
    <w:rsid w:val="00DF50E5"/>
    <w:rsid w:val="00DF5153"/>
    <w:rsid w:val="00DF52AF"/>
    <w:rsid w:val="00DF544C"/>
    <w:rsid w:val="00DF5619"/>
    <w:rsid w:val="00DF561D"/>
    <w:rsid w:val="00DF5782"/>
    <w:rsid w:val="00DF57FA"/>
    <w:rsid w:val="00DF5B25"/>
    <w:rsid w:val="00DF5C12"/>
    <w:rsid w:val="00DF5D02"/>
    <w:rsid w:val="00DF64AE"/>
    <w:rsid w:val="00DF67BF"/>
    <w:rsid w:val="00DF6D49"/>
    <w:rsid w:val="00DF6EA5"/>
    <w:rsid w:val="00DF70BF"/>
    <w:rsid w:val="00DF7279"/>
    <w:rsid w:val="00DF745A"/>
    <w:rsid w:val="00DF74AD"/>
    <w:rsid w:val="00DF7608"/>
    <w:rsid w:val="00DF787B"/>
    <w:rsid w:val="00DF7903"/>
    <w:rsid w:val="00DF7CF3"/>
    <w:rsid w:val="00DF7D51"/>
    <w:rsid w:val="00E002B7"/>
    <w:rsid w:val="00E00385"/>
    <w:rsid w:val="00E00573"/>
    <w:rsid w:val="00E005B4"/>
    <w:rsid w:val="00E006FF"/>
    <w:rsid w:val="00E00B8A"/>
    <w:rsid w:val="00E00CA4"/>
    <w:rsid w:val="00E00CAE"/>
    <w:rsid w:val="00E00D30"/>
    <w:rsid w:val="00E00D9B"/>
    <w:rsid w:val="00E0130C"/>
    <w:rsid w:val="00E019A4"/>
    <w:rsid w:val="00E01F25"/>
    <w:rsid w:val="00E0279C"/>
    <w:rsid w:val="00E028B3"/>
    <w:rsid w:val="00E029FC"/>
    <w:rsid w:val="00E02E5D"/>
    <w:rsid w:val="00E02EAC"/>
    <w:rsid w:val="00E0302E"/>
    <w:rsid w:val="00E031E1"/>
    <w:rsid w:val="00E03358"/>
    <w:rsid w:val="00E033CA"/>
    <w:rsid w:val="00E0364C"/>
    <w:rsid w:val="00E036D6"/>
    <w:rsid w:val="00E03835"/>
    <w:rsid w:val="00E038CA"/>
    <w:rsid w:val="00E038E8"/>
    <w:rsid w:val="00E0397E"/>
    <w:rsid w:val="00E03A05"/>
    <w:rsid w:val="00E03A5B"/>
    <w:rsid w:val="00E03C1C"/>
    <w:rsid w:val="00E03CDD"/>
    <w:rsid w:val="00E040D6"/>
    <w:rsid w:val="00E04310"/>
    <w:rsid w:val="00E04586"/>
    <w:rsid w:val="00E048D4"/>
    <w:rsid w:val="00E04A9B"/>
    <w:rsid w:val="00E0505F"/>
    <w:rsid w:val="00E0563E"/>
    <w:rsid w:val="00E05A9B"/>
    <w:rsid w:val="00E05B9D"/>
    <w:rsid w:val="00E05E65"/>
    <w:rsid w:val="00E0624E"/>
    <w:rsid w:val="00E063CE"/>
    <w:rsid w:val="00E06490"/>
    <w:rsid w:val="00E06825"/>
    <w:rsid w:val="00E06FD0"/>
    <w:rsid w:val="00E07087"/>
    <w:rsid w:val="00E077CF"/>
    <w:rsid w:val="00E07C31"/>
    <w:rsid w:val="00E07DD1"/>
    <w:rsid w:val="00E104DA"/>
    <w:rsid w:val="00E10629"/>
    <w:rsid w:val="00E1062F"/>
    <w:rsid w:val="00E108F2"/>
    <w:rsid w:val="00E10936"/>
    <w:rsid w:val="00E109F2"/>
    <w:rsid w:val="00E10A83"/>
    <w:rsid w:val="00E10C5B"/>
    <w:rsid w:val="00E11010"/>
    <w:rsid w:val="00E110E0"/>
    <w:rsid w:val="00E110E4"/>
    <w:rsid w:val="00E11236"/>
    <w:rsid w:val="00E11A1B"/>
    <w:rsid w:val="00E11D7B"/>
    <w:rsid w:val="00E12154"/>
    <w:rsid w:val="00E122E6"/>
    <w:rsid w:val="00E122E9"/>
    <w:rsid w:val="00E12637"/>
    <w:rsid w:val="00E12824"/>
    <w:rsid w:val="00E12C16"/>
    <w:rsid w:val="00E13433"/>
    <w:rsid w:val="00E134F5"/>
    <w:rsid w:val="00E13811"/>
    <w:rsid w:val="00E13857"/>
    <w:rsid w:val="00E13B24"/>
    <w:rsid w:val="00E13BFD"/>
    <w:rsid w:val="00E1408A"/>
    <w:rsid w:val="00E14128"/>
    <w:rsid w:val="00E14159"/>
    <w:rsid w:val="00E143E2"/>
    <w:rsid w:val="00E14525"/>
    <w:rsid w:val="00E14696"/>
    <w:rsid w:val="00E1482E"/>
    <w:rsid w:val="00E14B97"/>
    <w:rsid w:val="00E14CF4"/>
    <w:rsid w:val="00E14D11"/>
    <w:rsid w:val="00E14E69"/>
    <w:rsid w:val="00E14EA0"/>
    <w:rsid w:val="00E14F4D"/>
    <w:rsid w:val="00E14F66"/>
    <w:rsid w:val="00E153DF"/>
    <w:rsid w:val="00E15416"/>
    <w:rsid w:val="00E15CCB"/>
    <w:rsid w:val="00E16107"/>
    <w:rsid w:val="00E164EA"/>
    <w:rsid w:val="00E16607"/>
    <w:rsid w:val="00E16AF3"/>
    <w:rsid w:val="00E16B16"/>
    <w:rsid w:val="00E16DC8"/>
    <w:rsid w:val="00E16E30"/>
    <w:rsid w:val="00E16ED8"/>
    <w:rsid w:val="00E16FB6"/>
    <w:rsid w:val="00E1700D"/>
    <w:rsid w:val="00E1708E"/>
    <w:rsid w:val="00E172AE"/>
    <w:rsid w:val="00E17393"/>
    <w:rsid w:val="00E17746"/>
    <w:rsid w:val="00E17C79"/>
    <w:rsid w:val="00E17F4B"/>
    <w:rsid w:val="00E17FCA"/>
    <w:rsid w:val="00E20015"/>
    <w:rsid w:val="00E20895"/>
    <w:rsid w:val="00E20DC8"/>
    <w:rsid w:val="00E20DEF"/>
    <w:rsid w:val="00E210CF"/>
    <w:rsid w:val="00E212EE"/>
    <w:rsid w:val="00E214AC"/>
    <w:rsid w:val="00E21772"/>
    <w:rsid w:val="00E217BC"/>
    <w:rsid w:val="00E218B5"/>
    <w:rsid w:val="00E219D4"/>
    <w:rsid w:val="00E21E0D"/>
    <w:rsid w:val="00E2225F"/>
    <w:rsid w:val="00E2263D"/>
    <w:rsid w:val="00E22B43"/>
    <w:rsid w:val="00E22D4F"/>
    <w:rsid w:val="00E22D9D"/>
    <w:rsid w:val="00E22E4F"/>
    <w:rsid w:val="00E23095"/>
    <w:rsid w:val="00E231EB"/>
    <w:rsid w:val="00E234CB"/>
    <w:rsid w:val="00E242A9"/>
    <w:rsid w:val="00E242C0"/>
    <w:rsid w:val="00E242E8"/>
    <w:rsid w:val="00E24556"/>
    <w:rsid w:val="00E245DE"/>
    <w:rsid w:val="00E248B5"/>
    <w:rsid w:val="00E24B6B"/>
    <w:rsid w:val="00E24C38"/>
    <w:rsid w:val="00E24DB2"/>
    <w:rsid w:val="00E24DC4"/>
    <w:rsid w:val="00E252DF"/>
    <w:rsid w:val="00E254D6"/>
    <w:rsid w:val="00E25850"/>
    <w:rsid w:val="00E259E3"/>
    <w:rsid w:val="00E25A82"/>
    <w:rsid w:val="00E25D52"/>
    <w:rsid w:val="00E2606D"/>
    <w:rsid w:val="00E261EC"/>
    <w:rsid w:val="00E26491"/>
    <w:rsid w:val="00E26629"/>
    <w:rsid w:val="00E26631"/>
    <w:rsid w:val="00E26651"/>
    <w:rsid w:val="00E267C6"/>
    <w:rsid w:val="00E271AA"/>
    <w:rsid w:val="00E27387"/>
    <w:rsid w:val="00E278F6"/>
    <w:rsid w:val="00E2792F"/>
    <w:rsid w:val="00E27D90"/>
    <w:rsid w:val="00E27FB9"/>
    <w:rsid w:val="00E309D5"/>
    <w:rsid w:val="00E313C2"/>
    <w:rsid w:val="00E314DC"/>
    <w:rsid w:val="00E31528"/>
    <w:rsid w:val="00E3172F"/>
    <w:rsid w:val="00E318EF"/>
    <w:rsid w:val="00E31F0D"/>
    <w:rsid w:val="00E320B6"/>
    <w:rsid w:val="00E320CD"/>
    <w:rsid w:val="00E323DA"/>
    <w:rsid w:val="00E32401"/>
    <w:rsid w:val="00E32633"/>
    <w:rsid w:val="00E3274E"/>
    <w:rsid w:val="00E329A0"/>
    <w:rsid w:val="00E32CFC"/>
    <w:rsid w:val="00E32F3D"/>
    <w:rsid w:val="00E33071"/>
    <w:rsid w:val="00E332AD"/>
    <w:rsid w:val="00E333C9"/>
    <w:rsid w:val="00E3351D"/>
    <w:rsid w:val="00E33E07"/>
    <w:rsid w:val="00E33E65"/>
    <w:rsid w:val="00E34227"/>
    <w:rsid w:val="00E34A66"/>
    <w:rsid w:val="00E34B24"/>
    <w:rsid w:val="00E350D7"/>
    <w:rsid w:val="00E350FF"/>
    <w:rsid w:val="00E35343"/>
    <w:rsid w:val="00E35924"/>
    <w:rsid w:val="00E3595C"/>
    <w:rsid w:val="00E35C77"/>
    <w:rsid w:val="00E360CF"/>
    <w:rsid w:val="00E3648D"/>
    <w:rsid w:val="00E36C0C"/>
    <w:rsid w:val="00E36DF0"/>
    <w:rsid w:val="00E3706D"/>
    <w:rsid w:val="00E3710E"/>
    <w:rsid w:val="00E3717F"/>
    <w:rsid w:val="00E3729C"/>
    <w:rsid w:val="00E37488"/>
    <w:rsid w:val="00E37D43"/>
    <w:rsid w:val="00E37DD9"/>
    <w:rsid w:val="00E37EBB"/>
    <w:rsid w:val="00E37F24"/>
    <w:rsid w:val="00E37FE1"/>
    <w:rsid w:val="00E40165"/>
    <w:rsid w:val="00E40390"/>
    <w:rsid w:val="00E407BF"/>
    <w:rsid w:val="00E40891"/>
    <w:rsid w:val="00E412A0"/>
    <w:rsid w:val="00E41450"/>
    <w:rsid w:val="00E414F8"/>
    <w:rsid w:val="00E41555"/>
    <w:rsid w:val="00E415BC"/>
    <w:rsid w:val="00E4171F"/>
    <w:rsid w:val="00E41846"/>
    <w:rsid w:val="00E4186E"/>
    <w:rsid w:val="00E41AE1"/>
    <w:rsid w:val="00E41C9B"/>
    <w:rsid w:val="00E41EB6"/>
    <w:rsid w:val="00E42068"/>
    <w:rsid w:val="00E42271"/>
    <w:rsid w:val="00E4228F"/>
    <w:rsid w:val="00E42299"/>
    <w:rsid w:val="00E4231F"/>
    <w:rsid w:val="00E42349"/>
    <w:rsid w:val="00E423D8"/>
    <w:rsid w:val="00E42AB1"/>
    <w:rsid w:val="00E42AFA"/>
    <w:rsid w:val="00E42F19"/>
    <w:rsid w:val="00E42FFC"/>
    <w:rsid w:val="00E43102"/>
    <w:rsid w:val="00E43143"/>
    <w:rsid w:val="00E43246"/>
    <w:rsid w:val="00E4329E"/>
    <w:rsid w:val="00E43A1F"/>
    <w:rsid w:val="00E43B04"/>
    <w:rsid w:val="00E43D6D"/>
    <w:rsid w:val="00E44085"/>
    <w:rsid w:val="00E440B2"/>
    <w:rsid w:val="00E441C6"/>
    <w:rsid w:val="00E442D3"/>
    <w:rsid w:val="00E442E9"/>
    <w:rsid w:val="00E44401"/>
    <w:rsid w:val="00E447BA"/>
    <w:rsid w:val="00E4496A"/>
    <w:rsid w:val="00E44E71"/>
    <w:rsid w:val="00E45118"/>
    <w:rsid w:val="00E4556C"/>
    <w:rsid w:val="00E4563E"/>
    <w:rsid w:val="00E45946"/>
    <w:rsid w:val="00E45DFA"/>
    <w:rsid w:val="00E45EB5"/>
    <w:rsid w:val="00E45FBE"/>
    <w:rsid w:val="00E46408"/>
    <w:rsid w:val="00E46A5E"/>
    <w:rsid w:val="00E46DDC"/>
    <w:rsid w:val="00E473E9"/>
    <w:rsid w:val="00E475CF"/>
    <w:rsid w:val="00E4795B"/>
    <w:rsid w:val="00E47CE8"/>
    <w:rsid w:val="00E503C6"/>
    <w:rsid w:val="00E5042C"/>
    <w:rsid w:val="00E508C4"/>
    <w:rsid w:val="00E50F26"/>
    <w:rsid w:val="00E50FE6"/>
    <w:rsid w:val="00E51649"/>
    <w:rsid w:val="00E519F8"/>
    <w:rsid w:val="00E51F9F"/>
    <w:rsid w:val="00E521CA"/>
    <w:rsid w:val="00E523D9"/>
    <w:rsid w:val="00E5295B"/>
    <w:rsid w:val="00E52B76"/>
    <w:rsid w:val="00E52C73"/>
    <w:rsid w:val="00E53349"/>
    <w:rsid w:val="00E535FE"/>
    <w:rsid w:val="00E5361C"/>
    <w:rsid w:val="00E53818"/>
    <w:rsid w:val="00E53C23"/>
    <w:rsid w:val="00E53E82"/>
    <w:rsid w:val="00E54077"/>
    <w:rsid w:val="00E5415E"/>
    <w:rsid w:val="00E54246"/>
    <w:rsid w:val="00E54788"/>
    <w:rsid w:val="00E549A5"/>
    <w:rsid w:val="00E54A27"/>
    <w:rsid w:val="00E54EAA"/>
    <w:rsid w:val="00E54EF3"/>
    <w:rsid w:val="00E54F50"/>
    <w:rsid w:val="00E551A8"/>
    <w:rsid w:val="00E5555E"/>
    <w:rsid w:val="00E55A1C"/>
    <w:rsid w:val="00E55A69"/>
    <w:rsid w:val="00E55C58"/>
    <w:rsid w:val="00E562C0"/>
    <w:rsid w:val="00E5632B"/>
    <w:rsid w:val="00E563AB"/>
    <w:rsid w:val="00E566D6"/>
    <w:rsid w:val="00E56916"/>
    <w:rsid w:val="00E56A48"/>
    <w:rsid w:val="00E56C58"/>
    <w:rsid w:val="00E56C70"/>
    <w:rsid w:val="00E56F1A"/>
    <w:rsid w:val="00E56FB2"/>
    <w:rsid w:val="00E56FE4"/>
    <w:rsid w:val="00E576D4"/>
    <w:rsid w:val="00E57788"/>
    <w:rsid w:val="00E57835"/>
    <w:rsid w:val="00E57872"/>
    <w:rsid w:val="00E57959"/>
    <w:rsid w:val="00E57AE1"/>
    <w:rsid w:val="00E57BA6"/>
    <w:rsid w:val="00E57CFB"/>
    <w:rsid w:val="00E57E1E"/>
    <w:rsid w:val="00E57E5D"/>
    <w:rsid w:val="00E57FFE"/>
    <w:rsid w:val="00E607E2"/>
    <w:rsid w:val="00E6086D"/>
    <w:rsid w:val="00E60907"/>
    <w:rsid w:val="00E6124D"/>
    <w:rsid w:val="00E6129B"/>
    <w:rsid w:val="00E614B6"/>
    <w:rsid w:val="00E617B5"/>
    <w:rsid w:val="00E617FB"/>
    <w:rsid w:val="00E61F16"/>
    <w:rsid w:val="00E62876"/>
    <w:rsid w:val="00E62A3D"/>
    <w:rsid w:val="00E62AC6"/>
    <w:rsid w:val="00E62B0C"/>
    <w:rsid w:val="00E62B34"/>
    <w:rsid w:val="00E62B9F"/>
    <w:rsid w:val="00E62F51"/>
    <w:rsid w:val="00E63642"/>
    <w:rsid w:val="00E63739"/>
    <w:rsid w:val="00E63ACF"/>
    <w:rsid w:val="00E63CFC"/>
    <w:rsid w:val="00E63D2D"/>
    <w:rsid w:val="00E6450A"/>
    <w:rsid w:val="00E649C3"/>
    <w:rsid w:val="00E64CBB"/>
    <w:rsid w:val="00E64E2C"/>
    <w:rsid w:val="00E64F8E"/>
    <w:rsid w:val="00E65176"/>
    <w:rsid w:val="00E6524F"/>
    <w:rsid w:val="00E652B6"/>
    <w:rsid w:val="00E6539E"/>
    <w:rsid w:val="00E654D8"/>
    <w:rsid w:val="00E658E7"/>
    <w:rsid w:val="00E6596E"/>
    <w:rsid w:val="00E663E6"/>
    <w:rsid w:val="00E668AD"/>
    <w:rsid w:val="00E66D99"/>
    <w:rsid w:val="00E66F26"/>
    <w:rsid w:val="00E6705A"/>
    <w:rsid w:val="00E6733F"/>
    <w:rsid w:val="00E678B1"/>
    <w:rsid w:val="00E67980"/>
    <w:rsid w:val="00E67B50"/>
    <w:rsid w:val="00E70061"/>
    <w:rsid w:val="00E70236"/>
    <w:rsid w:val="00E7028E"/>
    <w:rsid w:val="00E70496"/>
    <w:rsid w:val="00E708B6"/>
    <w:rsid w:val="00E7092D"/>
    <w:rsid w:val="00E70C11"/>
    <w:rsid w:val="00E70CFD"/>
    <w:rsid w:val="00E70FCE"/>
    <w:rsid w:val="00E7115B"/>
    <w:rsid w:val="00E71229"/>
    <w:rsid w:val="00E7138D"/>
    <w:rsid w:val="00E717CC"/>
    <w:rsid w:val="00E717F4"/>
    <w:rsid w:val="00E7180A"/>
    <w:rsid w:val="00E71A77"/>
    <w:rsid w:val="00E71BD0"/>
    <w:rsid w:val="00E71D01"/>
    <w:rsid w:val="00E71F45"/>
    <w:rsid w:val="00E72105"/>
    <w:rsid w:val="00E72212"/>
    <w:rsid w:val="00E724CD"/>
    <w:rsid w:val="00E724F6"/>
    <w:rsid w:val="00E72607"/>
    <w:rsid w:val="00E7293D"/>
    <w:rsid w:val="00E72E31"/>
    <w:rsid w:val="00E7328E"/>
    <w:rsid w:val="00E733D6"/>
    <w:rsid w:val="00E7398F"/>
    <w:rsid w:val="00E73A65"/>
    <w:rsid w:val="00E73F5F"/>
    <w:rsid w:val="00E74142"/>
    <w:rsid w:val="00E74922"/>
    <w:rsid w:val="00E74DA1"/>
    <w:rsid w:val="00E75467"/>
    <w:rsid w:val="00E75D74"/>
    <w:rsid w:val="00E7603C"/>
    <w:rsid w:val="00E760A4"/>
    <w:rsid w:val="00E760AE"/>
    <w:rsid w:val="00E76821"/>
    <w:rsid w:val="00E768D0"/>
    <w:rsid w:val="00E7691A"/>
    <w:rsid w:val="00E76A6A"/>
    <w:rsid w:val="00E76ABE"/>
    <w:rsid w:val="00E76CAE"/>
    <w:rsid w:val="00E77055"/>
    <w:rsid w:val="00E77934"/>
    <w:rsid w:val="00E77FB7"/>
    <w:rsid w:val="00E8007C"/>
    <w:rsid w:val="00E800A7"/>
    <w:rsid w:val="00E80108"/>
    <w:rsid w:val="00E8014B"/>
    <w:rsid w:val="00E802C4"/>
    <w:rsid w:val="00E8037A"/>
    <w:rsid w:val="00E803F0"/>
    <w:rsid w:val="00E804FC"/>
    <w:rsid w:val="00E80ABF"/>
    <w:rsid w:val="00E80C03"/>
    <w:rsid w:val="00E80EBA"/>
    <w:rsid w:val="00E80F54"/>
    <w:rsid w:val="00E81269"/>
    <w:rsid w:val="00E813E7"/>
    <w:rsid w:val="00E81962"/>
    <w:rsid w:val="00E81AD3"/>
    <w:rsid w:val="00E81B74"/>
    <w:rsid w:val="00E81BA4"/>
    <w:rsid w:val="00E81DAD"/>
    <w:rsid w:val="00E81FA0"/>
    <w:rsid w:val="00E82174"/>
    <w:rsid w:val="00E82404"/>
    <w:rsid w:val="00E824EC"/>
    <w:rsid w:val="00E825F9"/>
    <w:rsid w:val="00E82A2B"/>
    <w:rsid w:val="00E82A9A"/>
    <w:rsid w:val="00E830A4"/>
    <w:rsid w:val="00E83342"/>
    <w:rsid w:val="00E834B0"/>
    <w:rsid w:val="00E837D3"/>
    <w:rsid w:val="00E83827"/>
    <w:rsid w:val="00E83AA1"/>
    <w:rsid w:val="00E84160"/>
    <w:rsid w:val="00E841C6"/>
    <w:rsid w:val="00E843CF"/>
    <w:rsid w:val="00E846BC"/>
    <w:rsid w:val="00E84D2C"/>
    <w:rsid w:val="00E84E9B"/>
    <w:rsid w:val="00E84F86"/>
    <w:rsid w:val="00E85171"/>
    <w:rsid w:val="00E8518F"/>
    <w:rsid w:val="00E85207"/>
    <w:rsid w:val="00E853C9"/>
    <w:rsid w:val="00E85939"/>
    <w:rsid w:val="00E859F2"/>
    <w:rsid w:val="00E85AD7"/>
    <w:rsid w:val="00E85BBF"/>
    <w:rsid w:val="00E85F05"/>
    <w:rsid w:val="00E863E7"/>
    <w:rsid w:val="00E8659A"/>
    <w:rsid w:val="00E8685A"/>
    <w:rsid w:val="00E8690B"/>
    <w:rsid w:val="00E87077"/>
    <w:rsid w:val="00E871B9"/>
    <w:rsid w:val="00E876C3"/>
    <w:rsid w:val="00E87B1F"/>
    <w:rsid w:val="00E87DDA"/>
    <w:rsid w:val="00E87F00"/>
    <w:rsid w:val="00E90297"/>
    <w:rsid w:val="00E9065B"/>
    <w:rsid w:val="00E9086B"/>
    <w:rsid w:val="00E90986"/>
    <w:rsid w:val="00E909CA"/>
    <w:rsid w:val="00E90A72"/>
    <w:rsid w:val="00E90B83"/>
    <w:rsid w:val="00E90BB9"/>
    <w:rsid w:val="00E90C95"/>
    <w:rsid w:val="00E9163D"/>
    <w:rsid w:val="00E91821"/>
    <w:rsid w:val="00E91CE0"/>
    <w:rsid w:val="00E91E43"/>
    <w:rsid w:val="00E92429"/>
    <w:rsid w:val="00E92A99"/>
    <w:rsid w:val="00E92DB6"/>
    <w:rsid w:val="00E92F5A"/>
    <w:rsid w:val="00E92F97"/>
    <w:rsid w:val="00E932FB"/>
    <w:rsid w:val="00E933D1"/>
    <w:rsid w:val="00E93456"/>
    <w:rsid w:val="00E934E5"/>
    <w:rsid w:val="00E93614"/>
    <w:rsid w:val="00E9378A"/>
    <w:rsid w:val="00E94090"/>
    <w:rsid w:val="00E94152"/>
    <w:rsid w:val="00E9426A"/>
    <w:rsid w:val="00E94280"/>
    <w:rsid w:val="00E94583"/>
    <w:rsid w:val="00E9464C"/>
    <w:rsid w:val="00E946A9"/>
    <w:rsid w:val="00E94864"/>
    <w:rsid w:val="00E94BD9"/>
    <w:rsid w:val="00E94ED7"/>
    <w:rsid w:val="00E94F28"/>
    <w:rsid w:val="00E95034"/>
    <w:rsid w:val="00E95221"/>
    <w:rsid w:val="00E952D5"/>
    <w:rsid w:val="00E953D1"/>
    <w:rsid w:val="00E95541"/>
    <w:rsid w:val="00E9560C"/>
    <w:rsid w:val="00E956B1"/>
    <w:rsid w:val="00E95BA7"/>
    <w:rsid w:val="00E95CBE"/>
    <w:rsid w:val="00E95D20"/>
    <w:rsid w:val="00E96093"/>
    <w:rsid w:val="00E9654E"/>
    <w:rsid w:val="00E9695F"/>
    <w:rsid w:val="00E96AD8"/>
    <w:rsid w:val="00E96BCB"/>
    <w:rsid w:val="00E96CB7"/>
    <w:rsid w:val="00E96FF7"/>
    <w:rsid w:val="00E9704B"/>
    <w:rsid w:val="00E970CF"/>
    <w:rsid w:val="00E9711B"/>
    <w:rsid w:val="00E9720E"/>
    <w:rsid w:val="00E974E7"/>
    <w:rsid w:val="00E976FD"/>
    <w:rsid w:val="00E979A0"/>
    <w:rsid w:val="00E97AC7"/>
    <w:rsid w:val="00E97E28"/>
    <w:rsid w:val="00EA003C"/>
    <w:rsid w:val="00EA0070"/>
    <w:rsid w:val="00EA00CD"/>
    <w:rsid w:val="00EA04DF"/>
    <w:rsid w:val="00EA065E"/>
    <w:rsid w:val="00EA0884"/>
    <w:rsid w:val="00EA0963"/>
    <w:rsid w:val="00EA0DF2"/>
    <w:rsid w:val="00EA10D2"/>
    <w:rsid w:val="00EA1202"/>
    <w:rsid w:val="00EA167C"/>
    <w:rsid w:val="00EA19E2"/>
    <w:rsid w:val="00EA1AB0"/>
    <w:rsid w:val="00EA1CD7"/>
    <w:rsid w:val="00EA27C1"/>
    <w:rsid w:val="00EA27E8"/>
    <w:rsid w:val="00EA28A6"/>
    <w:rsid w:val="00EA29C0"/>
    <w:rsid w:val="00EA29D7"/>
    <w:rsid w:val="00EA2BAA"/>
    <w:rsid w:val="00EA2C3C"/>
    <w:rsid w:val="00EA2EDB"/>
    <w:rsid w:val="00EA2F18"/>
    <w:rsid w:val="00EA2F66"/>
    <w:rsid w:val="00EA32A9"/>
    <w:rsid w:val="00EA334C"/>
    <w:rsid w:val="00EA3362"/>
    <w:rsid w:val="00EA3529"/>
    <w:rsid w:val="00EA3B07"/>
    <w:rsid w:val="00EA3D49"/>
    <w:rsid w:val="00EA3D4F"/>
    <w:rsid w:val="00EA3EC7"/>
    <w:rsid w:val="00EA3ED4"/>
    <w:rsid w:val="00EA4021"/>
    <w:rsid w:val="00EA412F"/>
    <w:rsid w:val="00EA413B"/>
    <w:rsid w:val="00EA422E"/>
    <w:rsid w:val="00EA4247"/>
    <w:rsid w:val="00EA4612"/>
    <w:rsid w:val="00EA466D"/>
    <w:rsid w:val="00EA46AE"/>
    <w:rsid w:val="00EA50DD"/>
    <w:rsid w:val="00EA57F5"/>
    <w:rsid w:val="00EA583B"/>
    <w:rsid w:val="00EA5A7F"/>
    <w:rsid w:val="00EA5F43"/>
    <w:rsid w:val="00EA5FDF"/>
    <w:rsid w:val="00EA607B"/>
    <w:rsid w:val="00EA60BD"/>
    <w:rsid w:val="00EA64EE"/>
    <w:rsid w:val="00EA65D3"/>
    <w:rsid w:val="00EA6949"/>
    <w:rsid w:val="00EA6D77"/>
    <w:rsid w:val="00EA7113"/>
    <w:rsid w:val="00EA71E4"/>
    <w:rsid w:val="00EA76CD"/>
    <w:rsid w:val="00EA7755"/>
    <w:rsid w:val="00EA7808"/>
    <w:rsid w:val="00EA7B8F"/>
    <w:rsid w:val="00EA7C84"/>
    <w:rsid w:val="00EA7DB6"/>
    <w:rsid w:val="00EB0203"/>
    <w:rsid w:val="00EB021D"/>
    <w:rsid w:val="00EB0BF1"/>
    <w:rsid w:val="00EB0FB0"/>
    <w:rsid w:val="00EB100E"/>
    <w:rsid w:val="00EB106E"/>
    <w:rsid w:val="00EB11A1"/>
    <w:rsid w:val="00EB16D0"/>
    <w:rsid w:val="00EB19F6"/>
    <w:rsid w:val="00EB1A3A"/>
    <w:rsid w:val="00EB1B49"/>
    <w:rsid w:val="00EB1D02"/>
    <w:rsid w:val="00EB1D7D"/>
    <w:rsid w:val="00EB1F69"/>
    <w:rsid w:val="00EB20AD"/>
    <w:rsid w:val="00EB2385"/>
    <w:rsid w:val="00EB28B7"/>
    <w:rsid w:val="00EB3198"/>
    <w:rsid w:val="00EB31A8"/>
    <w:rsid w:val="00EB3254"/>
    <w:rsid w:val="00EB32AA"/>
    <w:rsid w:val="00EB3415"/>
    <w:rsid w:val="00EB3A8D"/>
    <w:rsid w:val="00EB3CB1"/>
    <w:rsid w:val="00EB3EC2"/>
    <w:rsid w:val="00EB3F7C"/>
    <w:rsid w:val="00EB4083"/>
    <w:rsid w:val="00EB40D8"/>
    <w:rsid w:val="00EB42DB"/>
    <w:rsid w:val="00EB434C"/>
    <w:rsid w:val="00EB4633"/>
    <w:rsid w:val="00EB46B6"/>
    <w:rsid w:val="00EB474A"/>
    <w:rsid w:val="00EB4760"/>
    <w:rsid w:val="00EB48EA"/>
    <w:rsid w:val="00EB4D1F"/>
    <w:rsid w:val="00EB4D2D"/>
    <w:rsid w:val="00EB4E0E"/>
    <w:rsid w:val="00EB4F51"/>
    <w:rsid w:val="00EB4F90"/>
    <w:rsid w:val="00EB511A"/>
    <w:rsid w:val="00EB511C"/>
    <w:rsid w:val="00EB5163"/>
    <w:rsid w:val="00EB522D"/>
    <w:rsid w:val="00EB52FC"/>
    <w:rsid w:val="00EB5507"/>
    <w:rsid w:val="00EB55BD"/>
    <w:rsid w:val="00EB57BC"/>
    <w:rsid w:val="00EB5A34"/>
    <w:rsid w:val="00EB5F09"/>
    <w:rsid w:val="00EB61D1"/>
    <w:rsid w:val="00EB622F"/>
    <w:rsid w:val="00EB639C"/>
    <w:rsid w:val="00EB64C7"/>
    <w:rsid w:val="00EB6605"/>
    <w:rsid w:val="00EB66B3"/>
    <w:rsid w:val="00EB68C0"/>
    <w:rsid w:val="00EB68EA"/>
    <w:rsid w:val="00EB6D55"/>
    <w:rsid w:val="00EB6F4B"/>
    <w:rsid w:val="00EB6F6D"/>
    <w:rsid w:val="00EB70D2"/>
    <w:rsid w:val="00EB727B"/>
    <w:rsid w:val="00EB7439"/>
    <w:rsid w:val="00EB74E0"/>
    <w:rsid w:val="00EB7741"/>
    <w:rsid w:val="00EB7903"/>
    <w:rsid w:val="00EB79BE"/>
    <w:rsid w:val="00EC0215"/>
    <w:rsid w:val="00EC053B"/>
    <w:rsid w:val="00EC0585"/>
    <w:rsid w:val="00EC05B8"/>
    <w:rsid w:val="00EC065C"/>
    <w:rsid w:val="00EC090E"/>
    <w:rsid w:val="00EC0F53"/>
    <w:rsid w:val="00EC15DE"/>
    <w:rsid w:val="00EC163C"/>
    <w:rsid w:val="00EC166B"/>
    <w:rsid w:val="00EC1D56"/>
    <w:rsid w:val="00EC2119"/>
    <w:rsid w:val="00EC214B"/>
    <w:rsid w:val="00EC22AF"/>
    <w:rsid w:val="00EC23A0"/>
    <w:rsid w:val="00EC26B4"/>
    <w:rsid w:val="00EC2707"/>
    <w:rsid w:val="00EC2880"/>
    <w:rsid w:val="00EC2B37"/>
    <w:rsid w:val="00EC306C"/>
    <w:rsid w:val="00EC31CD"/>
    <w:rsid w:val="00EC3547"/>
    <w:rsid w:val="00EC35E2"/>
    <w:rsid w:val="00EC35E7"/>
    <w:rsid w:val="00EC3726"/>
    <w:rsid w:val="00EC37A4"/>
    <w:rsid w:val="00EC39A6"/>
    <w:rsid w:val="00EC3ACB"/>
    <w:rsid w:val="00EC3B2B"/>
    <w:rsid w:val="00EC3BD9"/>
    <w:rsid w:val="00EC3C2C"/>
    <w:rsid w:val="00EC3EB1"/>
    <w:rsid w:val="00EC3FDB"/>
    <w:rsid w:val="00EC4280"/>
    <w:rsid w:val="00EC433F"/>
    <w:rsid w:val="00EC46CB"/>
    <w:rsid w:val="00EC4883"/>
    <w:rsid w:val="00EC4990"/>
    <w:rsid w:val="00EC4B82"/>
    <w:rsid w:val="00EC4E96"/>
    <w:rsid w:val="00EC5017"/>
    <w:rsid w:val="00EC50F1"/>
    <w:rsid w:val="00EC51DC"/>
    <w:rsid w:val="00EC55CE"/>
    <w:rsid w:val="00EC56E2"/>
    <w:rsid w:val="00EC5A53"/>
    <w:rsid w:val="00EC5D07"/>
    <w:rsid w:val="00EC5E8F"/>
    <w:rsid w:val="00EC615E"/>
    <w:rsid w:val="00EC633D"/>
    <w:rsid w:val="00EC644D"/>
    <w:rsid w:val="00EC683E"/>
    <w:rsid w:val="00EC6A97"/>
    <w:rsid w:val="00EC6E0B"/>
    <w:rsid w:val="00EC6F10"/>
    <w:rsid w:val="00EC6F9F"/>
    <w:rsid w:val="00EC720C"/>
    <w:rsid w:val="00EC72C4"/>
    <w:rsid w:val="00EC7723"/>
    <w:rsid w:val="00EC7774"/>
    <w:rsid w:val="00EC7835"/>
    <w:rsid w:val="00EC7CF7"/>
    <w:rsid w:val="00EC7E77"/>
    <w:rsid w:val="00ED0121"/>
    <w:rsid w:val="00ED04D7"/>
    <w:rsid w:val="00ED0D99"/>
    <w:rsid w:val="00ED0DF2"/>
    <w:rsid w:val="00ED0F4A"/>
    <w:rsid w:val="00ED1142"/>
    <w:rsid w:val="00ED11B8"/>
    <w:rsid w:val="00ED1681"/>
    <w:rsid w:val="00ED1AA6"/>
    <w:rsid w:val="00ED1CDE"/>
    <w:rsid w:val="00ED1E83"/>
    <w:rsid w:val="00ED1F49"/>
    <w:rsid w:val="00ED1F4B"/>
    <w:rsid w:val="00ED1FBB"/>
    <w:rsid w:val="00ED239D"/>
    <w:rsid w:val="00ED289F"/>
    <w:rsid w:val="00ED2E2A"/>
    <w:rsid w:val="00ED2F41"/>
    <w:rsid w:val="00ED2FE7"/>
    <w:rsid w:val="00ED30C1"/>
    <w:rsid w:val="00ED3112"/>
    <w:rsid w:val="00ED3489"/>
    <w:rsid w:val="00ED36C2"/>
    <w:rsid w:val="00ED37F7"/>
    <w:rsid w:val="00ED3812"/>
    <w:rsid w:val="00ED41A0"/>
    <w:rsid w:val="00ED420C"/>
    <w:rsid w:val="00ED4402"/>
    <w:rsid w:val="00ED451E"/>
    <w:rsid w:val="00ED46FF"/>
    <w:rsid w:val="00ED47F3"/>
    <w:rsid w:val="00ED4808"/>
    <w:rsid w:val="00ED483A"/>
    <w:rsid w:val="00ED4859"/>
    <w:rsid w:val="00ED4981"/>
    <w:rsid w:val="00ED53EB"/>
    <w:rsid w:val="00ED5410"/>
    <w:rsid w:val="00ED5B03"/>
    <w:rsid w:val="00ED5B09"/>
    <w:rsid w:val="00ED5CF9"/>
    <w:rsid w:val="00ED5EFC"/>
    <w:rsid w:val="00ED5FC5"/>
    <w:rsid w:val="00ED60E8"/>
    <w:rsid w:val="00ED6799"/>
    <w:rsid w:val="00ED68A5"/>
    <w:rsid w:val="00ED68EB"/>
    <w:rsid w:val="00ED69F8"/>
    <w:rsid w:val="00ED6A2F"/>
    <w:rsid w:val="00ED6B6F"/>
    <w:rsid w:val="00ED6C06"/>
    <w:rsid w:val="00ED6DC6"/>
    <w:rsid w:val="00ED7251"/>
    <w:rsid w:val="00ED727D"/>
    <w:rsid w:val="00ED7357"/>
    <w:rsid w:val="00ED7644"/>
    <w:rsid w:val="00ED7D1B"/>
    <w:rsid w:val="00ED7E7F"/>
    <w:rsid w:val="00ED7E99"/>
    <w:rsid w:val="00EE00EF"/>
    <w:rsid w:val="00EE011D"/>
    <w:rsid w:val="00EE01E2"/>
    <w:rsid w:val="00EE04FE"/>
    <w:rsid w:val="00EE0509"/>
    <w:rsid w:val="00EE0548"/>
    <w:rsid w:val="00EE05FA"/>
    <w:rsid w:val="00EE0952"/>
    <w:rsid w:val="00EE0A30"/>
    <w:rsid w:val="00EE0B0D"/>
    <w:rsid w:val="00EE1057"/>
    <w:rsid w:val="00EE135A"/>
    <w:rsid w:val="00EE1538"/>
    <w:rsid w:val="00EE1683"/>
    <w:rsid w:val="00EE183F"/>
    <w:rsid w:val="00EE19DF"/>
    <w:rsid w:val="00EE1B77"/>
    <w:rsid w:val="00EE2611"/>
    <w:rsid w:val="00EE2CBB"/>
    <w:rsid w:val="00EE2FBD"/>
    <w:rsid w:val="00EE3085"/>
    <w:rsid w:val="00EE3560"/>
    <w:rsid w:val="00EE35DC"/>
    <w:rsid w:val="00EE3703"/>
    <w:rsid w:val="00EE393C"/>
    <w:rsid w:val="00EE3A8B"/>
    <w:rsid w:val="00EE3E08"/>
    <w:rsid w:val="00EE404E"/>
    <w:rsid w:val="00EE409D"/>
    <w:rsid w:val="00EE42C4"/>
    <w:rsid w:val="00EE4F76"/>
    <w:rsid w:val="00EE5085"/>
    <w:rsid w:val="00EE50B0"/>
    <w:rsid w:val="00EE587D"/>
    <w:rsid w:val="00EE5A26"/>
    <w:rsid w:val="00EE5A3D"/>
    <w:rsid w:val="00EE5AF5"/>
    <w:rsid w:val="00EE5E91"/>
    <w:rsid w:val="00EE60C0"/>
    <w:rsid w:val="00EE6AE1"/>
    <w:rsid w:val="00EE7598"/>
    <w:rsid w:val="00EE7837"/>
    <w:rsid w:val="00EE7A53"/>
    <w:rsid w:val="00EE7AE9"/>
    <w:rsid w:val="00EE7AF6"/>
    <w:rsid w:val="00EF09A9"/>
    <w:rsid w:val="00EF0AB4"/>
    <w:rsid w:val="00EF0C85"/>
    <w:rsid w:val="00EF0D3A"/>
    <w:rsid w:val="00EF0F24"/>
    <w:rsid w:val="00EF137B"/>
    <w:rsid w:val="00EF179C"/>
    <w:rsid w:val="00EF1AB5"/>
    <w:rsid w:val="00EF1ADD"/>
    <w:rsid w:val="00EF2016"/>
    <w:rsid w:val="00EF20B7"/>
    <w:rsid w:val="00EF21BC"/>
    <w:rsid w:val="00EF2234"/>
    <w:rsid w:val="00EF22A7"/>
    <w:rsid w:val="00EF22C8"/>
    <w:rsid w:val="00EF2768"/>
    <w:rsid w:val="00EF2A24"/>
    <w:rsid w:val="00EF2A9C"/>
    <w:rsid w:val="00EF2D30"/>
    <w:rsid w:val="00EF2D59"/>
    <w:rsid w:val="00EF3361"/>
    <w:rsid w:val="00EF33D5"/>
    <w:rsid w:val="00EF3A48"/>
    <w:rsid w:val="00EF3A76"/>
    <w:rsid w:val="00EF3D63"/>
    <w:rsid w:val="00EF3FBC"/>
    <w:rsid w:val="00EF4582"/>
    <w:rsid w:val="00EF4961"/>
    <w:rsid w:val="00EF4A85"/>
    <w:rsid w:val="00EF4AC3"/>
    <w:rsid w:val="00EF4CDD"/>
    <w:rsid w:val="00EF4DF9"/>
    <w:rsid w:val="00EF51BF"/>
    <w:rsid w:val="00EF531E"/>
    <w:rsid w:val="00EF548C"/>
    <w:rsid w:val="00EF58B0"/>
    <w:rsid w:val="00EF5AB1"/>
    <w:rsid w:val="00EF5E68"/>
    <w:rsid w:val="00EF6030"/>
    <w:rsid w:val="00EF61AE"/>
    <w:rsid w:val="00EF6328"/>
    <w:rsid w:val="00EF63D4"/>
    <w:rsid w:val="00EF6695"/>
    <w:rsid w:val="00EF6849"/>
    <w:rsid w:val="00EF6C60"/>
    <w:rsid w:val="00EF6D42"/>
    <w:rsid w:val="00EF7011"/>
    <w:rsid w:val="00EF71D3"/>
    <w:rsid w:val="00EF71F8"/>
    <w:rsid w:val="00EF75A0"/>
    <w:rsid w:val="00EF7655"/>
    <w:rsid w:val="00EF7719"/>
    <w:rsid w:val="00EF7F1A"/>
    <w:rsid w:val="00EF7FCD"/>
    <w:rsid w:val="00F00280"/>
    <w:rsid w:val="00F003F9"/>
    <w:rsid w:val="00F0096A"/>
    <w:rsid w:val="00F00D50"/>
    <w:rsid w:val="00F00E3E"/>
    <w:rsid w:val="00F00F98"/>
    <w:rsid w:val="00F012B5"/>
    <w:rsid w:val="00F0134D"/>
    <w:rsid w:val="00F013DC"/>
    <w:rsid w:val="00F014D9"/>
    <w:rsid w:val="00F01F53"/>
    <w:rsid w:val="00F01F67"/>
    <w:rsid w:val="00F022EE"/>
    <w:rsid w:val="00F023B8"/>
    <w:rsid w:val="00F0278F"/>
    <w:rsid w:val="00F02AFE"/>
    <w:rsid w:val="00F02D44"/>
    <w:rsid w:val="00F02EC5"/>
    <w:rsid w:val="00F03187"/>
    <w:rsid w:val="00F032A8"/>
    <w:rsid w:val="00F03478"/>
    <w:rsid w:val="00F03587"/>
    <w:rsid w:val="00F035A6"/>
    <w:rsid w:val="00F037E4"/>
    <w:rsid w:val="00F03C71"/>
    <w:rsid w:val="00F03CA6"/>
    <w:rsid w:val="00F03CC3"/>
    <w:rsid w:val="00F03D3C"/>
    <w:rsid w:val="00F03FB9"/>
    <w:rsid w:val="00F0401C"/>
    <w:rsid w:val="00F04201"/>
    <w:rsid w:val="00F04EF8"/>
    <w:rsid w:val="00F04F9F"/>
    <w:rsid w:val="00F050E9"/>
    <w:rsid w:val="00F0550E"/>
    <w:rsid w:val="00F05A4D"/>
    <w:rsid w:val="00F05B3C"/>
    <w:rsid w:val="00F05B9C"/>
    <w:rsid w:val="00F05CCF"/>
    <w:rsid w:val="00F05D7C"/>
    <w:rsid w:val="00F060C5"/>
    <w:rsid w:val="00F06480"/>
    <w:rsid w:val="00F0656F"/>
    <w:rsid w:val="00F06576"/>
    <w:rsid w:val="00F06578"/>
    <w:rsid w:val="00F06804"/>
    <w:rsid w:val="00F06827"/>
    <w:rsid w:val="00F0705F"/>
    <w:rsid w:val="00F07311"/>
    <w:rsid w:val="00F075EF"/>
    <w:rsid w:val="00F07667"/>
    <w:rsid w:val="00F07AF7"/>
    <w:rsid w:val="00F07D06"/>
    <w:rsid w:val="00F07E2C"/>
    <w:rsid w:val="00F1045F"/>
    <w:rsid w:val="00F1074F"/>
    <w:rsid w:val="00F10954"/>
    <w:rsid w:val="00F10958"/>
    <w:rsid w:val="00F109A3"/>
    <w:rsid w:val="00F10BF0"/>
    <w:rsid w:val="00F1108B"/>
    <w:rsid w:val="00F110AF"/>
    <w:rsid w:val="00F113D0"/>
    <w:rsid w:val="00F1158B"/>
    <w:rsid w:val="00F11650"/>
    <w:rsid w:val="00F11671"/>
    <w:rsid w:val="00F11691"/>
    <w:rsid w:val="00F116FC"/>
    <w:rsid w:val="00F11DF3"/>
    <w:rsid w:val="00F11E57"/>
    <w:rsid w:val="00F11EA7"/>
    <w:rsid w:val="00F11EF9"/>
    <w:rsid w:val="00F11F44"/>
    <w:rsid w:val="00F121EA"/>
    <w:rsid w:val="00F127B2"/>
    <w:rsid w:val="00F12A37"/>
    <w:rsid w:val="00F12D85"/>
    <w:rsid w:val="00F12E13"/>
    <w:rsid w:val="00F1312E"/>
    <w:rsid w:val="00F135E2"/>
    <w:rsid w:val="00F139B9"/>
    <w:rsid w:val="00F13DAF"/>
    <w:rsid w:val="00F13E66"/>
    <w:rsid w:val="00F14105"/>
    <w:rsid w:val="00F1429E"/>
    <w:rsid w:val="00F144CE"/>
    <w:rsid w:val="00F14518"/>
    <w:rsid w:val="00F1471F"/>
    <w:rsid w:val="00F148DE"/>
    <w:rsid w:val="00F15017"/>
    <w:rsid w:val="00F150D8"/>
    <w:rsid w:val="00F153F9"/>
    <w:rsid w:val="00F15667"/>
    <w:rsid w:val="00F157B0"/>
    <w:rsid w:val="00F1581F"/>
    <w:rsid w:val="00F158E6"/>
    <w:rsid w:val="00F15AFF"/>
    <w:rsid w:val="00F1647E"/>
    <w:rsid w:val="00F1655A"/>
    <w:rsid w:val="00F165C4"/>
    <w:rsid w:val="00F1663F"/>
    <w:rsid w:val="00F16793"/>
    <w:rsid w:val="00F1690F"/>
    <w:rsid w:val="00F170DE"/>
    <w:rsid w:val="00F1715C"/>
    <w:rsid w:val="00F171D6"/>
    <w:rsid w:val="00F1722E"/>
    <w:rsid w:val="00F1773E"/>
    <w:rsid w:val="00F1788A"/>
    <w:rsid w:val="00F17957"/>
    <w:rsid w:val="00F17A62"/>
    <w:rsid w:val="00F17F88"/>
    <w:rsid w:val="00F200BE"/>
    <w:rsid w:val="00F20158"/>
    <w:rsid w:val="00F202C0"/>
    <w:rsid w:val="00F20B72"/>
    <w:rsid w:val="00F21057"/>
    <w:rsid w:val="00F212A9"/>
    <w:rsid w:val="00F2136D"/>
    <w:rsid w:val="00F21520"/>
    <w:rsid w:val="00F21533"/>
    <w:rsid w:val="00F215DF"/>
    <w:rsid w:val="00F21707"/>
    <w:rsid w:val="00F2177C"/>
    <w:rsid w:val="00F218D5"/>
    <w:rsid w:val="00F21B28"/>
    <w:rsid w:val="00F21BAF"/>
    <w:rsid w:val="00F21CE4"/>
    <w:rsid w:val="00F21D20"/>
    <w:rsid w:val="00F21F69"/>
    <w:rsid w:val="00F22E00"/>
    <w:rsid w:val="00F22F6E"/>
    <w:rsid w:val="00F231D3"/>
    <w:rsid w:val="00F231D8"/>
    <w:rsid w:val="00F232DF"/>
    <w:rsid w:val="00F23383"/>
    <w:rsid w:val="00F233DF"/>
    <w:rsid w:val="00F23915"/>
    <w:rsid w:val="00F23CB0"/>
    <w:rsid w:val="00F242AC"/>
    <w:rsid w:val="00F244FF"/>
    <w:rsid w:val="00F2473D"/>
    <w:rsid w:val="00F24F23"/>
    <w:rsid w:val="00F250A6"/>
    <w:rsid w:val="00F2513F"/>
    <w:rsid w:val="00F25190"/>
    <w:rsid w:val="00F252CB"/>
    <w:rsid w:val="00F254E2"/>
    <w:rsid w:val="00F2599D"/>
    <w:rsid w:val="00F25B69"/>
    <w:rsid w:val="00F25C09"/>
    <w:rsid w:val="00F26115"/>
    <w:rsid w:val="00F266C4"/>
    <w:rsid w:val="00F268AF"/>
    <w:rsid w:val="00F26C93"/>
    <w:rsid w:val="00F26DA5"/>
    <w:rsid w:val="00F27081"/>
    <w:rsid w:val="00F270CA"/>
    <w:rsid w:val="00F274A4"/>
    <w:rsid w:val="00F27520"/>
    <w:rsid w:val="00F27662"/>
    <w:rsid w:val="00F27698"/>
    <w:rsid w:val="00F278C6"/>
    <w:rsid w:val="00F27EC5"/>
    <w:rsid w:val="00F30369"/>
    <w:rsid w:val="00F30379"/>
    <w:rsid w:val="00F3069E"/>
    <w:rsid w:val="00F3092F"/>
    <w:rsid w:val="00F30A47"/>
    <w:rsid w:val="00F30C91"/>
    <w:rsid w:val="00F30E9E"/>
    <w:rsid w:val="00F310A7"/>
    <w:rsid w:val="00F3111A"/>
    <w:rsid w:val="00F315A3"/>
    <w:rsid w:val="00F3164B"/>
    <w:rsid w:val="00F3166A"/>
    <w:rsid w:val="00F31894"/>
    <w:rsid w:val="00F31D07"/>
    <w:rsid w:val="00F31D6D"/>
    <w:rsid w:val="00F31E8A"/>
    <w:rsid w:val="00F31FC4"/>
    <w:rsid w:val="00F332D6"/>
    <w:rsid w:val="00F3332D"/>
    <w:rsid w:val="00F33790"/>
    <w:rsid w:val="00F33BE0"/>
    <w:rsid w:val="00F33C05"/>
    <w:rsid w:val="00F342B5"/>
    <w:rsid w:val="00F343E5"/>
    <w:rsid w:val="00F345FE"/>
    <w:rsid w:val="00F3460D"/>
    <w:rsid w:val="00F34883"/>
    <w:rsid w:val="00F34AF5"/>
    <w:rsid w:val="00F34D52"/>
    <w:rsid w:val="00F3527A"/>
    <w:rsid w:val="00F3549E"/>
    <w:rsid w:val="00F35620"/>
    <w:rsid w:val="00F35C0C"/>
    <w:rsid w:val="00F35F20"/>
    <w:rsid w:val="00F369E4"/>
    <w:rsid w:val="00F36BEB"/>
    <w:rsid w:val="00F36E64"/>
    <w:rsid w:val="00F370BC"/>
    <w:rsid w:val="00F3722D"/>
    <w:rsid w:val="00F3768B"/>
    <w:rsid w:val="00F377F6"/>
    <w:rsid w:val="00F37915"/>
    <w:rsid w:val="00F37AB4"/>
    <w:rsid w:val="00F37C37"/>
    <w:rsid w:val="00F37EAB"/>
    <w:rsid w:val="00F4002F"/>
    <w:rsid w:val="00F40452"/>
    <w:rsid w:val="00F404EF"/>
    <w:rsid w:val="00F406BF"/>
    <w:rsid w:val="00F40CD2"/>
    <w:rsid w:val="00F40F42"/>
    <w:rsid w:val="00F41605"/>
    <w:rsid w:val="00F41884"/>
    <w:rsid w:val="00F41A4D"/>
    <w:rsid w:val="00F41B8C"/>
    <w:rsid w:val="00F41BCE"/>
    <w:rsid w:val="00F41C21"/>
    <w:rsid w:val="00F41D2D"/>
    <w:rsid w:val="00F42382"/>
    <w:rsid w:val="00F42513"/>
    <w:rsid w:val="00F42760"/>
    <w:rsid w:val="00F427B4"/>
    <w:rsid w:val="00F428AA"/>
    <w:rsid w:val="00F428AC"/>
    <w:rsid w:val="00F428F3"/>
    <w:rsid w:val="00F42D2A"/>
    <w:rsid w:val="00F42D2F"/>
    <w:rsid w:val="00F42EB1"/>
    <w:rsid w:val="00F433B1"/>
    <w:rsid w:val="00F43787"/>
    <w:rsid w:val="00F4397A"/>
    <w:rsid w:val="00F43E79"/>
    <w:rsid w:val="00F43ECC"/>
    <w:rsid w:val="00F43F80"/>
    <w:rsid w:val="00F443BA"/>
    <w:rsid w:val="00F4446B"/>
    <w:rsid w:val="00F44543"/>
    <w:rsid w:val="00F44560"/>
    <w:rsid w:val="00F4485D"/>
    <w:rsid w:val="00F44C65"/>
    <w:rsid w:val="00F44EBE"/>
    <w:rsid w:val="00F44F68"/>
    <w:rsid w:val="00F450C3"/>
    <w:rsid w:val="00F4521B"/>
    <w:rsid w:val="00F45282"/>
    <w:rsid w:val="00F4563A"/>
    <w:rsid w:val="00F45BFF"/>
    <w:rsid w:val="00F45CEB"/>
    <w:rsid w:val="00F45E8E"/>
    <w:rsid w:val="00F461BE"/>
    <w:rsid w:val="00F463A1"/>
    <w:rsid w:val="00F466F8"/>
    <w:rsid w:val="00F468F7"/>
    <w:rsid w:val="00F47076"/>
    <w:rsid w:val="00F47C20"/>
    <w:rsid w:val="00F47D48"/>
    <w:rsid w:val="00F47DD9"/>
    <w:rsid w:val="00F500E4"/>
    <w:rsid w:val="00F5014E"/>
    <w:rsid w:val="00F50168"/>
    <w:rsid w:val="00F50680"/>
    <w:rsid w:val="00F50A27"/>
    <w:rsid w:val="00F50E70"/>
    <w:rsid w:val="00F511AD"/>
    <w:rsid w:val="00F5121D"/>
    <w:rsid w:val="00F515C2"/>
    <w:rsid w:val="00F5174E"/>
    <w:rsid w:val="00F5189F"/>
    <w:rsid w:val="00F5195C"/>
    <w:rsid w:val="00F519DF"/>
    <w:rsid w:val="00F51BD3"/>
    <w:rsid w:val="00F52541"/>
    <w:rsid w:val="00F5260F"/>
    <w:rsid w:val="00F526C9"/>
    <w:rsid w:val="00F526FE"/>
    <w:rsid w:val="00F529A3"/>
    <w:rsid w:val="00F52CAE"/>
    <w:rsid w:val="00F52CB4"/>
    <w:rsid w:val="00F52D0A"/>
    <w:rsid w:val="00F530D3"/>
    <w:rsid w:val="00F537D4"/>
    <w:rsid w:val="00F5383F"/>
    <w:rsid w:val="00F53A66"/>
    <w:rsid w:val="00F53CF3"/>
    <w:rsid w:val="00F53D3F"/>
    <w:rsid w:val="00F53DB5"/>
    <w:rsid w:val="00F53E19"/>
    <w:rsid w:val="00F53E46"/>
    <w:rsid w:val="00F53EDF"/>
    <w:rsid w:val="00F54132"/>
    <w:rsid w:val="00F543F4"/>
    <w:rsid w:val="00F544E3"/>
    <w:rsid w:val="00F54591"/>
    <w:rsid w:val="00F54678"/>
    <w:rsid w:val="00F546B6"/>
    <w:rsid w:val="00F54978"/>
    <w:rsid w:val="00F54FE6"/>
    <w:rsid w:val="00F55126"/>
    <w:rsid w:val="00F553F1"/>
    <w:rsid w:val="00F5563C"/>
    <w:rsid w:val="00F5581D"/>
    <w:rsid w:val="00F5581E"/>
    <w:rsid w:val="00F558DF"/>
    <w:rsid w:val="00F55953"/>
    <w:rsid w:val="00F56218"/>
    <w:rsid w:val="00F5659E"/>
    <w:rsid w:val="00F566A0"/>
    <w:rsid w:val="00F56961"/>
    <w:rsid w:val="00F56B3D"/>
    <w:rsid w:val="00F56D0E"/>
    <w:rsid w:val="00F56DB3"/>
    <w:rsid w:val="00F56FCE"/>
    <w:rsid w:val="00F56FD5"/>
    <w:rsid w:val="00F57013"/>
    <w:rsid w:val="00F57099"/>
    <w:rsid w:val="00F5716D"/>
    <w:rsid w:val="00F57196"/>
    <w:rsid w:val="00F57316"/>
    <w:rsid w:val="00F576AA"/>
    <w:rsid w:val="00F577F8"/>
    <w:rsid w:val="00F5781A"/>
    <w:rsid w:val="00F57833"/>
    <w:rsid w:val="00F57E52"/>
    <w:rsid w:val="00F57FF2"/>
    <w:rsid w:val="00F601D6"/>
    <w:rsid w:val="00F60309"/>
    <w:rsid w:val="00F6038A"/>
    <w:rsid w:val="00F60461"/>
    <w:rsid w:val="00F607F2"/>
    <w:rsid w:val="00F60887"/>
    <w:rsid w:val="00F609DD"/>
    <w:rsid w:val="00F60A29"/>
    <w:rsid w:val="00F60A44"/>
    <w:rsid w:val="00F60A9C"/>
    <w:rsid w:val="00F60AB4"/>
    <w:rsid w:val="00F60AC7"/>
    <w:rsid w:val="00F60D17"/>
    <w:rsid w:val="00F60D64"/>
    <w:rsid w:val="00F61049"/>
    <w:rsid w:val="00F610A1"/>
    <w:rsid w:val="00F61123"/>
    <w:rsid w:val="00F612DA"/>
    <w:rsid w:val="00F6167F"/>
    <w:rsid w:val="00F617DC"/>
    <w:rsid w:val="00F618CB"/>
    <w:rsid w:val="00F6190B"/>
    <w:rsid w:val="00F6192D"/>
    <w:rsid w:val="00F61DDA"/>
    <w:rsid w:val="00F61F63"/>
    <w:rsid w:val="00F61FE6"/>
    <w:rsid w:val="00F62061"/>
    <w:rsid w:val="00F6207F"/>
    <w:rsid w:val="00F62088"/>
    <w:rsid w:val="00F62586"/>
    <w:rsid w:val="00F625AC"/>
    <w:rsid w:val="00F62A5B"/>
    <w:rsid w:val="00F62DC9"/>
    <w:rsid w:val="00F6306D"/>
    <w:rsid w:val="00F630CE"/>
    <w:rsid w:val="00F634D5"/>
    <w:rsid w:val="00F6353D"/>
    <w:rsid w:val="00F63964"/>
    <w:rsid w:val="00F639DF"/>
    <w:rsid w:val="00F63CAE"/>
    <w:rsid w:val="00F63EF8"/>
    <w:rsid w:val="00F63F1A"/>
    <w:rsid w:val="00F64373"/>
    <w:rsid w:val="00F643A2"/>
    <w:rsid w:val="00F64490"/>
    <w:rsid w:val="00F644A3"/>
    <w:rsid w:val="00F6456A"/>
    <w:rsid w:val="00F64655"/>
    <w:rsid w:val="00F6476B"/>
    <w:rsid w:val="00F648BA"/>
    <w:rsid w:val="00F64C14"/>
    <w:rsid w:val="00F64C67"/>
    <w:rsid w:val="00F64C79"/>
    <w:rsid w:val="00F64E89"/>
    <w:rsid w:val="00F64ECE"/>
    <w:rsid w:val="00F64F8C"/>
    <w:rsid w:val="00F6569B"/>
    <w:rsid w:val="00F658E4"/>
    <w:rsid w:val="00F659EE"/>
    <w:rsid w:val="00F65A65"/>
    <w:rsid w:val="00F65E7F"/>
    <w:rsid w:val="00F6616E"/>
    <w:rsid w:val="00F662DE"/>
    <w:rsid w:val="00F664A7"/>
    <w:rsid w:val="00F66A4D"/>
    <w:rsid w:val="00F66D1B"/>
    <w:rsid w:val="00F66E44"/>
    <w:rsid w:val="00F67036"/>
    <w:rsid w:val="00F6747B"/>
    <w:rsid w:val="00F67BEF"/>
    <w:rsid w:val="00F67DDB"/>
    <w:rsid w:val="00F70013"/>
    <w:rsid w:val="00F700A7"/>
    <w:rsid w:val="00F702BA"/>
    <w:rsid w:val="00F70501"/>
    <w:rsid w:val="00F70A7D"/>
    <w:rsid w:val="00F70C44"/>
    <w:rsid w:val="00F70C49"/>
    <w:rsid w:val="00F70D8C"/>
    <w:rsid w:val="00F70F34"/>
    <w:rsid w:val="00F7113E"/>
    <w:rsid w:val="00F71482"/>
    <w:rsid w:val="00F71A63"/>
    <w:rsid w:val="00F71B91"/>
    <w:rsid w:val="00F721B5"/>
    <w:rsid w:val="00F729D4"/>
    <w:rsid w:val="00F72B58"/>
    <w:rsid w:val="00F72BDD"/>
    <w:rsid w:val="00F72E1E"/>
    <w:rsid w:val="00F730DD"/>
    <w:rsid w:val="00F73295"/>
    <w:rsid w:val="00F73419"/>
    <w:rsid w:val="00F7364C"/>
    <w:rsid w:val="00F736A3"/>
    <w:rsid w:val="00F7371E"/>
    <w:rsid w:val="00F73EA4"/>
    <w:rsid w:val="00F7400D"/>
    <w:rsid w:val="00F74164"/>
    <w:rsid w:val="00F74431"/>
    <w:rsid w:val="00F7451C"/>
    <w:rsid w:val="00F74986"/>
    <w:rsid w:val="00F74A0E"/>
    <w:rsid w:val="00F74BF7"/>
    <w:rsid w:val="00F74D6F"/>
    <w:rsid w:val="00F74ECB"/>
    <w:rsid w:val="00F74F89"/>
    <w:rsid w:val="00F74FE3"/>
    <w:rsid w:val="00F756E9"/>
    <w:rsid w:val="00F757F6"/>
    <w:rsid w:val="00F75900"/>
    <w:rsid w:val="00F75923"/>
    <w:rsid w:val="00F75999"/>
    <w:rsid w:val="00F75B84"/>
    <w:rsid w:val="00F75C70"/>
    <w:rsid w:val="00F7642D"/>
    <w:rsid w:val="00F76652"/>
    <w:rsid w:val="00F76756"/>
    <w:rsid w:val="00F76F57"/>
    <w:rsid w:val="00F770B1"/>
    <w:rsid w:val="00F778C4"/>
    <w:rsid w:val="00F778F8"/>
    <w:rsid w:val="00F77972"/>
    <w:rsid w:val="00F77D1C"/>
    <w:rsid w:val="00F77D4F"/>
    <w:rsid w:val="00F77F99"/>
    <w:rsid w:val="00F8049B"/>
    <w:rsid w:val="00F80601"/>
    <w:rsid w:val="00F80A51"/>
    <w:rsid w:val="00F8101C"/>
    <w:rsid w:val="00F81271"/>
    <w:rsid w:val="00F8148D"/>
    <w:rsid w:val="00F814C8"/>
    <w:rsid w:val="00F814D4"/>
    <w:rsid w:val="00F815A2"/>
    <w:rsid w:val="00F81657"/>
    <w:rsid w:val="00F816F6"/>
    <w:rsid w:val="00F81CA7"/>
    <w:rsid w:val="00F821A6"/>
    <w:rsid w:val="00F823A0"/>
    <w:rsid w:val="00F8261C"/>
    <w:rsid w:val="00F829EB"/>
    <w:rsid w:val="00F82B07"/>
    <w:rsid w:val="00F82D07"/>
    <w:rsid w:val="00F82D25"/>
    <w:rsid w:val="00F82E58"/>
    <w:rsid w:val="00F83062"/>
    <w:rsid w:val="00F83873"/>
    <w:rsid w:val="00F839A7"/>
    <w:rsid w:val="00F839AF"/>
    <w:rsid w:val="00F83F4E"/>
    <w:rsid w:val="00F83F9E"/>
    <w:rsid w:val="00F84289"/>
    <w:rsid w:val="00F846C3"/>
    <w:rsid w:val="00F846F6"/>
    <w:rsid w:val="00F84B69"/>
    <w:rsid w:val="00F84D63"/>
    <w:rsid w:val="00F84DA7"/>
    <w:rsid w:val="00F84E98"/>
    <w:rsid w:val="00F851A9"/>
    <w:rsid w:val="00F853E1"/>
    <w:rsid w:val="00F85550"/>
    <w:rsid w:val="00F855A0"/>
    <w:rsid w:val="00F856D2"/>
    <w:rsid w:val="00F85858"/>
    <w:rsid w:val="00F85888"/>
    <w:rsid w:val="00F85C09"/>
    <w:rsid w:val="00F85D60"/>
    <w:rsid w:val="00F85DB0"/>
    <w:rsid w:val="00F85F30"/>
    <w:rsid w:val="00F8626A"/>
    <w:rsid w:val="00F86746"/>
    <w:rsid w:val="00F867C0"/>
    <w:rsid w:val="00F867F0"/>
    <w:rsid w:val="00F869F7"/>
    <w:rsid w:val="00F86A97"/>
    <w:rsid w:val="00F86A9C"/>
    <w:rsid w:val="00F86C21"/>
    <w:rsid w:val="00F8726F"/>
    <w:rsid w:val="00F87273"/>
    <w:rsid w:val="00F872F3"/>
    <w:rsid w:val="00F87335"/>
    <w:rsid w:val="00F873B0"/>
    <w:rsid w:val="00F877EA"/>
    <w:rsid w:val="00F87835"/>
    <w:rsid w:val="00F879FA"/>
    <w:rsid w:val="00F87A97"/>
    <w:rsid w:val="00F87B60"/>
    <w:rsid w:val="00F90811"/>
    <w:rsid w:val="00F90A7C"/>
    <w:rsid w:val="00F90B37"/>
    <w:rsid w:val="00F90FB8"/>
    <w:rsid w:val="00F912BE"/>
    <w:rsid w:val="00F912E8"/>
    <w:rsid w:val="00F91536"/>
    <w:rsid w:val="00F9159C"/>
    <w:rsid w:val="00F918AB"/>
    <w:rsid w:val="00F91FA6"/>
    <w:rsid w:val="00F92910"/>
    <w:rsid w:val="00F92C72"/>
    <w:rsid w:val="00F9336B"/>
    <w:rsid w:val="00F933A5"/>
    <w:rsid w:val="00F93C01"/>
    <w:rsid w:val="00F93C48"/>
    <w:rsid w:val="00F93EFC"/>
    <w:rsid w:val="00F94B5A"/>
    <w:rsid w:val="00F94B93"/>
    <w:rsid w:val="00F94B97"/>
    <w:rsid w:val="00F94DE2"/>
    <w:rsid w:val="00F94E3A"/>
    <w:rsid w:val="00F94FB0"/>
    <w:rsid w:val="00F95044"/>
    <w:rsid w:val="00F951A3"/>
    <w:rsid w:val="00F9536A"/>
    <w:rsid w:val="00F957DC"/>
    <w:rsid w:val="00F959F7"/>
    <w:rsid w:val="00F95C2E"/>
    <w:rsid w:val="00F9648C"/>
    <w:rsid w:val="00F967FB"/>
    <w:rsid w:val="00F9680C"/>
    <w:rsid w:val="00F968BE"/>
    <w:rsid w:val="00F969A7"/>
    <w:rsid w:val="00F96B14"/>
    <w:rsid w:val="00F96B30"/>
    <w:rsid w:val="00F96CF1"/>
    <w:rsid w:val="00F96E12"/>
    <w:rsid w:val="00F96E68"/>
    <w:rsid w:val="00F9720C"/>
    <w:rsid w:val="00F97259"/>
    <w:rsid w:val="00F972E2"/>
    <w:rsid w:val="00F97303"/>
    <w:rsid w:val="00F97678"/>
    <w:rsid w:val="00F97861"/>
    <w:rsid w:val="00F97D75"/>
    <w:rsid w:val="00F97DFE"/>
    <w:rsid w:val="00F97EC5"/>
    <w:rsid w:val="00FA0032"/>
    <w:rsid w:val="00FA0159"/>
    <w:rsid w:val="00FA0734"/>
    <w:rsid w:val="00FA0A1D"/>
    <w:rsid w:val="00FA0C5D"/>
    <w:rsid w:val="00FA10DF"/>
    <w:rsid w:val="00FA1260"/>
    <w:rsid w:val="00FA15F6"/>
    <w:rsid w:val="00FA1EB9"/>
    <w:rsid w:val="00FA21B9"/>
    <w:rsid w:val="00FA2267"/>
    <w:rsid w:val="00FA263C"/>
    <w:rsid w:val="00FA28C8"/>
    <w:rsid w:val="00FA28F5"/>
    <w:rsid w:val="00FA3490"/>
    <w:rsid w:val="00FA3639"/>
    <w:rsid w:val="00FA39FA"/>
    <w:rsid w:val="00FA3D14"/>
    <w:rsid w:val="00FA410F"/>
    <w:rsid w:val="00FA42A3"/>
    <w:rsid w:val="00FA42A6"/>
    <w:rsid w:val="00FA52DF"/>
    <w:rsid w:val="00FA53E9"/>
    <w:rsid w:val="00FA5642"/>
    <w:rsid w:val="00FA5A87"/>
    <w:rsid w:val="00FA5BD8"/>
    <w:rsid w:val="00FA5C3A"/>
    <w:rsid w:val="00FA5D74"/>
    <w:rsid w:val="00FA5DBB"/>
    <w:rsid w:val="00FA614C"/>
    <w:rsid w:val="00FA61F8"/>
    <w:rsid w:val="00FA62B4"/>
    <w:rsid w:val="00FA62C1"/>
    <w:rsid w:val="00FA663B"/>
    <w:rsid w:val="00FA67AF"/>
    <w:rsid w:val="00FA6C8A"/>
    <w:rsid w:val="00FA6DAC"/>
    <w:rsid w:val="00FA7A7D"/>
    <w:rsid w:val="00FA7E09"/>
    <w:rsid w:val="00FB0033"/>
    <w:rsid w:val="00FB052F"/>
    <w:rsid w:val="00FB066C"/>
    <w:rsid w:val="00FB0AEE"/>
    <w:rsid w:val="00FB0F04"/>
    <w:rsid w:val="00FB0FD5"/>
    <w:rsid w:val="00FB1668"/>
    <w:rsid w:val="00FB16A9"/>
    <w:rsid w:val="00FB17DA"/>
    <w:rsid w:val="00FB183B"/>
    <w:rsid w:val="00FB18BC"/>
    <w:rsid w:val="00FB1A06"/>
    <w:rsid w:val="00FB1A08"/>
    <w:rsid w:val="00FB1F04"/>
    <w:rsid w:val="00FB2751"/>
    <w:rsid w:val="00FB2F20"/>
    <w:rsid w:val="00FB3115"/>
    <w:rsid w:val="00FB32DB"/>
    <w:rsid w:val="00FB398B"/>
    <w:rsid w:val="00FB3B01"/>
    <w:rsid w:val="00FB3C77"/>
    <w:rsid w:val="00FB3ECE"/>
    <w:rsid w:val="00FB4341"/>
    <w:rsid w:val="00FB4429"/>
    <w:rsid w:val="00FB44CD"/>
    <w:rsid w:val="00FB469D"/>
    <w:rsid w:val="00FB4981"/>
    <w:rsid w:val="00FB499F"/>
    <w:rsid w:val="00FB4D3F"/>
    <w:rsid w:val="00FB4D96"/>
    <w:rsid w:val="00FB4E88"/>
    <w:rsid w:val="00FB4E89"/>
    <w:rsid w:val="00FB4F4D"/>
    <w:rsid w:val="00FB4F57"/>
    <w:rsid w:val="00FB5097"/>
    <w:rsid w:val="00FB568A"/>
    <w:rsid w:val="00FB5873"/>
    <w:rsid w:val="00FB58FD"/>
    <w:rsid w:val="00FB5A22"/>
    <w:rsid w:val="00FB5F53"/>
    <w:rsid w:val="00FB6505"/>
    <w:rsid w:val="00FB687E"/>
    <w:rsid w:val="00FB6D5B"/>
    <w:rsid w:val="00FB6FEC"/>
    <w:rsid w:val="00FB74E7"/>
    <w:rsid w:val="00FB75B7"/>
    <w:rsid w:val="00FB785A"/>
    <w:rsid w:val="00FB7C54"/>
    <w:rsid w:val="00FB7EA9"/>
    <w:rsid w:val="00FC008A"/>
    <w:rsid w:val="00FC03A1"/>
    <w:rsid w:val="00FC08EF"/>
    <w:rsid w:val="00FC0A95"/>
    <w:rsid w:val="00FC0CA1"/>
    <w:rsid w:val="00FC12AF"/>
    <w:rsid w:val="00FC1927"/>
    <w:rsid w:val="00FC1AF5"/>
    <w:rsid w:val="00FC1E98"/>
    <w:rsid w:val="00FC1F5A"/>
    <w:rsid w:val="00FC2A24"/>
    <w:rsid w:val="00FC2AF9"/>
    <w:rsid w:val="00FC2B49"/>
    <w:rsid w:val="00FC2BE1"/>
    <w:rsid w:val="00FC3272"/>
    <w:rsid w:val="00FC3277"/>
    <w:rsid w:val="00FC355A"/>
    <w:rsid w:val="00FC3A9C"/>
    <w:rsid w:val="00FC3C26"/>
    <w:rsid w:val="00FC3C51"/>
    <w:rsid w:val="00FC3CF0"/>
    <w:rsid w:val="00FC3DB6"/>
    <w:rsid w:val="00FC414E"/>
    <w:rsid w:val="00FC465A"/>
    <w:rsid w:val="00FC48BE"/>
    <w:rsid w:val="00FC4C3B"/>
    <w:rsid w:val="00FC4CBC"/>
    <w:rsid w:val="00FC5097"/>
    <w:rsid w:val="00FC51BF"/>
    <w:rsid w:val="00FC5386"/>
    <w:rsid w:val="00FC5C73"/>
    <w:rsid w:val="00FC5E37"/>
    <w:rsid w:val="00FC69D9"/>
    <w:rsid w:val="00FC6A67"/>
    <w:rsid w:val="00FC6F82"/>
    <w:rsid w:val="00FC7225"/>
    <w:rsid w:val="00FC728E"/>
    <w:rsid w:val="00FC7497"/>
    <w:rsid w:val="00FC759B"/>
    <w:rsid w:val="00FC7B72"/>
    <w:rsid w:val="00FC7D12"/>
    <w:rsid w:val="00FC7EF6"/>
    <w:rsid w:val="00FC7FD4"/>
    <w:rsid w:val="00FD0483"/>
    <w:rsid w:val="00FD0881"/>
    <w:rsid w:val="00FD094C"/>
    <w:rsid w:val="00FD1417"/>
    <w:rsid w:val="00FD14DA"/>
    <w:rsid w:val="00FD17BD"/>
    <w:rsid w:val="00FD1A5E"/>
    <w:rsid w:val="00FD1F47"/>
    <w:rsid w:val="00FD22BE"/>
    <w:rsid w:val="00FD265C"/>
    <w:rsid w:val="00FD26BB"/>
    <w:rsid w:val="00FD2D72"/>
    <w:rsid w:val="00FD2EF8"/>
    <w:rsid w:val="00FD30E1"/>
    <w:rsid w:val="00FD3417"/>
    <w:rsid w:val="00FD35D4"/>
    <w:rsid w:val="00FD3831"/>
    <w:rsid w:val="00FD38C5"/>
    <w:rsid w:val="00FD3B45"/>
    <w:rsid w:val="00FD3DB6"/>
    <w:rsid w:val="00FD44A2"/>
    <w:rsid w:val="00FD45C1"/>
    <w:rsid w:val="00FD4982"/>
    <w:rsid w:val="00FD4A85"/>
    <w:rsid w:val="00FD4BAB"/>
    <w:rsid w:val="00FD4CA0"/>
    <w:rsid w:val="00FD4E97"/>
    <w:rsid w:val="00FD4EDA"/>
    <w:rsid w:val="00FD5141"/>
    <w:rsid w:val="00FD52AD"/>
    <w:rsid w:val="00FD5450"/>
    <w:rsid w:val="00FD56A9"/>
    <w:rsid w:val="00FD5728"/>
    <w:rsid w:val="00FD587E"/>
    <w:rsid w:val="00FD5C02"/>
    <w:rsid w:val="00FD5C8F"/>
    <w:rsid w:val="00FD5FA2"/>
    <w:rsid w:val="00FD64DB"/>
    <w:rsid w:val="00FD659A"/>
    <w:rsid w:val="00FD6BBF"/>
    <w:rsid w:val="00FD6BF9"/>
    <w:rsid w:val="00FD6C94"/>
    <w:rsid w:val="00FD6F52"/>
    <w:rsid w:val="00FD6FB8"/>
    <w:rsid w:val="00FD6FD4"/>
    <w:rsid w:val="00FD7235"/>
    <w:rsid w:val="00FD7389"/>
    <w:rsid w:val="00FD7402"/>
    <w:rsid w:val="00FD7A64"/>
    <w:rsid w:val="00FD7FEE"/>
    <w:rsid w:val="00FE0094"/>
    <w:rsid w:val="00FE024D"/>
    <w:rsid w:val="00FE03AB"/>
    <w:rsid w:val="00FE0557"/>
    <w:rsid w:val="00FE0772"/>
    <w:rsid w:val="00FE0A5E"/>
    <w:rsid w:val="00FE0AD3"/>
    <w:rsid w:val="00FE0B7F"/>
    <w:rsid w:val="00FE0C0B"/>
    <w:rsid w:val="00FE0D31"/>
    <w:rsid w:val="00FE1072"/>
    <w:rsid w:val="00FE12A9"/>
    <w:rsid w:val="00FE1560"/>
    <w:rsid w:val="00FE16BD"/>
    <w:rsid w:val="00FE1782"/>
    <w:rsid w:val="00FE2386"/>
    <w:rsid w:val="00FE23D4"/>
    <w:rsid w:val="00FE2493"/>
    <w:rsid w:val="00FE24AA"/>
    <w:rsid w:val="00FE2584"/>
    <w:rsid w:val="00FE2721"/>
    <w:rsid w:val="00FE28AA"/>
    <w:rsid w:val="00FE2934"/>
    <w:rsid w:val="00FE2AFB"/>
    <w:rsid w:val="00FE2B19"/>
    <w:rsid w:val="00FE2B45"/>
    <w:rsid w:val="00FE2B6A"/>
    <w:rsid w:val="00FE2E0C"/>
    <w:rsid w:val="00FE2ED6"/>
    <w:rsid w:val="00FE3918"/>
    <w:rsid w:val="00FE3958"/>
    <w:rsid w:val="00FE3FE5"/>
    <w:rsid w:val="00FE4266"/>
    <w:rsid w:val="00FE43FC"/>
    <w:rsid w:val="00FE45B3"/>
    <w:rsid w:val="00FE46B7"/>
    <w:rsid w:val="00FE4868"/>
    <w:rsid w:val="00FE4A36"/>
    <w:rsid w:val="00FE4A64"/>
    <w:rsid w:val="00FE50DC"/>
    <w:rsid w:val="00FE5696"/>
    <w:rsid w:val="00FE5834"/>
    <w:rsid w:val="00FE5A9F"/>
    <w:rsid w:val="00FE5BF9"/>
    <w:rsid w:val="00FE5FFA"/>
    <w:rsid w:val="00FE6291"/>
    <w:rsid w:val="00FE66A9"/>
    <w:rsid w:val="00FE68EB"/>
    <w:rsid w:val="00FE6904"/>
    <w:rsid w:val="00FE6AB6"/>
    <w:rsid w:val="00FE710E"/>
    <w:rsid w:val="00FE7592"/>
    <w:rsid w:val="00FE7608"/>
    <w:rsid w:val="00FE77E0"/>
    <w:rsid w:val="00FE7C66"/>
    <w:rsid w:val="00FE7D62"/>
    <w:rsid w:val="00FF009F"/>
    <w:rsid w:val="00FF0139"/>
    <w:rsid w:val="00FF01E7"/>
    <w:rsid w:val="00FF0225"/>
    <w:rsid w:val="00FF040B"/>
    <w:rsid w:val="00FF046B"/>
    <w:rsid w:val="00FF05E8"/>
    <w:rsid w:val="00FF097F"/>
    <w:rsid w:val="00FF0ADC"/>
    <w:rsid w:val="00FF0CD2"/>
    <w:rsid w:val="00FF0D43"/>
    <w:rsid w:val="00FF0D48"/>
    <w:rsid w:val="00FF1081"/>
    <w:rsid w:val="00FF10DC"/>
    <w:rsid w:val="00FF21C5"/>
    <w:rsid w:val="00FF25E9"/>
    <w:rsid w:val="00FF26D8"/>
    <w:rsid w:val="00FF2903"/>
    <w:rsid w:val="00FF2C07"/>
    <w:rsid w:val="00FF2F0C"/>
    <w:rsid w:val="00FF302A"/>
    <w:rsid w:val="00FF32E8"/>
    <w:rsid w:val="00FF34A3"/>
    <w:rsid w:val="00FF3562"/>
    <w:rsid w:val="00FF377C"/>
    <w:rsid w:val="00FF38D1"/>
    <w:rsid w:val="00FF39BE"/>
    <w:rsid w:val="00FF3B81"/>
    <w:rsid w:val="00FF3CBD"/>
    <w:rsid w:val="00FF3D5D"/>
    <w:rsid w:val="00FF3DCD"/>
    <w:rsid w:val="00FF3F2C"/>
    <w:rsid w:val="00FF3F4C"/>
    <w:rsid w:val="00FF4357"/>
    <w:rsid w:val="00FF445A"/>
    <w:rsid w:val="00FF46DF"/>
    <w:rsid w:val="00FF4747"/>
    <w:rsid w:val="00FF4922"/>
    <w:rsid w:val="00FF4972"/>
    <w:rsid w:val="00FF4977"/>
    <w:rsid w:val="00FF4D27"/>
    <w:rsid w:val="00FF5309"/>
    <w:rsid w:val="00FF5397"/>
    <w:rsid w:val="00FF5470"/>
    <w:rsid w:val="00FF55BF"/>
    <w:rsid w:val="00FF5602"/>
    <w:rsid w:val="00FF56EE"/>
    <w:rsid w:val="00FF570D"/>
    <w:rsid w:val="00FF57D4"/>
    <w:rsid w:val="00FF58D1"/>
    <w:rsid w:val="00FF5917"/>
    <w:rsid w:val="00FF5A02"/>
    <w:rsid w:val="00FF5AE8"/>
    <w:rsid w:val="00FF5CAE"/>
    <w:rsid w:val="00FF611E"/>
    <w:rsid w:val="00FF61F4"/>
    <w:rsid w:val="00FF6388"/>
    <w:rsid w:val="00FF67C1"/>
    <w:rsid w:val="00FF69A6"/>
    <w:rsid w:val="00FF6ED2"/>
    <w:rsid w:val="00FF72F4"/>
    <w:rsid w:val="00FF7351"/>
    <w:rsid w:val="00FF7379"/>
    <w:rsid w:val="00FF75A4"/>
    <w:rsid w:val="00FF762B"/>
    <w:rsid w:val="00FF7847"/>
    <w:rsid w:val="00FF7A1E"/>
    <w:rsid w:val="00FF7BD8"/>
    <w:rsid w:val="00FF7C62"/>
    <w:rsid w:val="00FF7E75"/>
    <w:rsid w:val="00FF7EBF"/>
    <w:rsid w:val="013A0ADC"/>
    <w:rsid w:val="03425F66"/>
    <w:rsid w:val="05D978FC"/>
    <w:rsid w:val="09711FB0"/>
    <w:rsid w:val="0B423371"/>
    <w:rsid w:val="2C870B22"/>
    <w:rsid w:val="41046FDE"/>
    <w:rsid w:val="43BC329E"/>
    <w:rsid w:val="46241D12"/>
    <w:rsid w:val="4C8B36EB"/>
    <w:rsid w:val="53430A03"/>
    <w:rsid w:val="5A4561CF"/>
    <w:rsid w:val="67C021CA"/>
    <w:rsid w:val="6ABD59D5"/>
    <w:rsid w:val="6C01543E"/>
    <w:rsid w:val="6C32689C"/>
    <w:rsid w:val="79C5177F"/>
    <w:rsid w:val="7C6F0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iPriority="99" w:semiHidden="0" w:name="header"/>
    <w:lsdException w:qFormat="1" w:uiPriority="99" w:semiHidden="0" w:name="footer"/>
    <w:lsdException w:qFormat="1" w:uiPriority="99" w:semiHidden="0"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6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0"/>
    <w:unhideWhenUsed/>
    <w:qFormat/>
    <w:uiPriority w:val="1"/>
    <w:pPr>
      <w:keepNext/>
      <w:keepLines/>
      <w:adjustRightInd w:val="0"/>
      <w:snapToGrid w:val="0"/>
      <w:spacing w:before="120" w:after="120"/>
      <w:outlineLvl w:val="1"/>
    </w:pPr>
    <w:rPr>
      <w:rFonts w:ascii="Arial" w:hAnsi="Arial" w:cs="Arial"/>
      <w:b/>
      <w:bCs/>
      <w:sz w:val="22"/>
    </w:rPr>
  </w:style>
  <w:style w:type="paragraph" w:styleId="4">
    <w:name w:val="heading 3"/>
    <w:basedOn w:val="1"/>
    <w:next w:val="1"/>
    <w:link w:val="5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4"/>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75"/>
    <w:semiHidden/>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1260"/>
    </w:pPr>
    <w:rPr>
      <w:rFonts w:eastAsiaTheme="minorHAnsi"/>
      <w:sz w:val="18"/>
      <w:szCs w:val="18"/>
    </w:rPr>
  </w:style>
  <w:style w:type="paragraph" w:styleId="9">
    <w:name w:val="index 8"/>
    <w:basedOn w:val="1"/>
    <w:next w:val="1"/>
    <w:autoRedefine/>
    <w:unhideWhenUsed/>
    <w:qFormat/>
    <w:uiPriority w:val="99"/>
    <w:pPr>
      <w:ind w:left="1680" w:hanging="210"/>
    </w:pPr>
    <w:rPr>
      <w:rFonts w:eastAsiaTheme="minorHAnsi"/>
      <w:sz w:val="20"/>
      <w:szCs w:val="20"/>
    </w:rPr>
  </w:style>
  <w:style w:type="paragraph" w:styleId="10">
    <w:name w:val="Normal Indent"/>
    <w:basedOn w:val="1"/>
    <w:link w:val="87"/>
    <w:qFormat/>
    <w:uiPriority w:val="0"/>
    <w:pPr>
      <w:ind w:firstLine="420"/>
    </w:pPr>
    <w:rPr>
      <w:rFonts w:ascii="Times New Roman" w:hAnsi="Times New Roman" w:cs="Times New Roman"/>
      <w:szCs w:val="20"/>
    </w:r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index 5"/>
    <w:basedOn w:val="1"/>
    <w:next w:val="1"/>
    <w:autoRedefine/>
    <w:unhideWhenUsed/>
    <w:qFormat/>
    <w:uiPriority w:val="99"/>
    <w:pPr>
      <w:ind w:left="1050" w:hanging="210"/>
    </w:pPr>
    <w:rPr>
      <w:rFonts w:eastAsiaTheme="minorHAnsi"/>
      <w:sz w:val="20"/>
      <w:szCs w:val="20"/>
    </w:rPr>
  </w:style>
  <w:style w:type="paragraph" w:styleId="13">
    <w:name w:val="annotation text"/>
    <w:basedOn w:val="1"/>
    <w:link w:val="53"/>
    <w:unhideWhenUsed/>
    <w:qFormat/>
    <w:uiPriority w:val="0"/>
  </w:style>
  <w:style w:type="paragraph" w:styleId="14">
    <w:name w:val="index 6"/>
    <w:basedOn w:val="1"/>
    <w:next w:val="1"/>
    <w:autoRedefine/>
    <w:unhideWhenUsed/>
    <w:qFormat/>
    <w:uiPriority w:val="99"/>
    <w:pPr>
      <w:ind w:left="1260" w:hanging="210"/>
    </w:pPr>
    <w:rPr>
      <w:rFonts w:eastAsiaTheme="minorHAnsi"/>
      <w:sz w:val="20"/>
      <w:szCs w:val="20"/>
    </w:rPr>
  </w:style>
  <w:style w:type="paragraph" w:styleId="15">
    <w:name w:val="Body Text"/>
    <w:basedOn w:val="1"/>
    <w:link w:val="79"/>
    <w:qFormat/>
    <w:uiPriority w:val="1"/>
    <w:pPr>
      <w:autoSpaceDE w:val="0"/>
      <w:autoSpaceDN w:val="0"/>
    </w:pPr>
    <w:rPr>
      <w:rFonts w:ascii="Times New Roman" w:hAnsi="Times New Roman" w:eastAsia="Times New Roman" w:cs="Times New Roman"/>
      <w:lang w:eastAsia="en-US"/>
    </w:rPr>
  </w:style>
  <w:style w:type="paragraph" w:styleId="16">
    <w:name w:val="index 4"/>
    <w:basedOn w:val="1"/>
    <w:next w:val="1"/>
    <w:autoRedefine/>
    <w:unhideWhenUsed/>
    <w:qFormat/>
    <w:uiPriority w:val="99"/>
    <w:pPr>
      <w:ind w:left="840" w:hanging="210"/>
    </w:pPr>
    <w:rPr>
      <w:rFonts w:eastAsiaTheme="minorHAnsi"/>
      <w:sz w:val="20"/>
      <w:szCs w:val="20"/>
    </w:rPr>
  </w:style>
  <w:style w:type="paragraph" w:styleId="17">
    <w:name w:val="toc 5"/>
    <w:basedOn w:val="1"/>
    <w:next w:val="1"/>
    <w:autoRedefine/>
    <w:unhideWhenUsed/>
    <w:qFormat/>
    <w:uiPriority w:val="39"/>
    <w:pPr>
      <w:ind w:left="840"/>
    </w:pPr>
    <w:rPr>
      <w:rFonts w:eastAsiaTheme="minorHAnsi"/>
      <w:sz w:val="18"/>
      <w:szCs w:val="18"/>
    </w:rPr>
  </w:style>
  <w:style w:type="paragraph" w:styleId="18">
    <w:name w:val="toc 3"/>
    <w:basedOn w:val="1"/>
    <w:next w:val="1"/>
    <w:autoRedefine/>
    <w:unhideWhenUsed/>
    <w:qFormat/>
    <w:uiPriority w:val="39"/>
    <w:pPr>
      <w:tabs>
        <w:tab w:val="left" w:pos="1976"/>
        <w:tab w:val="right" w:leader="dot" w:pos="9622"/>
      </w:tabs>
      <w:adjustRightInd w:val="0"/>
      <w:snapToGrid w:val="0"/>
      <w:ind w:left="1134"/>
    </w:pPr>
    <w:rPr>
      <w:rFonts w:ascii="Arial" w:hAnsi="Arial" w:cs="Times New Roman (Body CS)"/>
      <w:iCs/>
      <w:color w:val="000000" w:themeColor="text1"/>
      <w:sz w:val="20"/>
      <w:szCs w:val="20"/>
      <w14:textFill>
        <w14:solidFill>
          <w14:schemeClr w14:val="tx1"/>
        </w14:solidFill>
      </w14:textFill>
    </w:rPr>
  </w:style>
  <w:style w:type="paragraph" w:styleId="19">
    <w:name w:val="Plain Text"/>
    <w:basedOn w:val="1"/>
    <w:link w:val="59"/>
    <w:unhideWhenUsed/>
    <w:qFormat/>
    <w:uiPriority w:val="99"/>
    <w:rPr>
      <w:rFonts w:ascii="Calibri" w:hAnsi="Calibri"/>
      <w:sz w:val="22"/>
      <w:szCs w:val="21"/>
    </w:rPr>
  </w:style>
  <w:style w:type="paragraph" w:styleId="20">
    <w:name w:val="toc 8"/>
    <w:basedOn w:val="1"/>
    <w:next w:val="1"/>
    <w:autoRedefine/>
    <w:unhideWhenUsed/>
    <w:qFormat/>
    <w:uiPriority w:val="39"/>
    <w:pPr>
      <w:ind w:left="1470"/>
    </w:pPr>
    <w:rPr>
      <w:rFonts w:eastAsiaTheme="minorHAnsi"/>
      <w:sz w:val="18"/>
      <w:szCs w:val="18"/>
    </w:rPr>
  </w:style>
  <w:style w:type="paragraph" w:styleId="21">
    <w:name w:val="index 3"/>
    <w:basedOn w:val="1"/>
    <w:next w:val="1"/>
    <w:autoRedefine/>
    <w:unhideWhenUsed/>
    <w:qFormat/>
    <w:uiPriority w:val="99"/>
    <w:pPr>
      <w:ind w:left="630" w:hanging="210"/>
    </w:pPr>
    <w:rPr>
      <w:rFonts w:eastAsiaTheme="minorHAnsi"/>
      <w:sz w:val="20"/>
      <w:szCs w:val="20"/>
    </w:rPr>
  </w:style>
  <w:style w:type="paragraph" w:styleId="22">
    <w:name w:val="Balloon Text"/>
    <w:basedOn w:val="1"/>
    <w:link w:val="49"/>
    <w:semiHidden/>
    <w:unhideWhenUsed/>
    <w:qFormat/>
    <w:uiPriority w:val="99"/>
    <w:rPr>
      <w:sz w:val="18"/>
      <w:szCs w:val="18"/>
    </w:rPr>
  </w:style>
  <w:style w:type="paragraph" w:styleId="23">
    <w:name w:val="footer"/>
    <w:basedOn w:val="1"/>
    <w:link w:val="52"/>
    <w:unhideWhenUsed/>
    <w:qFormat/>
    <w:uiPriority w:val="99"/>
    <w:pPr>
      <w:tabs>
        <w:tab w:val="center" w:pos="4153"/>
        <w:tab w:val="right" w:pos="8306"/>
      </w:tabs>
      <w:snapToGrid w:val="0"/>
    </w:pPr>
    <w:rPr>
      <w:sz w:val="18"/>
      <w:szCs w:val="18"/>
    </w:rPr>
  </w:style>
  <w:style w:type="paragraph" w:styleId="24">
    <w:name w:val="header"/>
    <w:basedOn w:val="1"/>
    <w:link w:val="51"/>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tabs>
        <w:tab w:val="left" w:pos="420"/>
        <w:tab w:val="right" w:leader="dot" w:pos="9622"/>
      </w:tabs>
      <w:spacing w:before="120" w:after="120"/>
    </w:pPr>
    <w:rPr>
      <w:rFonts w:ascii="Arial" w:hAnsi="Arial" w:cs="Times New Roman (Body CS)"/>
      <w:b/>
      <w:bCs/>
      <w:color w:val="000000" w:themeColor="text1"/>
      <w:sz w:val="20"/>
      <w:szCs w:val="20"/>
      <w14:textFill>
        <w14:solidFill>
          <w14:schemeClr w14:val="tx1"/>
        </w14:solidFill>
      </w14:textFill>
    </w:rPr>
  </w:style>
  <w:style w:type="paragraph" w:styleId="26">
    <w:name w:val="toc 4"/>
    <w:basedOn w:val="1"/>
    <w:next w:val="1"/>
    <w:autoRedefine/>
    <w:unhideWhenUsed/>
    <w:qFormat/>
    <w:uiPriority w:val="39"/>
    <w:pPr>
      <w:ind w:left="630"/>
    </w:pPr>
    <w:rPr>
      <w:rFonts w:eastAsiaTheme="minorHAnsi"/>
      <w:sz w:val="18"/>
      <w:szCs w:val="18"/>
    </w:rPr>
  </w:style>
  <w:style w:type="paragraph" w:styleId="27">
    <w:name w:val="index heading"/>
    <w:basedOn w:val="1"/>
    <w:next w:val="28"/>
    <w:unhideWhenUsed/>
    <w:qFormat/>
    <w:uiPriority w:val="99"/>
    <w:pPr>
      <w:spacing w:before="120" w:after="120"/>
    </w:pPr>
    <w:rPr>
      <w:rFonts w:eastAsiaTheme="minorHAnsi"/>
      <w:b/>
      <w:bCs/>
      <w:i/>
      <w:iCs/>
      <w:sz w:val="20"/>
      <w:szCs w:val="20"/>
    </w:rPr>
  </w:style>
  <w:style w:type="paragraph" w:styleId="28">
    <w:name w:val="index 1"/>
    <w:basedOn w:val="1"/>
    <w:next w:val="1"/>
    <w:autoRedefine/>
    <w:unhideWhenUsed/>
    <w:qFormat/>
    <w:uiPriority w:val="99"/>
    <w:pPr>
      <w:ind w:left="210" w:hanging="210"/>
    </w:pPr>
    <w:rPr>
      <w:rFonts w:eastAsiaTheme="minorHAnsi"/>
      <w:sz w:val="20"/>
      <w:szCs w:val="20"/>
    </w:rPr>
  </w:style>
  <w:style w:type="paragraph" w:styleId="29">
    <w:name w:val="footnote text"/>
    <w:basedOn w:val="1"/>
    <w:link w:val="55"/>
    <w:qFormat/>
    <w:uiPriority w:val="99"/>
    <w:pPr>
      <w:spacing w:afterLines="100" w:line="440" w:lineRule="exact"/>
      <w:ind w:firstLine="480" w:firstLineChars="200"/>
    </w:pPr>
    <w:rPr>
      <w:rFonts w:ascii="Arial" w:hAnsi="Arial" w:cs="Times New Roman"/>
      <w:sz w:val="18"/>
      <w:szCs w:val="20"/>
      <w:lang w:val="zh-CN" w:eastAsia="ko-KR"/>
    </w:rPr>
  </w:style>
  <w:style w:type="paragraph" w:styleId="30">
    <w:name w:val="toc 6"/>
    <w:basedOn w:val="1"/>
    <w:next w:val="1"/>
    <w:autoRedefine/>
    <w:unhideWhenUsed/>
    <w:qFormat/>
    <w:uiPriority w:val="39"/>
    <w:pPr>
      <w:ind w:left="1050"/>
    </w:pPr>
    <w:rPr>
      <w:rFonts w:eastAsiaTheme="minorHAnsi"/>
      <w:sz w:val="18"/>
      <w:szCs w:val="18"/>
    </w:rPr>
  </w:style>
  <w:style w:type="paragraph" w:styleId="31">
    <w:name w:val="index 7"/>
    <w:basedOn w:val="1"/>
    <w:next w:val="1"/>
    <w:autoRedefine/>
    <w:unhideWhenUsed/>
    <w:qFormat/>
    <w:uiPriority w:val="99"/>
    <w:pPr>
      <w:ind w:left="1470" w:hanging="210"/>
    </w:pPr>
    <w:rPr>
      <w:rFonts w:eastAsiaTheme="minorHAnsi"/>
      <w:sz w:val="20"/>
      <w:szCs w:val="20"/>
    </w:rPr>
  </w:style>
  <w:style w:type="paragraph" w:styleId="32">
    <w:name w:val="index 9"/>
    <w:basedOn w:val="1"/>
    <w:next w:val="1"/>
    <w:autoRedefine/>
    <w:unhideWhenUsed/>
    <w:qFormat/>
    <w:uiPriority w:val="99"/>
    <w:pPr>
      <w:ind w:left="1890" w:hanging="210"/>
    </w:pPr>
    <w:rPr>
      <w:rFonts w:eastAsiaTheme="minorHAnsi"/>
      <w:sz w:val="20"/>
      <w:szCs w:val="20"/>
    </w:rPr>
  </w:style>
  <w:style w:type="paragraph" w:styleId="33">
    <w:name w:val="toc 2"/>
    <w:basedOn w:val="1"/>
    <w:next w:val="1"/>
    <w:autoRedefine/>
    <w:unhideWhenUsed/>
    <w:qFormat/>
    <w:uiPriority w:val="39"/>
    <w:pPr>
      <w:tabs>
        <w:tab w:val="left" w:pos="993"/>
        <w:tab w:val="right" w:leader="dot" w:pos="9622"/>
      </w:tabs>
      <w:adjustRightInd w:val="0"/>
      <w:snapToGrid w:val="0"/>
      <w:spacing w:before="60" w:after="60"/>
      <w:ind w:left="454"/>
    </w:pPr>
    <w:rPr>
      <w:rFonts w:ascii="Arial" w:hAnsi="Arial" w:cs="Times New Roman (Body CS)"/>
      <w:smallCaps/>
      <w:color w:val="000000" w:themeColor="text1"/>
      <w:sz w:val="20"/>
      <w:szCs w:val="20"/>
      <w14:textFill>
        <w14:solidFill>
          <w14:schemeClr w14:val="tx1"/>
        </w14:solidFill>
      </w14:textFill>
    </w:rPr>
  </w:style>
  <w:style w:type="paragraph" w:styleId="34">
    <w:name w:val="toc 9"/>
    <w:basedOn w:val="1"/>
    <w:next w:val="1"/>
    <w:autoRedefine/>
    <w:unhideWhenUsed/>
    <w:qFormat/>
    <w:uiPriority w:val="39"/>
    <w:pPr>
      <w:ind w:left="1680"/>
    </w:pPr>
    <w:rPr>
      <w:rFonts w:eastAsiaTheme="minorHAnsi"/>
      <w:sz w:val="18"/>
      <w:szCs w:val="18"/>
    </w:rPr>
  </w:style>
  <w:style w:type="paragraph" w:styleId="35">
    <w:name w:val="HTML Preformatted"/>
    <w:basedOn w:val="1"/>
    <w:link w:val="9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paragraph" w:styleId="36">
    <w:name w:val="Normal (Web)"/>
    <w:basedOn w:val="1"/>
    <w:unhideWhenUsed/>
    <w:qFormat/>
    <w:uiPriority w:val="99"/>
    <w:pPr>
      <w:spacing w:before="100" w:beforeAutospacing="1" w:after="100" w:afterAutospacing="1"/>
    </w:pPr>
    <w:rPr>
      <w:rFonts w:ascii="Times New Roman" w:hAnsi="Times New Roman" w:cs="Times New Roman"/>
      <w:lang w:eastAsia="en-US"/>
    </w:rPr>
  </w:style>
  <w:style w:type="paragraph" w:styleId="37">
    <w:name w:val="index 2"/>
    <w:basedOn w:val="1"/>
    <w:next w:val="1"/>
    <w:autoRedefine/>
    <w:unhideWhenUsed/>
    <w:qFormat/>
    <w:uiPriority w:val="99"/>
    <w:pPr>
      <w:ind w:left="420" w:hanging="210"/>
    </w:pPr>
    <w:rPr>
      <w:rFonts w:eastAsiaTheme="minorHAnsi"/>
      <w:sz w:val="20"/>
      <w:szCs w:val="20"/>
    </w:rPr>
  </w:style>
  <w:style w:type="paragraph" w:styleId="38">
    <w:name w:val="annotation subject"/>
    <w:basedOn w:val="13"/>
    <w:next w:val="13"/>
    <w:link w:val="54"/>
    <w:semiHidden/>
    <w:unhideWhenUsed/>
    <w:qFormat/>
    <w:uiPriority w:val="99"/>
    <w:rPr>
      <w:b/>
      <w:bCs/>
    </w:rPr>
  </w:style>
  <w:style w:type="table" w:styleId="40">
    <w:name w:val="Table Grid"/>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FollowedHyperlink"/>
    <w:basedOn w:val="41"/>
    <w:semiHidden/>
    <w:unhideWhenUsed/>
    <w:qFormat/>
    <w:uiPriority w:val="99"/>
    <w:rPr>
      <w:color w:val="954F72" w:themeColor="followedHyperlink"/>
      <w:u w:val="single"/>
      <w14:textFill>
        <w14:solidFill>
          <w14:schemeClr w14:val="folHlink"/>
        </w14:solidFill>
      </w14:textFill>
    </w:rPr>
  </w:style>
  <w:style w:type="character" w:styleId="44">
    <w:name w:val="Hyperlink"/>
    <w:basedOn w:val="41"/>
    <w:unhideWhenUsed/>
    <w:qFormat/>
    <w:uiPriority w:val="99"/>
    <w:rPr>
      <w:color w:val="0563C1" w:themeColor="hyperlink"/>
      <w:u w:val="single"/>
      <w14:textFill>
        <w14:solidFill>
          <w14:schemeClr w14:val="hlink"/>
        </w14:solidFill>
      </w14:textFill>
    </w:rPr>
  </w:style>
  <w:style w:type="character" w:styleId="45">
    <w:name w:val="annotation reference"/>
    <w:basedOn w:val="41"/>
    <w:unhideWhenUsed/>
    <w:qFormat/>
    <w:uiPriority w:val="0"/>
    <w:rPr>
      <w:sz w:val="21"/>
      <w:szCs w:val="21"/>
    </w:rPr>
  </w:style>
  <w:style w:type="character" w:styleId="46">
    <w:name w:val="footnote reference"/>
    <w:basedOn w:val="41"/>
    <w:link w:val="47"/>
    <w:qFormat/>
    <w:uiPriority w:val="99"/>
    <w:rPr>
      <w:rFonts w:cs="Times New Roman"/>
      <w:vertAlign w:val="superscript"/>
    </w:rPr>
  </w:style>
  <w:style w:type="paragraph" w:customStyle="1" w:styleId="47">
    <w:name w:val="ftref Char Char"/>
    <w:basedOn w:val="1"/>
    <w:link w:val="46"/>
    <w:qFormat/>
    <w:uiPriority w:val="99"/>
    <w:pPr>
      <w:spacing w:after="160" w:line="240" w:lineRule="exact"/>
    </w:pPr>
    <w:rPr>
      <w:rFonts w:cs="Times New Roman"/>
      <w:vertAlign w:val="superscript"/>
    </w:rPr>
  </w:style>
  <w:style w:type="paragraph" w:styleId="48">
    <w:name w:val="List Paragraph"/>
    <w:basedOn w:val="1"/>
    <w:link w:val="61"/>
    <w:qFormat/>
    <w:uiPriority w:val="34"/>
    <w:pPr>
      <w:ind w:firstLine="420" w:firstLineChars="200"/>
    </w:pPr>
  </w:style>
  <w:style w:type="character" w:customStyle="1" w:styleId="49">
    <w:name w:val="Balloon Text Char"/>
    <w:basedOn w:val="41"/>
    <w:link w:val="22"/>
    <w:semiHidden/>
    <w:qFormat/>
    <w:uiPriority w:val="99"/>
    <w:rPr>
      <w:sz w:val="18"/>
      <w:szCs w:val="18"/>
    </w:rPr>
  </w:style>
  <w:style w:type="character" w:customStyle="1" w:styleId="50">
    <w:name w:val="Heading 2 Char"/>
    <w:basedOn w:val="41"/>
    <w:link w:val="3"/>
    <w:qFormat/>
    <w:uiPriority w:val="1"/>
    <w:rPr>
      <w:rFonts w:ascii="Arial" w:hAnsi="Arial" w:eastAsia="宋体" w:cs="Arial"/>
      <w:b/>
      <w:bCs/>
      <w:sz w:val="22"/>
    </w:rPr>
  </w:style>
  <w:style w:type="character" w:customStyle="1" w:styleId="51">
    <w:name w:val="Header Char"/>
    <w:basedOn w:val="41"/>
    <w:link w:val="24"/>
    <w:qFormat/>
    <w:uiPriority w:val="99"/>
    <w:rPr>
      <w:sz w:val="18"/>
      <w:szCs w:val="18"/>
    </w:rPr>
  </w:style>
  <w:style w:type="character" w:customStyle="1" w:styleId="52">
    <w:name w:val="Footer Char"/>
    <w:basedOn w:val="41"/>
    <w:link w:val="23"/>
    <w:qFormat/>
    <w:uiPriority w:val="99"/>
    <w:rPr>
      <w:sz w:val="18"/>
      <w:szCs w:val="18"/>
    </w:rPr>
  </w:style>
  <w:style w:type="character" w:customStyle="1" w:styleId="53">
    <w:name w:val="Comment Text Char"/>
    <w:basedOn w:val="41"/>
    <w:link w:val="13"/>
    <w:qFormat/>
    <w:uiPriority w:val="0"/>
  </w:style>
  <w:style w:type="character" w:customStyle="1" w:styleId="54">
    <w:name w:val="Comment Subject Char"/>
    <w:basedOn w:val="53"/>
    <w:link w:val="38"/>
    <w:semiHidden/>
    <w:qFormat/>
    <w:uiPriority w:val="99"/>
    <w:rPr>
      <w:b/>
      <w:bCs/>
    </w:rPr>
  </w:style>
  <w:style w:type="character" w:customStyle="1" w:styleId="55">
    <w:name w:val="Footnote Text Char"/>
    <w:basedOn w:val="41"/>
    <w:link w:val="29"/>
    <w:qFormat/>
    <w:uiPriority w:val="99"/>
    <w:rPr>
      <w:rFonts w:ascii="Arial" w:hAnsi="Arial" w:eastAsia="宋体" w:cs="Times New Roman"/>
      <w:kern w:val="0"/>
      <w:sz w:val="18"/>
      <w:szCs w:val="20"/>
      <w:lang w:val="zh-CN" w:eastAsia="ko-KR"/>
    </w:rPr>
  </w:style>
  <w:style w:type="paragraph" w:customStyle="1" w:styleId="56">
    <w:name w:val="编号正文"/>
    <w:qFormat/>
    <w:uiPriority w:val="99"/>
    <w:pPr>
      <w:numPr>
        <w:ilvl w:val="0"/>
        <w:numId w:val="1"/>
      </w:numPr>
      <w:tabs>
        <w:tab w:val="left" w:pos="709"/>
      </w:tabs>
      <w:spacing w:beforeLines="50" w:afterLines="50" w:line="440" w:lineRule="exact"/>
      <w:jc w:val="both"/>
    </w:pPr>
    <w:rPr>
      <w:rFonts w:ascii="宋体" w:hAnsi="宋体" w:eastAsia="宋体" w:cs="Times New Roman"/>
      <w:kern w:val="2"/>
      <w:sz w:val="24"/>
      <w:szCs w:val="24"/>
      <w:lang w:val="en-US" w:eastAsia="zh-CN" w:bidi="ar-SA"/>
    </w:rPr>
  </w:style>
  <w:style w:type="character" w:customStyle="1" w:styleId="57">
    <w:name w:val="Heading 3 Char"/>
    <w:basedOn w:val="41"/>
    <w:link w:val="4"/>
    <w:qFormat/>
    <w:uiPriority w:val="0"/>
    <w:rPr>
      <w:b/>
      <w:bCs/>
      <w:sz w:val="32"/>
      <w:szCs w:val="32"/>
    </w:rPr>
  </w:style>
  <w:style w:type="character" w:customStyle="1" w:styleId="58">
    <w:name w:val="Heading 4 Char"/>
    <w:basedOn w:val="41"/>
    <w:link w:val="5"/>
    <w:qFormat/>
    <w:uiPriority w:val="9"/>
    <w:rPr>
      <w:rFonts w:asciiTheme="majorHAnsi" w:hAnsiTheme="majorHAnsi" w:eastAsiaTheme="majorEastAsia" w:cstheme="majorBidi"/>
      <w:b/>
      <w:bCs/>
      <w:sz w:val="28"/>
      <w:szCs w:val="28"/>
    </w:rPr>
  </w:style>
  <w:style w:type="character" w:customStyle="1" w:styleId="59">
    <w:name w:val="Plain Text Char"/>
    <w:basedOn w:val="41"/>
    <w:link w:val="19"/>
    <w:qFormat/>
    <w:uiPriority w:val="99"/>
    <w:rPr>
      <w:rFonts w:ascii="Calibri" w:hAnsi="Calibri"/>
      <w:kern w:val="0"/>
      <w:sz w:val="22"/>
      <w:szCs w:val="21"/>
    </w:rPr>
  </w:style>
  <w:style w:type="paragraph" w:customStyle="1" w:styleId="60">
    <w:name w:val="Main Para no Chapter #-Ch 3"/>
    <w:basedOn w:val="48"/>
    <w:qFormat/>
    <w:uiPriority w:val="0"/>
    <w:pPr>
      <w:numPr>
        <w:ilvl w:val="0"/>
        <w:numId w:val="2"/>
      </w:numPr>
      <w:spacing w:before="120"/>
      <w:ind w:firstLine="0" w:firstLineChars="0"/>
      <w:contextualSpacing/>
    </w:pPr>
    <w:rPr>
      <w:rFonts w:ascii="Times New Roman" w:hAnsi="Times New Roman" w:eastAsia="Times New Roman" w:cs="Times New Roman"/>
      <w:b/>
      <w:lang w:eastAsia="en-US"/>
    </w:rPr>
  </w:style>
  <w:style w:type="character" w:customStyle="1" w:styleId="61">
    <w:name w:val="List Paragraph Char"/>
    <w:basedOn w:val="41"/>
    <w:link w:val="48"/>
    <w:qFormat/>
    <w:locked/>
    <w:uiPriority w:val="34"/>
  </w:style>
  <w:style w:type="character" w:customStyle="1" w:styleId="62">
    <w:name w:val="Heading 1 Char"/>
    <w:basedOn w:val="41"/>
    <w:link w:val="2"/>
    <w:qFormat/>
    <w:uiPriority w:val="9"/>
    <w:rPr>
      <w:b/>
      <w:bCs/>
      <w:kern w:val="44"/>
      <w:sz w:val="44"/>
      <w:szCs w:val="44"/>
    </w:rPr>
  </w:style>
  <w:style w:type="paragraph" w:customStyle="1" w:styleId="63">
    <w:name w:val="FNRefe Char Char"/>
    <w:basedOn w:val="1"/>
    <w:qFormat/>
    <w:uiPriority w:val="99"/>
    <w:pPr>
      <w:spacing w:after="160" w:line="240" w:lineRule="exact"/>
      <w:jc w:val="center"/>
    </w:pPr>
    <w:rPr>
      <w:rFonts w:ascii="Calibri" w:hAnsi="Calibri" w:cs="Times New Roman"/>
      <w:sz w:val="20"/>
      <w:szCs w:val="20"/>
      <w:vertAlign w:val="superscript"/>
    </w:rPr>
  </w:style>
  <w:style w:type="paragraph" w:customStyle="1" w:styleId="64">
    <w:name w:val="列出段落1"/>
    <w:basedOn w:val="1"/>
    <w:link w:val="65"/>
    <w:qFormat/>
    <w:uiPriority w:val="0"/>
    <w:pPr>
      <w:ind w:left="720"/>
      <w:contextualSpacing/>
      <w:jc w:val="center"/>
    </w:pPr>
    <w:rPr>
      <w:rFonts w:ascii="Calibri" w:hAnsi="Calibri" w:cs="Times New Roman"/>
      <w:sz w:val="22"/>
      <w:lang w:eastAsia="en-US"/>
    </w:rPr>
  </w:style>
  <w:style w:type="character" w:customStyle="1" w:styleId="65">
    <w:name w:val="列出段落字符1"/>
    <w:basedOn w:val="41"/>
    <w:link w:val="64"/>
    <w:qFormat/>
    <w:uiPriority w:val="0"/>
    <w:rPr>
      <w:rFonts w:ascii="Calibri" w:hAnsi="Calibri" w:cs="Times New Roman"/>
      <w:sz w:val="22"/>
      <w:lang w:eastAsia="en-US"/>
    </w:rPr>
  </w:style>
  <w:style w:type="paragraph" w:customStyle="1" w:styleId="66">
    <w:name w:val="BIMPS Annex Text"/>
    <w:basedOn w:val="1"/>
    <w:link w:val="67"/>
    <w:qFormat/>
    <w:uiPriority w:val="0"/>
    <w:pPr>
      <w:tabs>
        <w:tab w:val="left" w:pos="540"/>
      </w:tabs>
      <w:spacing w:before="160" w:after="160"/>
    </w:pPr>
    <w:rPr>
      <w:rFonts w:ascii="Times New Roman" w:hAnsi="Times New Roman" w:eastAsiaTheme="minorHAnsi"/>
      <w:sz w:val="22"/>
      <w:lang w:eastAsia="en-US"/>
    </w:rPr>
  </w:style>
  <w:style w:type="character" w:customStyle="1" w:styleId="67">
    <w:name w:val="BIMPS Annex Text Char"/>
    <w:basedOn w:val="41"/>
    <w:link w:val="66"/>
    <w:qFormat/>
    <w:uiPriority w:val="0"/>
    <w:rPr>
      <w:rFonts w:ascii="Times New Roman" w:hAnsi="Times New Roman" w:eastAsiaTheme="minorHAnsi"/>
      <w:sz w:val="22"/>
      <w:lang w:eastAsia="en-US"/>
    </w:rPr>
  </w:style>
  <w:style w:type="paragraph" w:styleId="68">
    <w:name w:val="No Spacing"/>
    <w:link w:val="69"/>
    <w:qFormat/>
    <w:uiPriority w:val="1"/>
    <w:rPr>
      <w:rFonts w:ascii="Calibri" w:hAnsi="Calibri" w:eastAsia="宋体" w:cs="Times New Roman"/>
      <w:kern w:val="0"/>
      <w:sz w:val="22"/>
      <w:szCs w:val="22"/>
      <w:lang w:val="en-US" w:eastAsia="en-US" w:bidi="ar-SA"/>
    </w:rPr>
  </w:style>
  <w:style w:type="character" w:customStyle="1" w:styleId="69">
    <w:name w:val="No Spacing Char"/>
    <w:link w:val="68"/>
    <w:qFormat/>
    <w:uiPriority w:val="1"/>
    <w:rPr>
      <w:rFonts w:ascii="Calibri" w:hAnsi="Calibri" w:eastAsia="宋体" w:cs="Times New Roman"/>
      <w:kern w:val="0"/>
      <w:sz w:val="22"/>
      <w:lang w:eastAsia="en-US"/>
    </w:rPr>
  </w:style>
  <w:style w:type="paragraph" w:customStyle="1" w:styleId="70">
    <w:name w:val="Citation List"/>
    <w:basedOn w:val="1"/>
    <w:next w:val="48"/>
    <w:link w:val="71"/>
    <w:qFormat/>
    <w:uiPriority w:val="34"/>
    <w:pPr>
      <w:spacing w:after="200" w:line="276" w:lineRule="auto"/>
      <w:ind w:left="720"/>
      <w:contextualSpacing/>
    </w:pPr>
    <w:rPr>
      <w:sz w:val="22"/>
      <w:lang w:eastAsia="en-US"/>
    </w:rPr>
  </w:style>
  <w:style w:type="character" w:customStyle="1" w:styleId="71">
    <w:name w:val="列出段落 Char"/>
    <w:link w:val="70"/>
    <w:qFormat/>
    <w:uiPriority w:val="34"/>
    <w:rPr>
      <w:sz w:val="22"/>
      <w:szCs w:val="22"/>
      <w:lang w:eastAsia="en-US"/>
    </w:rPr>
  </w:style>
  <w:style w:type="paragraph" w:customStyle="1" w:styleId="72">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73">
    <w:name w:val="无间隔2"/>
    <w:qFormat/>
    <w:uiPriority w:val="1"/>
    <w:rPr>
      <w:rFonts w:ascii="Calibri" w:hAnsi="Calibri" w:eastAsia="宋体" w:cs="Times New Roman"/>
      <w:kern w:val="0"/>
      <w:sz w:val="22"/>
      <w:szCs w:val="22"/>
      <w:lang w:val="en-US" w:eastAsia="en-US" w:bidi="ar-SA"/>
    </w:rPr>
  </w:style>
  <w:style w:type="character" w:customStyle="1" w:styleId="74">
    <w:name w:val="Heading 5 Char"/>
    <w:basedOn w:val="41"/>
    <w:link w:val="6"/>
    <w:qFormat/>
    <w:uiPriority w:val="9"/>
    <w:rPr>
      <w:b/>
      <w:bCs/>
      <w:sz w:val="28"/>
      <w:szCs w:val="28"/>
    </w:rPr>
  </w:style>
  <w:style w:type="character" w:customStyle="1" w:styleId="75">
    <w:name w:val="Heading 6 Char"/>
    <w:basedOn w:val="41"/>
    <w:link w:val="7"/>
    <w:semiHidden/>
    <w:qFormat/>
    <w:uiPriority w:val="9"/>
    <w:rPr>
      <w:rFonts w:asciiTheme="majorHAnsi" w:hAnsiTheme="majorHAnsi" w:eastAsiaTheme="majorEastAsia" w:cstheme="majorBidi"/>
      <w:b/>
      <w:bCs/>
      <w:sz w:val="24"/>
      <w:szCs w:val="24"/>
    </w:rPr>
  </w:style>
  <w:style w:type="paragraph" w:customStyle="1" w:styleId="76">
    <w:name w:val="Table Paragraph"/>
    <w:basedOn w:val="1"/>
    <w:qFormat/>
    <w:uiPriority w:val="1"/>
    <w:pPr>
      <w:spacing w:before="118"/>
      <w:ind w:left="859" w:hanging="360"/>
    </w:pPr>
  </w:style>
  <w:style w:type="paragraph" w:customStyle="1" w:styleId="77">
    <w:name w:val="BVI fnr Car Car Car Car Char"/>
    <w:basedOn w:val="1"/>
    <w:qFormat/>
    <w:uiPriority w:val="99"/>
    <w:pPr>
      <w:adjustRightInd w:val="0"/>
      <w:spacing w:before="120" w:after="160" w:line="240" w:lineRule="exact"/>
    </w:pPr>
    <w:rPr>
      <w:sz w:val="22"/>
      <w:vertAlign w:val="superscript"/>
      <w:lang w:eastAsia="en-US"/>
    </w:rPr>
  </w:style>
  <w:style w:type="table" w:customStyle="1" w:styleId="78">
    <w:name w:val="Table Grid8"/>
    <w:basedOn w:val="39"/>
    <w:qFormat/>
    <w:uiPriority w:val="39"/>
    <w:rPr>
      <w:rFonts w:ascii="Times New Roman" w:hAnsi="Times New Roman"/>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Body Text Char"/>
    <w:basedOn w:val="41"/>
    <w:link w:val="15"/>
    <w:qFormat/>
    <w:uiPriority w:val="1"/>
    <w:rPr>
      <w:rFonts w:ascii="Times New Roman" w:hAnsi="Times New Roman" w:eastAsia="Times New Roman" w:cs="Times New Roman"/>
      <w:kern w:val="0"/>
      <w:sz w:val="24"/>
      <w:szCs w:val="24"/>
      <w:lang w:eastAsia="en-US"/>
    </w:rPr>
  </w:style>
  <w:style w:type="paragraph" w:customStyle="1" w:styleId="80">
    <w:name w:val="Style1"/>
    <w:basedOn w:val="3"/>
    <w:link w:val="81"/>
    <w:qFormat/>
    <w:uiPriority w:val="0"/>
    <w:pPr>
      <w:keepNext w:val="0"/>
      <w:keepLines w:val="0"/>
      <w:tabs>
        <w:tab w:val="left" w:pos="716"/>
      </w:tabs>
      <w:autoSpaceDE w:val="0"/>
      <w:autoSpaceDN w:val="0"/>
      <w:spacing w:before="153" w:after="0"/>
      <w:ind w:left="140"/>
    </w:pPr>
    <w:rPr>
      <w:rFonts w:ascii="Times New Roman" w:hAnsi="Times New Roman" w:eastAsia="Times New Roman" w:cs="Times New Roman"/>
      <w:i/>
      <w:sz w:val="24"/>
      <w:lang w:eastAsia="en-US"/>
    </w:rPr>
  </w:style>
  <w:style w:type="character" w:customStyle="1" w:styleId="81">
    <w:name w:val="Style1 Char"/>
    <w:basedOn w:val="50"/>
    <w:link w:val="80"/>
    <w:qFormat/>
    <w:uiPriority w:val="0"/>
    <w:rPr>
      <w:rFonts w:ascii="Times New Roman" w:hAnsi="Times New Roman" w:eastAsia="Times New Roman" w:cs="Times New Roman"/>
      <w:i/>
      <w:kern w:val="0"/>
      <w:sz w:val="24"/>
      <w:szCs w:val="24"/>
      <w:lang w:eastAsia="en-US"/>
    </w:rPr>
  </w:style>
  <w:style w:type="paragraph" w:customStyle="1" w:styleId="82">
    <w:name w:val="Numbered Paragraph"/>
    <w:basedOn w:val="1"/>
    <w:link w:val="83"/>
    <w:qFormat/>
    <w:uiPriority w:val="0"/>
    <w:pPr>
      <w:numPr>
        <w:ilvl w:val="0"/>
        <w:numId w:val="3"/>
      </w:numPr>
      <w:spacing w:after="240"/>
    </w:pPr>
    <w:rPr>
      <w:rFonts w:ascii="Calibri" w:hAnsi="Calibri" w:eastAsia="Times New Roman" w:cs="Arial"/>
      <w:sz w:val="20"/>
      <w:lang w:eastAsia="en-US"/>
    </w:rPr>
  </w:style>
  <w:style w:type="character" w:customStyle="1" w:styleId="83">
    <w:name w:val="Numbered Paragraph Char"/>
    <w:link w:val="82"/>
    <w:qFormat/>
    <w:uiPriority w:val="0"/>
    <w:rPr>
      <w:rFonts w:ascii="Calibri" w:hAnsi="Calibri" w:eastAsia="Times New Roman" w:cs="Arial"/>
      <w:kern w:val="0"/>
      <w:sz w:val="20"/>
      <w:szCs w:val="24"/>
      <w:lang w:eastAsia="en-US"/>
    </w:rPr>
  </w:style>
  <w:style w:type="paragraph" w:customStyle="1" w:styleId="84">
    <w:name w:val="Revision"/>
    <w:hidden/>
    <w:semiHidden/>
    <w:qFormat/>
    <w:uiPriority w:val="99"/>
    <w:rPr>
      <w:rFonts w:eastAsia="宋体" w:asciiTheme="minorHAnsi" w:hAnsiTheme="minorHAnsi" w:cstheme="minorBidi"/>
      <w:kern w:val="0"/>
      <w:sz w:val="22"/>
      <w:szCs w:val="22"/>
      <w:lang w:val="en-US" w:eastAsia="en-US" w:bidi="ar-SA"/>
    </w:rPr>
  </w:style>
  <w:style w:type="table" w:customStyle="1" w:styleId="85">
    <w:name w:val="网格型1"/>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6">
    <w:name w:val="未处理的提及1"/>
    <w:basedOn w:val="41"/>
    <w:semiHidden/>
    <w:unhideWhenUsed/>
    <w:qFormat/>
    <w:uiPriority w:val="99"/>
    <w:rPr>
      <w:color w:val="605E5C"/>
      <w:shd w:val="clear" w:color="auto" w:fill="E1DFDD"/>
    </w:rPr>
  </w:style>
  <w:style w:type="character" w:customStyle="1" w:styleId="87">
    <w:name w:val="Normal Indent Char"/>
    <w:link w:val="10"/>
    <w:qFormat/>
    <w:uiPriority w:val="0"/>
    <w:rPr>
      <w:rFonts w:ascii="Times New Roman" w:hAnsi="Times New Roman" w:eastAsia="宋体" w:cs="Times New Roman"/>
      <w:szCs w:val="20"/>
    </w:rPr>
  </w:style>
  <w:style w:type="paragraph" w:customStyle="1" w:styleId="88">
    <w:name w:val="Fussnotenzeichen"/>
    <w:basedOn w:val="1"/>
    <w:autoRedefine/>
    <w:qFormat/>
    <w:uiPriority w:val="99"/>
    <w:rPr>
      <w:sz w:val="22"/>
      <w:vertAlign w:val="superscript"/>
      <w:lang w:eastAsia="en-US"/>
    </w:rPr>
  </w:style>
  <w:style w:type="character" w:customStyle="1" w:styleId="89">
    <w:name w:val="16"/>
    <w:qFormat/>
    <w:uiPriority w:val="0"/>
    <w:rPr>
      <w:rFonts w:hint="default" w:ascii="Calibri" w:hAnsi="Calibri" w:eastAsia="宋体" w:cs="Times New Roman"/>
      <w:b/>
      <w:bCs/>
    </w:rPr>
  </w:style>
  <w:style w:type="paragraph" w:customStyle="1" w:styleId="90">
    <w:name w:val="Char"/>
    <w:basedOn w:val="1"/>
    <w:qFormat/>
    <w:uiPriority w:val="0"/>
    <w:rPr>
      <w:rFonts w:ascii="Tahoma" w:hAnsi="Tahoma" w:cs="Times New Roman"/>
      <w:szCs w:val="20"/>
    </w:rPr>
  </w:style>
  <w:style w:type="character" w:customStyle="1" w:styleId="91">
    <w:name w:val="HTML Preformatted Char"/>
    <w:basedOn w:val="41"/>
    <w:link w:val="35"/>
    <w:semiHidden/>
    <w:qFormat/>
    <w:uiPriority w:val="99"/>
    <w:rPr>
      <w:rFonts w:ascii="Courier New" w:hAnsi="Courier New" w:eastAsia="Times New Roman" w:cs="Courier New"/>
      <w:kern w:val="0"/>
      <w:sz w:val="20"/>
      <w:szCs w:val="20"/>
    </w:rPr>
  </w:style>
  <w:style w:type="table" w:customStyle="1" w:styleId="92">
    <w:name w:val="Table Grid7"/>
    <w:basedOn w:val="39"/>
    <w:qFormat/>
    <w:uiPriority w:val="39"/>
    <w:rPr>
      <w:rFonts w:eastAsia="宋体"/>
      <w:kern w:val="0"/>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Unresolved Mention"/>
    <w:basedOn w:val="4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3" Type="http://schemas.openxmlformats.org/officeDocument/2006/relationships/fontTable" Target="fontTable.xml"/><Relationship Id="rId82" Type="http://schemas.openxmlformats.org/officeDocument/2006/relationships/customXml" Target="../customXml/item3.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header" Target="header3.xml"/><Relationship Id="rId79" Type="http://schemas.openxmlformats.org/officeDocument/2006/relationships/customXml" Target="../customXml/item1.xml"/><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jpeg"/><Relationship Id="rId7" Type="http://schemas.openxmlformats.org/officeDocument/2006/relationships/footer" Target="footer2.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1.xml"/><Relationship Id="rId59" Type="http://schemas.microsoft.com/office/2007/relationships/hdphoto" Target="media/image49.wdp"/><Relationship Id="rId58" Type="http://schemas.openxmlformats.org/officeDocument/2006/relationships/image" Target="media/image48.pn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2.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header" Target="head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512d890e-2821-4604-9467-a9095427b3ac</errorID>
      <errorWord>十四五</errorWord>
      <group>L1_Other</group>
      <groupName>其他问题</groupName>
      <ability>L2_UserTypo</ability>
      <abilityName>自定义错误</abilityName>
      <candidateList>
        <item>“十四五”</item>
      </candidateList>
      <explain>来自自定义错词库。</explain>
      <paraID>6E933F12</paraID>
      <start>22</start>
      <end>27</end>
      <status>modified</status>
      <modifiedWord>“十四五”</modifiedWord>
      <trackRevisions>false</trackRevisions>
    </reviewItem>
    <reviewItem>
      <errorID>c0cf19e0-3d57-418f-867d-60270df67b8c</errorID>
      <errorWord>原住民</errorWord>
      <group>L1_Sensitive</group>
      <groupName>敏感问题</groupName>
      <ability>L2_Violent</ability>
      <abilityName>暴恐词条</abilityName>
      <candidateList/>
      <explain>【暴恐词条】句中包含暴恐类敏感词条，请注意甄别。</explain>
      <paraID>6F083374</paraID>
      <start>32</start>
      <end>35</end>
      <status>unmodified</status>
      <modifiedWord/>
      <trackRevisions>false</trackRevisions>
    </reviewItem>
    <reviewItem>
      <errorID>e6c3f127-b93e-4dde-9d43-850d33b803b4</errorID>
      <errorWord>社会管理体系</errorWord>
      <group>L1_Political</group>
      <groupName>政治性问题</groupName>
      <ability>L2_Keyword</ability>
      <abilityName>固定表述</abilityName>
      <candidateList>
        <item>社会治理体系</item>
      </candidateList>
      <explain>词汇“社会治理体系”在特定场景下为固定表述形式，请确认此处的“社会管理体系”是否存在不当。</explain>
      <paraID> 93156EB</paraID>
      <start>456</start>
      <end>462</end>
      <status>modified</status>
      <modifiedWord>社会治理体系</modifiedWord>
      <trackRevisions>false</trackRevisions>
    </reviewItem>
    <reviewItem>
      <errorID>219f4919-89c5-4740-8dd7-ff80a2f5d7cd</errorID>
      <errorWord>志愿</errorWord>
      <group>L1_Word</group>
      <groupName>字词问题</groupName>
      <ability>L2_Typo</ability>
      <abilityName>字词错误</abilityName>
      <candidateList>
        <item>自愿</item>
      </candidateList>
      <explain>〈动〉自己愿意：自觉～｜～参加｜出于～。</explain>
      <paraID>6160D307</paraID>
      <start>6</start>
      <end>8</end>
      <status>unmodified</status>
      <modifiedWord/>
      <trackRevisions>false</trackRevisions>
    </reviewItem>
    <reviewItem>
      <errorID>a6dce861-0162-4443-822c-b4d210cb7983</errorID>
      <errorWord>非</errorWord>
      <group>L1_Word</group>
      <groupName>字词问题</groupName>
      <ability>L2_Typo</ability>
      <abilityName>字词错误</abilityName>
      <candidateList>
        <item>非志</item>
      </candidateList>
      <explain/>
      <paraID>6160D307</paraID>
      <start>337</start>
      <end>339</end>
      <status>modified</status>
      <modifiedWord>非志</modifiedWord>
      <trackRevisions>false</trackRevisions>
    </reviewItem>
    <reviewItem>
      <errorID>b9b291cf-8e8e-4b16-a4cb-fc6d9cc3adc4</errorID>
      <errorWord>少数民族地区</errorWord>
      <group>L1_Word</group>
      <groupName>字词问题</groupName>
      <ability>L2_Typo</ability>
      <abilityName>字词错误</abilityName>
      <candidateList>
        <item>民族地区</item>
      </candidateList>
      <explain/>
      <paraID>5DD671BD</paraID>
      <start>74</start>
      <end>78</end>
      <status>modified</status>
      <modifiedWord>民族地区</modifiedWord>
      <trackRevisions>false</trackRevisions>
    </reviewItem>
    <reviewItem>
      <errorID>8489354e-6ea6-42b5-a64b-4a5ac769f439</errorID>
      <errorWord>50%—95％</errorWord>
      <group>L1_Knowledge</group>
      <groupName>知识性问题</groupName>
      <ability>L2_Knowledge</ability>
      <abilityName>其他知识</abilityName>
      <candidateList>
        <item>50%—95%</item>
      </candidateList>
      <explain>1. “50%—95％”中的单位“%”仅出现在后一个数字上，容易引起歧义；根据《现代汉语标点符号数字用法规范手册》，数字表示范围两边需要使用统一的格式。2. 根据标点国标 4.13 中的规则，数字、时间或地域连接符应使用（视觉上更长的）“—”或“～”。</explain>
      <paraID>4F40C54C</paraID>
      <start>138</start>
      <end>145</end>
      <status>unmodified</status>
      <modifiedWord/>
      <trackRevisions>false</trackRevisions>
    </reviewItem>
    <reviewItem>
      <errorID>d70927d9-9267-472f-9114-095d9ee6c5d4</errorID>
      <errorWord>农村面源污染</errorWord>
      <group>L1_Political</group>
      <groupName>政治性问题</groupName>
      <ability>L2_Keyword</ability>
      <abilityName>固定表述</abilityName>
      <candidateList>
        <item>农业面源污染</item>
      </candidateList>
      <explain>词汇“农业面源污染”在特定场景下为固定表述形式，请确认此处的“农村面源污染”是否存在不当。</explain>
      <paraID> F741A5B</paraID>
      <start>227</start>
      <end>233</end>
      <status>modified</status>
      <modifiedWord>农业面源污染</modifiedWord>
      <trackRevisions>false</trackRevisions>
    </reviewItem>
    <reviewItem>
      <errorID>9a2a67e4-1d19-4430-bbbb-f280dff1398b</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5A0EC2A6</paraID>
      <start>237</start>
      <end>239</end>
      <status>modified</status>
      <modifiedWord>必须</modifiedWord>
      <trackRevisions>false</trackRevisions>
    </reviewItem>
    <reviewItem>
      <errorID>a62635c2-3577-4cd6-8a3e-f79ad85fcf29</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433287E7</paraID>
      <start>36</start>
      <end>48</end>
      <status>modified</status>
      <modifiedWord>中华人民共和国环境保护法</modifiedWord>
      <trackRevisions>false</trackRevisions>
    </reviewItem>
    <reviewItem>
      <errorID>92d32c6f-9975-44db-a485-d80ed799afc0</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433287E7</paraID>
      <start>58</start>
      <end>70</end>
      <status>modified</status>
      <modifiedWord>中华人民共和国环境保护法</modifiedWord>
      <trackRevisions>false</trackRevisions>
    </reviewItem>
    <reviewItem>
      <errorID>6f5c70af-01c6-46df-b215-eea364e415a6</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433287E7</paraID>
      <start>170</start>
      <end>182</end>
      <status>modified</status>
      <modifiedWord>中华人民共和国环境保护法</modifiedWord>
      <trackRevisions>false</trackRevisions>
    </reviewItem>
    <reviewItem>
      <errorID>5279443b-2aaf-4dfe-b3d8-a96f62743d15</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4C5DA837</paraID>
      <start>5</start>
      <end>19</end>
      <status>modified</status>
      <modifiedWord>中华人民共和国环境影响评价法</modifiedWord>
      <trackRevisions>false</trackRevisions>
    </reviewItem>
    <reviewItem>
      <errorID>b1552c69-2592-4918-ac65-8c23dd76b330</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400B1C26</paraID>
      <start>1</start>
      <end>15</end>
      <status>modified</status>
      <modifiedWord>中华人民共和国环境影响评价法</modifiedWord>
      <trackRevisions>false</trackRevisions>
    </reviewItem>
    <reviewItem>
      <errorID>6a5f007b-62c2-40a1-abd8-f02c2bbb240e</errorID>
      <errorWord>《湖南省环境保护行政主管部门审批环境影响评价文件的建设项目目录》（2017年）</errorWord>
      <group>L1_Knowledge</group>
      <groupName>知识性问题</groupName>
      <ability>L2_Knowledge</ability>
      <abilityName>其他知识</abilityName>
      <candidateList>
        <item>《湖南省环境保护行政主管部门审批环境影响评价文件的建设项目目录（2017年）》</item>
      </candidateList>
      <explain>疑似政策文件、法律法规名称等书写不规范，请注意检查。</explain>
      <paraID>7DC49B19</paraID>
      <start>352</start>
      <end>391</end>
      <status>unmodified</status>
      <modifiedWord/>
      <trackRevisions>false</trackRevisions>
    </reviewItem>
    <reviewItem>
      <errorID>d80bf654-6d48-479e-bc51-30ca0374510e</errorID>
      <errorWord>水污染防治法</errorWord>
      <group>L1_Knowledge</group>
      <groupName>知识性问题</groupName>
      <ability>L2_Knowledge</ability>
      <abilityName>其他知识</abilityName>
      <candidateList>
        <item>中华人民共和国水污染防治法</item>
      </candidateList>
      <explain>当前法律法规名称使用简称，请注意是否应当使用全称。</explain>
      <paraID>1D69E5BF</paraID>
      <start>1</start>
      <end>14</end>
      <status>modified</status>
      <modifiedWord>中华人民共和国水污染防治法</modifiedWord>
      <trackRevisions>false</trackRevisions>
    </reviewItem>
    <reviewItem>
      <errorID>98ccaffe-cb56-4bde-975d-596fe9a971d5</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697C9F87</paraID>
      <start>1</start>
      <end>15</end>
      <status>modified</status>
      <modifiedWord>中华人民共和国土壤污染防治法</modifiedWord>
      <trackRevisions>false</trackRevisions>
    </reviewItem>
    <reviewItem>
      <errorID>30b6b419-28c0-451d-af7b-f9dfae31443b</errorID>
      <errorWord>中华人民共和国土壤污染防治法&gt;办法</errorWord>
      <group>L1_Knowledge</group>
      <groupName>知识性问题</groupName>
      <ability>L2_Knowledge</ability>
      <abilityName>其他知识</abilityName>
      <candidateList/>
      <explain>当前法律法规未收录或尚未生效，注意核查是否正确。</explain>
      <paraID>6D00F613</paraID>
      <start>6</start>
      <end>23</end>
      <status>unmodified</status>
      <modifiedWord/>
      <trackRevisions>false</trackRevisions>
    </reviewItem>
    <reviewItem>
      <errorID>e72c6a40-0c30-44a6-8210-783bb0d0ae3b</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58452499</paraID>
      <start>1</start>
      <end>15</end>
      <status>modified</status>
      <modifiedWord>中华人民共和国大气污染防治法</modifiedWord>
      <trackRevisions>false</trackRevisions>
    </reviewItem>
    <reviewItem>
      <errorID>c56c9e73-e705-429b-bad9-d68dc5432543</errorID>
      <errorWord>固体废物污染环境防治法</errorWord>
      <group>L1_Knowledge</group>
      <groupName>知识性问题</groupName>
      <ability>L2_Knowledge</ability>
      <abilityName>其他知识</abilityName>
      <candidateList>
        <item>中华人民共和国固体废物污染环境防治法</item>
      </candidateList>
      <explain>当前法律法规名称使用简称，请注意是否应当使用全称。</explain>
      <paraID>4F2D6DE3</paraID>
      <start>1</start>
      <end>19</end>
      <status>modified</status>
      <modifiedWord>中华人民共和国固体废物污染环境防治法</modifiedWord>
      <trackRevisions>false</trackRevisions>
    </reviewItem>
    <reviewItem>
      <errorID>d95bdad1-4342-4680-9dc8-c2aa3ee51437</errorID>
      <errorWord>农业法</errorWord>
      <group>L1_Knowledge</group>
      <groupName>知识性问题</groupName>
      <ability>L2_Knowledge</ability>
      <abilityName>其他知识</abilityName>
      <candidateList>
        <item>中华人民共和国农业法</item>
      </candidateList>
      <explain>当前法律法规名称使用简称，请注意是否应当使用全称。</explain>
      <paraID>6CC0CFA5</paraID>
      <start>1</start>
      <end>11</end>
      <status>modified</status>
      <modifiedWord>中华人民共和国农业法</modifiedWord>
      <trackRevisions>false</trackRevisions>
    </reviewItem>
    <reviewItem>
      <errorID>0cb8fd2b-26ce-4d53-89d2-21aeca167d53</errorID>
      <errorWord>乡村振兴促进法</errorWord>
      <group>L1_Knowledge</group>
      <groupName>知识性问题</groupName>
      <ability>L2_Knowledge</ability>
      <abilityName>其他知识</abilityName>
      <candidateList>
        <item>中华人民共和国乡村振兴促进法</item>
      </candidateList>
      <explain>当前法律法规名称使用简称，请注意是否应当使用全称。</explain>
      <paraID>346DC3F6</paraID>
      <start>1</start>
      <end>15</end>
      <status>modified</status>
      <modifiedWord>中华人民共和国乡村振兴促进法</modifiedWord>
      <trackRevisions>false</trackRevisions>
    </reviewItem>
    <reviewItem>
      <errorID>d914aa5c-25dc-4120-bfb6-0f9f43bb8ae7</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6A15AC30</paraID>
      <start>25</start>
      <end>39</end>
      <status>modified</status>
      <modifiedWord>中华人民共和国土壤污染防治法</modifiedWord>
      <trackRevisions>false</trackRevisions>
    </reviewItem>
    <reviewItem>
      <errorID>fa6b5e0f-9ea3-47de-808b-af4cd4af822e</errorID>
      <errorWord>水污染防治法</errorWord>
      <group>L1_Knowledge</group>
      <groupName>知识性问题</groupName>
      <ability>L2_Knowledge</ability>
      <abilityName>其他知识</abilityName>
      <candidateList>
        <item>中华人民共和国水污染防治法</item>
      </candidateList>
      <explain>当前法律法规名称使用简称，请注意是否应当使用全称。</explain>
      <paraID>6A15AC30</paraID>
      <start>41</start>
      <end>54</end>
      <status>modified</status>
      <modifiedWord>中华人民共和国水污染防治法</modifiedWord>
      <trackRevisions>false</trackRevisions>
    </reviewItem>
    <reviewItem>
      <errorID>c6360ba1-d79c-4fa5-8856-24d9ac72ff8d</errorID>
      <errorWord>农产品质量安全法</errorWord>
      <group>L1_Knowledge</group>
      <groupName>知识性问题</groupName>
      <ability>L2_Knowledge</ability>
      <abilityName>其他知识</abilityName>
      <candidateList>
        <item>中华人民共和国农产品质量安全法</item>
      </candidateList>
      <explain>当前法律法规名称使用简称，请注意是否应当使用全称。</explain>
      <paraID>6A15AC30</paraID>
      <start>56</start>
      <end>71</end>
      <status>modified</status>
      <modifiedWord>中华人民共和国农产品质量安全法</modifiedWord>
      <trackRevisions>false</trackRevisions>
    </reviewItem>
    <reviewItem>
      <errorID>da90eb18-d0c8-470b-a441-e60900acf566</errorID>
      <errorWord>《食品安全法》</errorWord>
      <group>L1_Word</group>
      <groupName>字词问题</groupName>
      <ability>L2_Typo</ability>
      <abilityName>字词错误</abilityName>
      <candidateList>
        <item>《中华人民共和国食品安全法》</item>
      </candidateList>
      <explain/>
      <paraID>6A15AC30</paraID>
      <start>72</start>
      <end>86</end>
      <status>modified</status>
      <modifiedWord>《中华人民共和国食品安全法》</modifiedWord>
      <trackRevisions>false</trackRevisions>
    </reviewItem>
    <reviewItem>
      <errorID>388d3068-5307-4969-96d2-d334afae08f2</errorID>
      <errorWord>粘虫板</errorWord>
      <group>L1_Word</group>
      <groupName>字词问题</groupName>
      <ability>L2_Typo</ability>
      <abilityName>字词错误</abilityName>
      <candidateList>
        <item>黏虫板</item>
      </candidateList>
      <explain/>
      <paraID> E20E478</paraID>
      <start>137</start>
      <end>140</end>
      <status>modified</status>
      <modifiedWord>黏虫板</modifiedWord>
      <trackRevisions>false</trackRevisions>
    </reviewItem>
    <reviewItem>
      <errorID>31d45c75-3512-4f99-95b7-ca952acc8d40</errorID>
      <errorWord>畜牧法</errorWord>
      <group>L1_Knowledge</group>
      <groupName>知识性问题</groupName>
      <ability>L2_Knowledge</ability>
      <abilityName>其他知识</abilityName>
      <candidateList>
        <item>中华人民共和国畜牧法</item>
      </candidateList>
      <explain>当前法律法规名称使用简称，请注意是否应当使用全称。</explain>
      <paraID>28274F60</paraID>
      <start>1</start>
      <end>11</end>
      <status>modified</status>
      <modifiedWord>中华人民共和国畜牧法</modifiedWord>
      <trackRevisions>false</trackRevisions>
    </reviewItem>
    <reviewItem>
      <errorID>fa86a134-ee29-4b51-976d-6853a99676dd</errorID>
      <errorWord>渔业法</errorWord>
      <group>L1_Knowledge</group>
      <groupName>知识性问题</groupName>
      <ability>L2_Knowledge</ability>
      <abilityName>其他知识</abilityName>
      <candidateList>
        <item>中华人民共和国渔业法</item>
      </candidateList>
      <explain>当前法律法规名称使用简称，请注意是否应当使用全称。</explain>
      <paraID>28DD33A3</paraID>
      <start>1</start>
      <end>11</end>
      <status>modified</status>
      <modifiedWord>中华人民共和国渔业法</modifiedWord>
      <trackRevisions>false</trackRevisions>
    </reviewItem>
    <reviewItem>
      <errorID>c0c19af3-8a3f-49b9-8b7a-b74d6de62681</errorID>
      <errorWord>十三五期间</errorWord>
      <group>L1_Political</group>
      <groupName>政治性问题</groupName>
      <ability>L2_Keyword</ability>
      <abilityName>固定表述</abilityName>
      <candidateList>
        <item>“十三五”期间</item>
      </candidateList>
      <explain>注意检查当前固定表述标点是否使用规范。</explain>
      <paraID>29EE4680</paraID>
      <start>4</start>
      <end>11</end>
      <status>modified</status>
      <modifiedWord>“十三五”期间</modifiedWord>
      <trackRevisions>false</trackRevisions>
    </reviewItem>
    <reviewItem>
      <errorID>d893bc55-b810-4ba9-a9bf-693c245865c9</errorID>
      <errorWord>建国</errorWord>
      <group>L1_Other</group>
      <groupName>其他问题</groupName>
      <ability>L2_UserTypo</ability>
      <abilityName>自定义错误</abilityName>
      <candidateList>
        <item>新中国成立</item>
      </candidateList>
      <explain>来自自定义错词库。</explain>
      <paraID>29EE4680</paraID>
      <start>62</start>
      <end>64</end>
      <status>unmodified</status>
      <modifiedWord/>
      <trackRevisions>false</trackRevisions>
    </reviewItem>
    <reviewItem>
      <errorID>fed0b336-a96f-4632-8056-c188c38ed8d2</errorID>
      <errorWord>国家生态环境部</errorWord>
      <group>L1_Political</group>
      <groupName>政治性问题</groupName>
      <ability>L2_Unpolitical</ability>
      <abilityName>政治敏感错误</abilityName>
      <candidateList>
        <item>生态环境部</item>
      </candidateList>
      <explain/>
      <paraID>73A60CCD</paraID>
      <start>0</start>
      <end>5</end>
      <status>modified</status>
      <modifiedWord>生态环境部</modifiedWord>
      <trackRevisions>false</trackRevisions>
    </reviewItem>
    <reviewItem>
      <errorID>408ff28f-ff64-470a-a41c-92826204c8d4</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6916F017</paraID>
      <start>1</start>
      <end>13</end>
      <status>modified</status>
      <modifiedWord>中华人民共和国土地管理法</modifiedWord>
      <trackRevisions>false</trackRevisions>
    </reviewItem>
    <reviewItem>
      <errorID>ec82260a-7d56-498b-a0a1-6817be83fece</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30058A5B</paraID>
      <start>1</start>
      <end>15</end>
      <status>modified</status>
      <modifiedWord>中华人民共和国土壤污染防治法</modifiedWord>
      <trackRevisions>false</trackRevisions>
    </reviewItem>
    <reviewItem>
      <errorID>12c351bc-c8cb-48b6-8870-f1131f96b04d</errorID>
      <errorWord>水土保持法</errorWord>
      <group>L1_Knowledge</group>
      <groupName>知识性问题</groupName>
      <ability>L2_Knowledge</ability>
      <abilityName>其他知识</abilityName>
      <candidateList>
        <item>中华人民共和国水土保持法</item>
      </candidateList>
      <explain>当前法律法规名称使用简称，请注意是否应当使用全称。</explain>
      <paraID>16AB7CD3</paraID>
      <start>1</start>
      <end>13</end>
      <status>modified</status>
      <modifiedWord>中华人民共和国水土保持法</modifiedWord>
      <trackRevisions>false</trackRevisions>
    </reviewItem>
    <reviewItem>
      <errorID>fa947163-27e4-4b30-a38a-b6fd3a4aa757</errorID>
      <errorWord>水土保持法</errorWord>
      <group>L1_Knowledge</group>
      <groupName>知识性问题</groupName>
      <ability>L2_Knowledge</ability>
      <abilityName>其他知识</abilityName>
      <candidateList>
        <item>中华人民共和国水土保持法</item>
      </candidateList>
      <explain>当前法律法规名称使用简称，请注意是否应当使用全称。</explain>
      <paraID>16AB7CD3</paraID>
      <start>185</start>
      <end>197</end>
      <status>modified</status>
      <modifiedWord>中华人民共和国水土保持法</modifiedWord>
      <trackRevisions>false</trackRevisions>
    </reviewItem>
    <reviewItem>
      <errorID>c1ee5160-9a15-43f1-9f71-fac5fe0b1c3b</errorID>
      <errorWord>野生动物保护法</errorWord>
      <group>L1_Knowledge</group>
      <groupName>知识性问题</groupName>
      <ability>L2_Knowledge</ability>
      <abilityName>其他知识</abilityName>
      <candidateList>
        <item>中华人民共和国野生动物保护法</item>
      </candidateList>
      <explain>当前法律法规名称使用简称，请注意是否应当使用全称。</explain>
      <paraID>4BE056B6</paraID>
      <start>1</start>
      <end>15</end>
      <status>modified</status>
      <modifiedWord>中华人民共和国野生动物保护法</modifiedWord>
      <trackRevisions>false</trackRevisions>
    </reviewItem>
    <reviewItem>
      <errorID>2b866664-837a-46a5-a6ae-ec3abf694e9b</errorID>
      <errorWord>野生植物保护条例</errorWord>
      <group>L1_Knowledge</group>
      <groupName>知识性问题</groupName>
      <ability>L2_Knowledge</ability>
      <abilityName>其他知识</abilityName>
      <candidateList>
        <item>中华人民共和国野生植物保护条例</item>
      </candidateList>
      <explain>当前法律法规名称使用简称，请注意是否应当使用全称。</explain>
      <paraID>786B5676</paraID>
      <start>1</start>
      <end>16</end>
      <status>modified</status>
      <modifiedWord>中华人民共和国野生植物保护条例</modifiedWord>
      <trackRevisions>false</trackRevisions>
    </reviewItem>
    <reviewItem>
      <errorID>47a95d88-6317-4b8b-89c0-b7b778bce3c1</errorID>
      <errorWord>自然保护区条例</errorWord>
      <group>L1_Knowledge</group>
      <groupName>知识性问题</groupName>
      <ability>L2_Knowledge</ability>
      <abilityName>其他知识</abilityName>
      <candidateList>
        <item>中华人民共和国自然保护区条例</item>
      </candidateList>
      <explain>当前法律法规名称使用简称，请注意是否应当使用全称。</explain>
      <paraID>48E0DE9C</paraID>
      <start>1</start>
      <end>15</end>
      <status>modified</status>
      <modifiedWord>中华人民共和国自然保护区条例</modifiedWord>
      <trackRevisions>false</trackRevisions>
    </reviewItem>
    <reviewItem>
      <errorID>57365de4-823f-4aef-bbbf-29b72adfbc97</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711DC9B5</paraID>
      <start>32</start>
      <end>39</end>
      <status>modified</status>
      <modifiedWord>生物多样性保护</modifiedWord>
      <trackRevisions>false</trackRevisions>
    </reviewItem>
    <reviewItem>
      <errorID>ab104df2-4dff-41d1-80eb-1dd4c242033e</errorID>
      <errorWord>国家自然资源部</errorWord>
      <group>L1_Political</group>
      <groupName>政治性问题</groupName>
      <ability>L2_Unpolitical</ability>
      <abilityName>政治敏感错误</abilityName>
      <candidateList>
        <item>自然资源部</item>
      </candidateList>
      <explain/>
      <paraID>5983EB95</paraID>
      <start>197</start>
      <end>202</end>
      <status>modified</status>
      <modifiedWord>自然资源部</modifiedWord>
      <trackRevisions>false</trackRevisions>
    </reviewItem>
    <reviewItem>
      <errorID>64772e77-d0cb-4dc6-861b-476e8f8d756c</errorID>
      <errorWord>动物防疫法</errorWord>
      <group>L1_Knowledge</group>
      <groupName>知识性问题</groupName>
      <ability>L2_Knowledge</ability>
      <abilityName>其他知识</abilityName>
      <candidateList>
        <item>中华人民共和国动物防疫法</item>
      </candidateList>
      <explain>当前法律法规名称使用简称，请注意是否应当使用全称。</explain>
      <paraID>4B6E1E6B</paraID>
      <start>1</start>
      <end>13</end>
      <status>modified</status>
      <modifiedWord>中华人民共和国动物防疫法</modifiedWord>
      <trackRevisions>false</trackRevisions>
    </reviewItem>
    <reviewItem>
      <errorID>cafd134e-0740-4767-a364-8dd8c36a3e75</errorID>
      <errorWord>《建设项目职业病危害风险分类管理目录》（2021年）</errorWord>
      <group>L1_Knowledge</group>
      <groupName>知识性问题</groupName>
      <ability>L2_Knowledge</ability>
      <abilityName>其他知识</abilityName>
      <candidateList>
        <item>《建设项目职业病危害风险分类管理目录（2021年）》</item>
      </candidateList>
      <explain>疑似政策文件、法律法规名称等书写不规范，请注意检查。</explain>
      <paraID>6387BD28</paraID>
      <start>0</start>
      <end>26</end>
      <status>unmodified</status>
      <modifiedWord/>
      <trackRevisions>false</trackRevisions>
    </reviewItem>
    <reviewItem>
      <errorID>d66a3e13-b9bb-4393-b5ab-64114675dcd5</errorID>
      <errorWord>《职业病分类和目录》（2013年）</errorWord>
      <group>L1_Knowledge</group>
      <groupName>知识性问题</groupName>
      <ability>L2_Knowledge</ability>
      <abilityName>其他知识</abilityName>
      <candidateList>
        <item>《职业病分类和目录（2013年）》</item>
      </candidateList>
      <explain>疑似政策文件、法律法规名称等书写不规范，请注意检查。</explain>
      <paraID>697086EA</paraID>
      <start>0</start>
      <end>17</end>
      <status>modified</status>
      <modifiedWord>《职业病分类和目录（2013年）》</modifiedWord>
      <trackRevisions>false</trackRevisions>
    </reviewItem>
    <reviewItem>
      <errorID>1fcff1da-706a-4071-913d-582493478094</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2056D7FA</paraID>
      <start>9</start>
      <end>21</end>
      <status>modified</status>
      <modifiedWord>中华人民共和国环境保护法</modifiedWord>
      <trackRevisions>false</trackRevisions>
    </reviewItem>
    <reviewItem>
      <errorID>4fc5b655-320c-4038-be2e-05fb3d83f9ce</errorID>
      <errorWord>社会管理体系</errorWord>
      <group>L1_Political</group>
      <groupName>政治性问题</groupName>
      <ability>L2_Keyword</ability>
      <abilityName>固定表述</abilityName>
      <candidateList>
        <item>社会治理体系</item>
      </candidateList>
      <explain>词汇“社会治理体系”在特定场景下为固定表述形式，请确认此处的“社会管理体系”是否存在不当。</explain>
      <paraID>6B6BB455</paraID>
      <start>60</start>
      <end>66</end>
      <status>modified</status>
      <modifiedWord>社会治理体系</modifiedWord>
      <trackRevisions>false</trackRevisions>
    </reviewItem>
    <reviewItem>
      <errorID>4cf39494-4cc1-443e-9e11-c33b3692a9f0</errorID>
      <errorWord>国家发改委</errorWord>
      <group>L1_Knowledge</group>
      <groupName>知识性问题</groupName>
      <ability>L2_Knowledge</ability>
      <abilityName>其他知识</abilityName>
      <candidateList>
        <item>国家发展改革委</item>
      </candidateList>
      <explain/>
      <paraID>1B43C055</paraID>
      <start>3</start>
      <end>10</end>
      <status>modified</status>
      <modifiedWord>国家发展改革委</modifiedWord>
      <trackRevisions>false</trackRevisions>
    </reviewItem>
    <reviewItem>
      <errorID>8496414b-db5d-4a1c-ab4a-5d751b9e7129</errorID>
      <errorWord>市政法委</errorWord>
      <group>L1_Word</group>
      <groupName>字词问题</groupName>
      <ability>L2_Typo</ability>
      <abilityName>字词错误</abilityName>
      <candidateList>
        <item>市委政法委</item>
      </candidateList>
      <explain>机关单位名称不规范，请注意审核。</explain>
      <paraID>6B1FD43B</paraID>
      <start>16</start>
      <end>21</end>
      <status>modified</status>
      <modifiedWord>市委政法委</modifiedWord>
      <trackRevisions>false</trackRevisions>
    </reviewItem>
    <reviewItem>
      <errorID>58c42b23-b56e-4dec-8c85-ec1de425e4ca</errorID>
      <errorWord>县政法委</errorWord>
      <group>L1_Word</group>
      <groupName>字词问题</groupName>
      <ability>L2_Typo</ability>
      <abilityName>字词错误</abilityName>
      <candidateList>
        <item>县委政法委</item>
      </candidateList>
      <explain>机关单位名称不规范，请注意审核。</explain>
      <paraID>75CDC169</paraID>
      <start>27</start>
      <end>32</end>
      <status>modified</status>
      <modifiedWord>县委政法委</modifiedWord>
      <trackRevisions>false</trackRevisions>
    </reviewItem>
    <reviewItem>
      <errorID>9d8c7262-4e41-49f7-88bd-a96dd0f2b6c4</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3E6FEC37</paraID>
      <start>1</start>
      <end>13</end>
      <status>modified</status>
      <modifiedWord>中华人民共和国文物保护法</modifiedWord>
      <trackRevisions>false</trackRevisions>
    </reviewItem>
    <reviewItem>
      <errorID>8ba81958-dddb-40c6-8daf-9b50dd0ccb7d</errorID>
      <errorWord>文物保护法实施条例</errorWord>
      <group>L1_Knowledge</group>
      <groupName>知识性问题</groupName>
      <ability>L2_Knowledge</ability>
      <abilityName>其他知识</abilityName>
      <candidateList>
        <item>中华人民共和国文物保护法实施条例</item>
      </candidateList>
      <explain>当前法律法规名称使用简称，请注意是否应当使用全称。</explain>
      <paraID>2A843591</paraID>
      <start>1</start>
      <end>17</end>
      <status>modified</status>
      <modifiedWord>中华人民共和国文物保护法实施条例</modifiedWord>
      <trackRevisions>false</trackRevisions>
    </reviewItem>
    <reviewItem>
      <errorID>c8c7f53f-ad7f-48ce-8855-2cd5f22b2c56</errorID>
      <errorWord>《职业病分类和目录》（2013）</errorWord>
      <group>L1_Knowledge</group>
      <groupName>知识性问题</groupName>
      <ability>L2_Knowledge</ability>
      <abilityName>其他知识</abilityName>
      <candidateList>
        <item>《职业病分类和目录（2013）》</item>
      </candidateList>
      <explain>疑似政策文件、法律法规名称等书写不规范，请注意检查。</explain>
      <paraID>34E56B85</paraID>
      <start>0</start>
      <end>16</end>
      <status>modified</status>
      <modifiedWord>《职业病分类和目录（2013）》</modifiedWord>
      <trackRevisions>false</trackRevisions>
    </reviewItem>
    <reviewItem>
      <errorID>caef2e98-247d-49f7-b594-4276cf4fccf1</errorID>
      <errorWord>《传染病防治法》</errorWord>
      <group>L1_Word</group>
      <groupName>字词问题</groupName>
      <ability>L2_Typo</ability>
      <abilityName>字词错误</abilityName>
      <candidateList>
        <item>《中华人民共和国传染病防治法》</item>
      </candidateList>
      <explain/>
      <paraID>649A6C7B</paraID>
      <start>0</start>
      <end>15</end>
      <status>modified</status>
      <modifiedWord>《中华人民共和国传染病防治法》</modifiedWord>
      <trackRevisions>false</trackRevisions>
    </reviewItem>
    <reviewItem>
      <errorID>b493e460-6943-4553-893e-5909112ee12e</errorID>
      <errorWord>防震减灾法</errorWord>
      <group>L1_Knowledge</group>
      <groupName>知识性问题</groupName>
      <ability>L2_Knowledge</ability>
      <abilityName>其他知识</abilityName>
      <candidateList>
        <item>中华人民共和国防震减灾法</item>
      </candidateList>
      <explain>当前法律法规名称使用简称，请注意是否应当使用全称。</explain>
      <paraID>213AAFA8</paraID>
      <start>1</start>
      <end>13</end>
      <status>modified</status>
      <modifiedWord>中华人民共和国防震减灾法</modifiedWord>
      <trackRevisions>false</trackRevisions>
    </reviewItem>
    <reviewItem>
      <errorID>35355daf-5694-427d-b35b-40e0901d4665</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330AA248</paraID>
      <start>1</start>
      <end>13</end>
      <status>modified</status>
      <modifiedWord>中华人民共和国土地管理法</modifiedWord>
      <trackRevisions>false</trackRevisions>
    </reviewItem>
    <reviewItem>
      <errorID>03e364a4-bae5-4ee0-8a68-4ac033af940e</errorID>
      <errorWord>土地管理法实施条例</errorWord>
      <group>L1_Knowledge</group>
      <groupName>知识性问题</groupName>
      <ability>L2_Knowledge</ability>
      <abilityName>其他知识</abilityName>
      <candidateList>
        <item>中华人民共和国土地管理法实施条例</item>
      </candidateList>
      <explain>当前法律法规名称使用简称，请注意是否应当使用全称。</explain>
      <paraID>5088C7F5</paraID>
      <start>1</start>
      <end>17</end>
      <status>modified</status>
      <modifiedWord>中华人民共和国土地管理法实施条例</modifiedWord>
      <trackRevisions>false</trackRevisions>
    </reviewItem>
    <reviewItem>
      <errorID>9896796c-829b-4f97-954b-df47f1d42c29</errorID>
      <errorWord>《宪法》</errorWord>
      <group>L1_Word</group>
      <groupName>字词问题</groupName>
      <ability>L2_Typo</ability>
      <abilityName>字词错误</abilityName>
      <candidateList>
        <item>《中华人民共和国宪法》</item>
      </candidateList>
      <explain/>
      <paraID>1D8F7A10</paraID>
      <start>0</start>
      <end>11</end>
      <status>modified</status>
      <modifiedWord>《中华人民共和国宪法》</modifiedWord>
      <trackRevisions>false</trackRevisions>
    </reviewItem>
    <reviewItem>
      <errorID>d17c030f-a072-4db8-b5d4-e1539cf19a98</errorID>
      <errorWord>《中共中央、国务院</errorWord>
      <group>L1_Political</group>
      <groupName>政治性问题</groupName>
      <ability>L2_Unpolitical</ability>
      <abilityName>政治敏感错误</abilityName>
      <candidateList>
        <item>《中共中央 国务院</item>
      </candidateList>
      <explain/>
      <paraID>1FAF7D00</paraID>
      <start>0</start>
      <end>9</end>
      <status>modified</status>
      <modifiedWord>《中共中央 国务院</modifiedWord>
      <trackRevisions>false</trackRevisions>
    </reviewItem>
    <reviewItem>
      <errorID>d35cf2a3-5f7e-413d-81eb-e5d178973252</errorID>
      <errorWord>防范和化解风险</errorWord>
      <group>L1_Political</group>
      <groupName>政治性问题</groupName>
      <ability>L2_Keyword</ability>
      <abilityName>固定表述</abilityName>
      <candidateList>
        <item>防范化解风险</item>
      </candidateList>
      <explain>词汇“防范化解风险”在特定场景下为固定表述形式，请确认此处的“防范和化解风险”是否存在不当。</explain>
      <paraID>3E0E3ECB</paraID>
      <start>114</start>
      <end>120</end>
      <status>modified</status>
      <modifiedWord>防范化解风险</modifiedWord>
      <trackRevisions>false</trackRevisions>
    </reviewItem>
    <reviewItem>
      <errorID>a5f4469f-74fc-4ad7-9803-d9c6f68bb2d2</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 1F379D4</paraID>
      <start>1</start>
      <end>13</end>
      <status>modified</status>
      <modifiedWord>中华人民共和国土地管理法</modifiedWord>
      <trackRevisions>false</trackRevisions>
    </reviewItem>
    <reviewItem>
      <errorID>3660dac1-1bca-451d-be54-9eeed2544492</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2B0614BD</paraID>
      <start>85</start>
      <end>97</end>
      <status>modified</status>
      <modifiedWord>中华人民共和国土地管理法</modifiedWord>
      <trackRevisions>false</trackRevisions>
    </reviewItem>
    <reviewItem>
      <errorID>739c25d7-5c5e-42a5-8aaa-12423e80e665</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2B0614BD</paraID>
      <start>145</start>
      <end>157</end>
      <status>modified</status>
      <modifiedWord>中华人民共和国文物保护法</modifiedWord>
      <trackRevisions>false</trackRevisions>
    </reviewItem>
    <reviewItem>
      <errorID>039095ca-c041-4d76-81b6-4d0a4dde321d</errorID>
      <errorWord>防范和化解风险</errorWord>
      <group>L1_Political</group>
      <groupName>政治性问题</groupName>
      <ability>L2_Keyword</ability>
      <abilityName>固定表述</abilityName>
      <candidateList>
        <item>防范化解风险</item>
      </candidateList>
      <explain>词汇“防范化解风险”在特定场景下为固定表述形式，请确认此处的“防范和化解风险”是否存在不当。</explain>
      <paraID>414FC7E9</paraID>
      <start>69</start>
      <end>75</end>
      <status>modified</status>
      <modifiedWord>防范化解风险</modifiedWord>
      <trackRevisions>false</trackRevisions>
    </reviewItem>
    <reviewItem>
      <errorID>e308f359-c76c-4357-ac40-71ed9016b16a</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3AC666B5</paraID>
      <start>289</start>
      <end>301</end>
      <status>modified</status>
      <modifiedWord>中华人民共和国土地管理法</modifiedWord>
      <trackRevisions>false</trackRevisions>
    </reviewItem>
    <reviewItem>
      <errorID>8df80c6c-3623-440b-87a9-992b73a2fc9a</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18920247</paraID>
      <start>181</start>
      <end>193</end>
      <status>modified</status>
      <modifiedWord>中华人民共和国文物保护法</modifiedWord>
      <trackRevisions>false</trackRevisions>
    </reviewItem>
    <reviewItem>
      <errorID>2c88be78-6ea7-412d-97e6-4a6e041dc767</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346E15B1</paraID>
      <start>4</start>
      <end>16</end>
      <status>modified</status>
      <modifiedWord>中华人民共和国文物保护法</modifiedWord>
      <trackRevisions>false</trackRevisions>
    </reviewItem>
    <reviewItem>
      <errorID>50379da9-5b22-462b-bb0a-72d0722d33cd</errorID>
      <errorWord>文物保护法实施条例</errorWord>
      <group>L1_Knowledge</group>
      <groupName>知识性问题</groupName>
      <ability>L2_Knowledge</ability>
      <abilityName>其他知识</abilityName>
      <candidateList>
        <item>中华人民共和国文物保护法实施条例</item>
      </candidateList>
      <explain>当前法律法规名称使用简称，请注意是否应当使用全称。</explain>
      <paraID>346E15B1</paraID>
      <start>19</start>
      <end>35</end>
      <status>modified</status>
      <modifiedWord>中华人民共和国文物保护法实施条例</modifiedWord>
      <trackRevisions>false</trackRevisions>
    </reviewItem>
    <reviewItem>
      <errorID>799eec95-737b-4871-b1e7-2462327a479b</errorID>
      <errorWord>劳动法</errorWord>
      <group>L1_Knowledge</group>
      <groupName>知识性问题</groupName>
      <ability>L2_Knowledge</ability>
      <abilityName>其他知识</abilityName>
      <candidateList>
        <item>中华人民共和国劳动法</item>
      </candidateList>
      <explain>当前法律法规名称使用简称，请注意是否应当使用全称。</explain>
      <paraID>2D68095D</paraID>
      <start>3</start>
      <end>13</end>
      <status>modified</status>
      <modifiedWord>中华人民共和国劳动法</modifiedWord>
      <trackRevisions>false</trackRevisions>
    </reviewItem>
    <reviewItem>
      <errorID>a3612acf-963a-4344-94da-3cdbf5bead67</errorID>
      <errorWord>《民法典》</errorWord>
      <group>L1_Word</group>
      <groupName>字词问题</groupName>
      <ability>L2_Typo</ability>
      <abilityName>字词错误</abilityName>
      <candidateList>
        <item>《中华人民共和国民法典》</item>
      </candidateList>
      <explain/>
      <paraID>2D68095D</paraID>
      <start>24</start>
      <end>36</end>
      <status>modified</status>
      <modifiedWord>《中华人民共和国民法典》</modifiedWord>
      <trackRevisions>false</trackRevisions>
    </reviewItem>
    <reviewItem>
      <errorID>ed26c2f7-bbc9-4c59-af40-95dbee546ffc</errorID>
      <errorWord>《安全生产法》</errorWord>
      <group>L1_Word</group>
      <groupName>字词问题</groupName>
      <ability>L2_Typo</ability>
      <abilityName>字词错误</abilityName>
      <candidateList>
        <item>《中华人民共和国安全生产法》</item>
      </candidateList>
      <explain/>
      <paraID> B3C111A</paraID>
      <start>0</start>
      <end>14</end>
      <status>modified</status>
      <modifiedWord>《中华人民共和国安全生产法》</modifiedWord>
      <trackRevisions>false</trackRevisions>
    </reviewItem>
    <reviewItem>
      <errorID>8b10f65f-7517-4d07-8d54-8e363a7ed11c</errorID>
      <errorWord>《民法典》</errorWord>
      <group>L1_Word</group>
      <groupName>字词问题</groupName>
      <ability>L2_Typo</ability>
      <abilityName>字词错误</abilityName>
      <candidateList>
        <item>《中华人民共和国民法典》</item>
      </candidateList>
      <explain/>
      <paraID>1A68C908</paraID>
      <start>0</start>
      <end>12</end>
      <status>modified</status>
      <modifiedWord>《中华人民共和国民法典》</modifiedWord>
      <trackRevisions>false</trackRevisions>
    </reviewItem>
    <reviewItem>
      <errorID>32339ca9-98d8-4e96-bc89-b7937e4a1d0f</errorID>
      <errorWord>防震减灾法</errorWord>
      <group>L1_Knowledge</group>
      <groupName>知识性问题</groupName>
      <ability>L2_Knowledge</ability>
      <abilityName>其他知识</abilityName>
      <candidateList>
        <item>中华人民共和国防震减灾法</item>
      </candidateList>
      <explain>当前法律法规名称使用简称，请注意是否应当使用全称。</explain>
      <paraID>27D38E0E</paraID>
      <start>351</start>
      <end>363</end>
      <status>modified</status>
      <modifiedWord>中华人民共和国防震减灾法</modifiedWord>
      <trackRevisions>false</trackRevisions>
    </reviewItem>
    <reviewItem>
      <errorID>ff36e79a-c3d1-4c78-9093-b3390796801f</errorID>
      <errorWord>《传染病防治法》</errorWord>
      <group>L1_Word</group>
      <groupName>字词问题</groupName>
      <ability>L2_Typo</ability>
      <abilityName>字词错误</abilityName>
      <candidateList>
        <item>《中华人民共和国传染病防治法》</item>
      </candidateList>
      <explain/>
      <paraID>27D38E0E</paraID>
      <start>420</start>
      <end>435</end>
      <status>modified</status>
      <modifiedWord>《中华人民共和国传染病防治法》</modifiedWord>
      <trackRevisions>false</trackRevisions>
    </reviewItem>
    <reviewItem>
      <errorID>599b6b49-70aa-45b9-94b8-46010c77e101</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149B1EB8</paraID>
      <start>61</start>
      <end>73</end>
      <status>modified</status>
      <modifiedWord>中华人民共和国土地管理法</modifiedWord>
      <trackRevisions>false</trackRevisions>
    </reviewItem>
    <reviewItem>
      <errorID>e706202a-6378-4a3a-86e3-4e370084aa75</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1DF64101</paraID>
      <start>32</start>
      <end>44</end>
      <status>modified</status>
      <modifiedWord>中华人民共和国土地管理法</modifiedWord>
      <trackRevisions>false</trackRevisions>
    </reviewItem>
    <reviewItem>
      <errorID>a2e464db-8f7a-4d9d-a509-82119d4578ae</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1DF64101</paraID>
      <start>158</start>
      <end>170</end>
      <status>modified</status>
      <modifiedWord>中华人民共和国土地管理法</modifiedWord>
      <trackRevisions>false</trackRevisions>
    </reviewItem>
    <reviewItem>
      <errorID>3577aa69-8e07-40f7-842c-d982f5a4eba5</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29EE0D15</paraID>
      <start>442</start>
      <end>454</end>
      <status>modified</status>
      <modifiedWord>中华人民共和国土地管理法</modifiedWord>
      <trackRevisions>false</trackRevisions>
    </reviewItem>
    <reviewItem>
      <errorID>f60977e4-ccdc-413e-8d23-6a6f9ce4783b</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62CB5718</paraID>
      <start>15</start>
      <end>27</end>
      <status>modified</status>
      <modifiedWord>中华人民共和国土地管理法</modifiedWord>
      <trackRevisions>false</trackRevisions>
    </reviewItem>
    <reviewItem>
      <errorID>de88c6b5-b535-4679-862d-dc7405142272</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62CB5718</paraID>
      <start>156</start>
      <end>168</end>
      <status>modified</status>
      <modifiedWord>中华人民共和国土地管理法</modifiedWord>
      <trackRevisions>false</trackRevisions>
    </reviewItem>
    <reviewItem>
      <errorID>76a2e199-088f-472a-b052-e79a34c75c0f</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2DD926E3</paraID>
      <start>35</start>
      <end>47</end>
      <status>modified</status>
      <modifiedWord>中华人民共和国土地管理法</modifiedWord>
      <trackRevisions>false</trackRevisions>
    </reviewItem>
    <reviewItem>
      <errorID>c73e4287-dca1-4850-8de6-ac1d2509989a</errorID>
      <errorWord>土地管理法实施条例</errorWord>
      <group>L1_Knowledge</group>
      <groupName>知识性问题</groupName>
      <ability>L2_Knowledge</ability>
      <abilityName>其他知识</abilityName>
      <candidateList>
        <item>中华人民共和国土地管理法实施条例</item>
      </candidateList>
      <explain>当前法律法规名称使用简称，请注意是否应当使用全称。</explain>
      <paraID>2DD926E3</paraID>
      <start>50</start>
      <end>66</end>
      <status>modified</status>
      <modifiedWord>中华人民共和国土地管理法实施条例</modifiedWord>
      <trackRevisions>false</trackRevisions>
    </reviewItem>
    <reviewItem>
      <errorID>50324196-044e-409a-bfb1-6ec69f3dd8f6</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2DD926E3</paraID>
      <start>122</start>
      <end>134</end>
      <status>modified</status>
      <modifiedWord>中华人民共和国土地管理法</modifiedWord>
      <trackRevisions>false</trackRevisions>
    </reviewItem>
    <reviewItem>
      <errorID>50201c7a-4e39-4d43-9068-cf60acff8602</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61C19DEE</paraID>
      <start>168</start>
      <end>180</end>
      <status>modified</status>
      <modifiedWord>中华人民共和国土地管理法</modifiedWord>
      <trackRevisions>false</trackRevisions>
    </reviewItem>
    <reviewItem>
      <errorID>23626170-9f9d-4d5f-80a1-0fe4f62209d4</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61C19DEE</paraID>
      <start>223</start>
      <end>235</end>
      <status>modified</status>
      <modifiedWord>中华人民共和国土地管理法</modifiedWord>
      <trackRevisions>false</trackRevisions>
    </reviewItem>
    <reviewItem>
      <errorID>a7ddd137-c472-44fa-9939-c13aa70e269d</errorID>
      <errorWord>《宪法》</errorWord>
      <group>L1_Word</group>
      <groupName>字词问题</groupName>
      <ability>L2_Typo</ability>
      <abilityName>字词错误</abilityName>
      <candidateList>
        <item>《中华人民共和国宪法》</item>
      </candidateList>
      <explain/>
      <paraID>78349929</paraID>
      <start>252</start>
      <end>263</end>
      <status>modified</status>
      <modifiedWord>《中华人民共和国宪法》</modifiedWord>
      <trackRevisions>false</trackRevisions>
    </reviewItem>
    <reviewItem>
      <errorID>8b507f9c-c34d-44f4-beea-1a6262c93b53</errorID>
      <errorWord>省委省政府</errorWord>
      <group>L1_Political</group>
      <groupName>政治性问题</groupName>
      <ability>L2_Keyword</ability>
      <abilityName>固定表述</abilityName>
      <candidateList>
        <item>省委、省政府</item>
      </candidateList>
      <explain>注意检查当前固定表述标点是否使用规范。</explain>
      <paraID>78349929</paraID>
      <start>776</start>
      <end>781</end>
      <status>unmodified</status>
      <modifiedWord/>
      <trackRevisions>false</trackRevisions>
    </reviewItem>
    <reviewItem>
      <errorID>68d392e9-033e-4a59-9d62-ff48ed13a629</errorID>
      <errorWord>少数民族地区</errorWord>
      <group>L1_Word</group>
      <groupName>字词问题</groupName>
      <ability>L2_Typo</ability>
      <abilityName>字词错误</abilityName>
      <candidateList>
        <item>民族地区</item>
      </candidateList>
      <explain/>
      <paraID>25C9E292</paraID>
      <start>39</start>
      <end>43</end>
      <status>modified</status>
      <modifiedWord>民族地区</modifiedWord>
      <trackRevisions>false</trackRevisions>
    </reviewItem>
    <reviewItem>
      <errorID>8dd94fee-923c-41cc-b1ee-53ad0f587078</errorID>
      <errorWord>巩固</errorWord>
      <group>L1_Sensitive</group>
      <groupName>敏感问题</groupName>
      <ability>L2_UserSensitive</ability>
      <abilityName>自定义敏感词</abilityName>
      <candidateList/>
      <explain>来自自定义敏感词库。</explain>
      <paraID>1B31F77C</paraID>
      <start>187</start>
      <end>189</end>
      <status>unmodified</status>
      <modifiedWord/>
      <trackRevisions>false</trackRevisions>
    </reviewItem>
    <reviewItem>
      <errorID>f5fc95a7-62b7-4abd-8fdc-c22d06a5e413</errorID>
      <errorWord>分层分类的社会救助</errorWord>
      <group>L1_Political</group>
      <groupName>政治性问题</groupName>
      <ability>L2_Keyword</ability>
      <abilityName>固定表述</abilityName>
      <candidateList>
        <item>分层分类社会救助</item>
      </candidateList>
      <explain>词汇“分层分类社会救助”在特定场景下为固定表述形式，请确认此处的“分层分类的社会救助”是否存在不当。</explain>
      <paraID>66F007B7</paraID>
      <start>137</start>
      <end>145</end>
      <status>modified</status>
      <modifiedWord>分层分类社会救助</modifiedWord>
      <trackRevisions>false</trackRevisions>
    </reviewItem>
    <reviewItem>
      <errorID>a7aedcd2-3b84-4578-b168-da63506c4eec</errorID>
      <errorWord>社会管理体系</errorWord>
      <group>L1_Political</group>
      <groupName>政治性问题</groupName>
      <ability>L2_Keyword</ability>
      <abilityName>固定表述</abilityName>
      <candidateList>
        <item>社会治理体系</item>
      </candidateList>
      <explain>词汇“社会治理体系”在特定场景下为固定表述形式，请确认此处的“社会管理体系”是否存在不当。</explain>
      <paraID>7356F822</paraID>
      <start>99</start>
      <end>105</end>
      <status>modified</status>
      <modifiedWord>社会治理体系</modifiedWord>
      <trackRevisions>false</trackRevisions>
    </reviewItem>
    <reviewItem>
      <errorID>5763456d-296a-4a88-8720-d0d0674195e9</errorID>
      <errorWord>省政法委</errorWord>
      <group>L1_Word</group>
      <groupName>字词问题</groupName>
      <ability>L2_Typo</ability>
      <abilityName>字词错误</abilityName>
      <candidateList>
        <item>省委政法委</item>
      </candidateList>
      <explain>机关单位名称不规范，请注意审核。</explain>
      <paraID>33B98A90</paraID>
      <start>0</start>
      <end>5</end>
      <status>modified</status>
      <modifiedWord>省委政法委</modifiedWord>
      <trackRevisions>false</trackRevisions>
    </reviewItem>
    <reviewItem>
      <errorID>67105bd5-10ff-4a9a-8911-ba4cd4cbbf0b</errorID>
      <errorWord>区政法委</errorWord>
      <group>L1_Political</group>
      <groupName>政治性问题</groupName>
      <ability>L2_Unpolitical</ability>
      <abilityName>政治敏感错误</abilityName>
      <candidateList>
        <item>区委政法委</item>
      </candidateList>
      <explain>机关单位名称不规范，请注意审核。</explain>
      <paraID>33B98A90</paraID>
      <start>54</start>
      <end>59</end>
      <status>modified</status>
      <modifiedWord>区委政法委</modifiedWord>
      <trackRevisions>false</trackRevisions>
    </reviewItem>
    <reviewItem>
      <errorID>7884cace-69b8-427e-af41-a4dcac3543bb</errorID>
      <errorWord>县政法委</errorWord>
      <group>L1_Word</group>
      <groupName>字词问题</groupName>
      <ability>L2_Typo</ability>
      <abilityName>字词错误</abilityName>
      <candidateList>
        <item>县委政法委</item>
      </candidateList>
      <explain>机关单位名称不规范，请注意审核。</explain>
      <paraID>1ED44CB9</paraID>
      <start>1</start>
      <end>6</end>
      <status>modified</status>
      <modifiedWord>县委政法委</modifiedWord>
      <trackRevisions>false</trackRevisions>
    </reviewItem>
    <reviewItem>
      <errorID>7a4aec5a-c899-438f-926c-57703f9df6b3</errorID>
      <errorWord>国家发改委</errorWord>
      <group>L1_Knowledge</group>
      <groupName>知识性问题</groupName>
      <ability>L2_Knowledge</ability>
      <abilityName>其他知识</abilityName>
      <candidateList>
        <item>国家发展改革委</item>
      </candidateList>
      <explain/>
      <paraID>2186C6C3</paraID>
      <start>28</start>
      <end>35</end>
      <status>modified</status>
      <modifiedWord>国家发展改革委</modifiedWord>
      <trackRevisions>false</trackRevisions>
    </reviewItem>
    <reviewItem>
      <errorID>6a7857ea-30e2-4e76-bf63-3c38d592969a</errorID>
      <errorWord>市政法委</errorWord>
      <group>L1_Word</group>
      <groupName>字词问题</groupName>
      <ability>L2_Typo</ability>
      <abilityName>字词错误</abilityName>
      <candidateList>
        <item>市委政法委</item>
      </candidateList>
      <explain>机关单位名称不规范，请注意审核。</explain>
      <paraID>4A83DBAA</paraID>
      <start>12</start>
      <end>17</end>
      <status>modified</status>
      <modifiedWord>市委政法委</modifiedWord>
      <trackRevisions>false</trackRevisions>
    </reviewItem>
    <reviewItem>
      <errorID>61fb1ef8-b57c-4e71-9d88-f7c280062dba</errorID>
      <errorWord>省政法委</errorWord>
      <group>L1_Word</group>
      <groupName>字词问题</groupName>
      <ability>L2_Typo</ability>
      <abilityName>字词错误</abilityName>
      <candidateList>
        <item>省委政法委</item>
      </candidateList>
      <explain>机关单位名称不规范，请注意审核。</explain>
      <paraID>3F8EE4C5</paraID>
      <start>40</start>
      <end>45</end>
      <status>modified</status>
      <modifiedWord>省委政法委</modifiedWord>
      <trackRevisions>false</trackRevisions>
    </reviewItem>
    <reviewItem>
      <errorID>46d11267-b3f5-4791-8d4e-f7691b7252e9</errorID>
      <errorWord>文化与旅游</errorWord>
      <group>L1_Word</group>
      <groupName>字词问题</groupName>
      <ability>L2_Typo</ability>
      <abilityName>字词错误</abilityName>
      <candidateList>
        <item>文化和旅游</item>
      </candidateList>
      <explain/>
      <paraID> 4BF4679</paraID>
      <start>1</start>
      <end>6</end>
      <status>modified</status>
      <modifiedWord>文化和旅游</modifiedWord>
      <trackRevisions>false</trackRevisions>
    </reviewItem>
    <reviewItem>
      <errorID>07e8673c-eca5-4252-93bf-dd121dc4cc05</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3256F557</paraID>
      <start>84</start>
      <end>96</end>
      <status>modified</status>
      <modifiedWord>中华人民共和国土地管理法</modifiedWord>
      <trackRevisions>false</trackRevisions>
    </reviewItem>
    <reviewItem>
      <errorID>207c83f4-60fe-487a-86d9-818232894df7</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3498FCE3</paraID>
      <start>15</start>
      <end>28</end>
      <status>modified</status>
      <modifiedWord>中华人民共和国职业病防治法</modifiedWord>
      <trackRevisions>false</trackRevisions>
    </reviewItem>
    <reviewItem>
      <errorID>3b6912ea-96b9-4125-9c0b-77fc6481ebb1</errorID>
      <errorWord>少数民族地区</errorWord>
      <group>L1_Word</group>
      <groupName>字词问题</groupName>
      <ability>L2_Typo</ability>
      <abilityName>字词错误</abilityName>
      <candidateList>
        <item>民族地区</item>
      </candidateList>
      <explain/>
      <paraID>35A445FA</paraID>
      <start>14</start>
      <end>18</end>
      <status>modified</status>
      <modifiedWord>民族地区</modifiedWord>
      <trackRevisions>false</trackRevisions>
    </reviewItem>
    <reviewItem>
      <errorID>e7eba5ba-a2ea-4f06-b5db-729050da43b1</errorID>
      <errorWord>巩固</errorWord>
      <group>L1_Sensitive</group>
      <groupName>敏感问题</groupName>
      <ability>L2_UserSensitive</ability>
      <abilityName>自定义敏感词</abilityName>
      <candidateList/>
      <explain>来自自定义敏感词库。</explain>
      <paraID>502D909F</paraID>
      <start>30</start>
      <end>32</end>
      <status>unmodified</status>
      <modifiedWord/>
      <trackRevisions>false</trackRevisions>
    </reviewItem>
    <reviewItem>
      <errorID>6df4cfd6-ec48-436d-9af7-27c86aa9648e</errorID>
      <errorWord>巩固</errorWord>
      <group>L1_Sensitive</group>
      <groupName>敏感问题</groupName>
      <ability>L2_UserSensitive</ability>
      <abilityName>自定义敏感词</abilityName>
      <candidateList/>
      <explain>来自自定义敏感词库。</explain>
      <paraID>7EF5C45C</paraID>
      <start>6</start>
      <end>8</end>
      <status>unmodified</status>
      <modifiedWord/>
      <trackRevisions>false</trackRevisions>
    </reviewItem>
    <reviewItem>
      <errorID>60f61110-8740-4cf2-805e-3189468eada1</errorID>
      <errorWord>拟定</errorWord>
      <group>L1_Word</group>
      <groupName>字词问题</groupName>
      <ability>L2_Typo</ability>
      <abilityName>字词错误</abilityName>
      <candidateList>
        <item>拟订</item>
      </candidateList>
      <explain>〈动〉草拟：～计划｜～方案。</explain>
      <paraID>4C9CBB36</paraID>
      <start>440</start>
      <end>442</end>
      <status>modified</status>
      <modifiedWord>拟订</modifiedWord>
      <trackRevisions>false</trackRevisions>
    </reviewItem>
    <reviewItem>
      <errorID>b6dce557-8106-4bc7-a8a4-f1c017d80970</errorID>
      <errorWord>巩固</errorWord>
      <group>L1_Sensitive</group>
      <groupName>敏感问题</groupName>
      <ability>L2_UserSensitive</ability>
      <abilityName>自定义敏感词</abilityName>
      <candidateList/>
      <explain>来自自定义敏感词库。</explain>
      <paraID>33C6DF7C</paraID>
      <start>3</start>
      <end>5</end>
      <status>unmodified</status>
      <modifiedWord/>
      <trackRevisions>false</trackRevisions>
    </reviewItem>
    <reviewItem>
      <errorID>fcf5833e-6108-44b5-a148-c89f210e6a86</errorID>
      <errorWord>巩固</errorWord>
      <group>L1_Sensitive</group>
      <groupName>敏感问题</groupName>
      <ability>L2_UserSensitive</ability>
      <abilityName>自定义敏感词</abilityName>
      <candidateList/>
      <explain>来自自定义敏感词库。</explain>
      <paraID>33C6DF7C</paraID>
      <start>182</start>
      <end>184</end>
      <status>unmodified</status>
      <modifiedWord/>
      <trackRevisions>false</trackRevisions>
    </reviewItem>
    <reviewItem>
      <errorID>73c43440-dbe0-4e12-9394-1eaa7dad9ede</errorID>
      <errorWord>巩固</errorWord>
      <group>L1_Sensitive</group>
      <groupName>敏感问题</groupName>
      <ability>L2_UserSensitive</ability>
      <abilityName>自定义敏感词</abilityName>
      <candidateList/>
      <explain>来自自定义敏感词库。</explain>
      <paraID>33C6DF7C</paraID>
      <start>362</start>
      <end>364</end>
      <status>unmodified</status>
      <modifiedWord/>
      <trackRevisions>false</trackRevisions>
    </reviewItem>
    <reviewItem>
      <errorID>e50daaef-5a4a-496b-9832-980c814dfa56</errorID>
      <errorWord>）</errorWord>
      <group>L1_Punc</group>
      <groupName>标点问题</groupName>
      <ability>L2_Punc_CN</ability>
      <abilityName/>
      <candidateList/>
      <explain>此处标点可能未正确匹配，请检查句子中是否存在标点冗余、缺失或使用错误的情况。</explain>
      <paraID>4919B1E0</paraID>
      <start>346</start>
      <end>347</end>
      <status>unmodified</status>
      <modifiedWord/>
      <trackRevisions>false</trackRevisions>
    </reviewItem>
    <reviewItem>
      <errorID>3e61feec-2442-468d-8956-0d1fda537d3d</errorID>
      <errorWord>）</errorWord>
      <group>L1_Punc</group>
      <groupName>标点问题</groupName>
      <ability>L2_Punc_CN</ability>
      <abilityName/>
      <candidateList/>
      <explain>此处标点可能未正确匹配，请检查句子中是否存在标点冗余、缺失或使用错误的情况。</explain>
      <paraID>4919B1E0</paraID>
      <start>444</start>
      <end>445</end>
      <status>unmodified</status>
      <modifiedWord/>
      <trackRevisions>false</trackRevisions>
    </reviewItem>
    <reviewItem>
      <errorID>6b70b271-af14-450d-b295-4f7564ac5d4c</errorID>
      <errorWord>）</errorWord>
      <group>L1_Punc</group>
      <groupName>标点问题</groupName>
      <ability>L2_Punc_CN</ability>
      <abilityName/>
      <candidateList/>
      <explain>此处标点可能未正确匹配，请检查句子中是否存在标点冗余、缺失或使用错误的情况。</explain>
      <paraID>4919B1E0</paraID>
      <start>607</start>
      <end>608</end>
      <status>unmodified</status>
      <modifiedWord/>
      <trackRevisions>false</trackRevisions>
    </reviewItem>
    <reviewItem>
      <errorID>b8345e0e-dd5a-426d-a04d-e386feddfd9e</errorID>
      <errorWord>种养殖</errorWord>
      <group>L1_Word</group>
      <groupName>字词问题</groupName>
      <ability>L2_Typo</ability>
      <abilityName>字词错误</abilityName>
      <candidateList>
        <item>种植养殖</item>
      </candidateList>
      <explain/>
      <paraID>2CB72A02</paraID>
      <start>186</start>
      <end>190</end>
      <status>modified</status>
      <modifiedWord>种植养殖</modifiedWord>
      <trackRevisions>false</trackRevisions>
    </reviewItem>
    <reviewItem>
      <errorID>ddf0b33e-ad89-40e0-ad7c-7b630f6a3b6e</errorID>
      <errorWord>）</errorWord>
      <group>L1_Punc</group>
      <groupName>标点问题</groupName>
      <ability>L2_Punc_CN</ability>
      <abilityName/>
      <candidateList/>
      <explain>此处标点可能未正确匹配，请检查句子中是否存在标点冗余、缺失或使用错误的情况。</explain>
      <paraID>7DE12C58</paraID>
      <start>88</start>
      <end>89</end>
      <status>unmodified</status>
      <modifiedWord/>
      <trackRevisions>false</trackRevisions>
    </reviewItem>
    <reviewItem>
      <errorID>3595030c-0f9f-45cc-bf64-717b1cd5e850</errorID>
      <errorWord>十四五</errorWord>
      <group>L1_Other</group>
      <groupName>其他问题</groupName>
      <ability>L2_UserTypo</ability>
      <abilityName>自定义错误</abilityName>
      <candidateList>
        <item>“十四五”</item>
      </candidateList>
      <explain>来自自定义错词库。</explain>
      <paraID>426F37EF</paraID>
      <start>207</start>
      <end>212</end>
      <status>modified</status>
      <modifiedWord>“十四五”</modifiedWord>
      <trackRevisions>false</trackRevisions>
    </reviewItem>
    <reviewItem>
      <errorID>c52f53df-295b-41ef-a480-595bc06f2171</errorID>
      <errorWord>）</errorWord>
      <group>L1_Punc</group>
      <groupName>标点问题</groupName>
      <ability>L2_Punc_CN</ability>
      <abilityName/>
      <candidateList/>
      <explain>此处标点可能未正确匹配，请检查句子中是否存在标点冗余、缺失或使用错误的情况。</explain>
      <paraID>426F37EF</paraID>
      <start>249</start>
      <end>250</end>
      <status>unmodified</status>
      <modifiedWord/>
      <trackRevisions>false</trackRevisions>
    </reviewItem>
    <reviewItem>
      <errorID>56ef661c-3cd8-44a9-b70a-7b081035fbcd</errorID>
      <errorWord>）</errorWord>
      <group>L1_Punc</group>
      <groupName>标点问题</groupName>
      <ability>L2_Punc_CN</ability>
      <abilityName/>
      <candidateList/>
      <explain>此处标点可能未正确匹配，请检查句子中是否存在标点冗余、缺失或使用错误的情况。</explain>
      <paraID>426F37EF</paraID>
      <start>380</start>
      <end>381</end>
      <status>unmodified</status>
      <modifiedWord/>
      <trackRevisions>false</trackRevisions>
    </reviewItem>
    <reviewItem>
      <errorID>e95d7394-973e-4b57-94f2-d7b7d2eca2af</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3FC1B15A</paraID>
      <start>172</start>
      <end>184</end>
      <status>modified</status>
      <modifiedWord>中华人民共和国土地管理法</modifiedWord>
      <trackRevisions>false</trackRevisions>
    </reviewItem>
    <reviewItem>
      <errorID>6cdd4a4c-6f26-4a62-a5a7-adb0e3085721</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3FC1B15A</paraID>
      <start>345</start>
      <end>357</end>
      <status>modified</status>
      <modifiedWord>中华人民共和国土地管理法</modifiedWord>
      <trackRevisions>false</trackRevisions>
    </reviewItem>
    <reviewItem>
      <errorID>280a55b0-fac7-4c9a-bc5f-adf0f5f45d99</errorID>
      <errorWord>县政法委</errorWord>
      <group>L1_Word</group>
      <groupName>字词问题</groupName>
      <ability>L2_Typo</ability>
      <abilityName>字词错误</abilityName>
      <candidateList>
        <item>县委政法委</item>
      </candidateList>
      <explain>机关单位名称不规范，请注意审核。</explain>
      <paraID>3FC1B15A</paraID>
      <start>390</start>
      <end>395</end>
      <status>modified</status>
      <modifiedWord>县委政法委</modifiedWord>
      <trackRevisions>false</trackRevisions>
    </reviewItem>
    <reviewItem>
      <errorID>e3226945-f741-406a-8a2f-ff2d1d417cef</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779B1D7C</paraID>
      <start>293</start>
      <end>305</end>
      <status>modified</status>
      <modifiedWord>中华人民共和国文物保护法</modifiedWord>
      <trackRevisions>false</trackRevisions>
    </reviewItem>
    <reviewItem>
      <errorID>143065b9-507e-451f-9b97-4279056e84d5</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779B1D7C</paraID>
      <start>403</start>
      <end>415</end>
      <status>modified</status>
      <modifiedWord>中华人民共和国文物保护法</modifiedWord>
      <trackRevisions>false</trackRevisions>
    </reviewItem>
    <reviewItem>
      <errorID>2d083a09-f5d9-4900-825a-980e44a1d399</errorID>
      <errorWord>充分考虑了</errorWord>
      <group>L1_Word</group>
      <groupName>字词问题</groupName>
      <ability>L2_Typo</ability>
      <abilityName>字词错误</abilityName>
      <candidateList>
        <item>充分考虑</item>
      </candidateList>
      <explain/>
      <paraID>14C72452</paraID>
      <start>28</start>
      <end>32</end>
      <status>modified</status>
      <modifiedWord>充分考虑</modifiedWord>
      <trackRevisions>false</trackRevisions>
    </reviewItem>
    <reviewItem>
      <errorID>a2b8999d-b16d-4a65-aaa1-cd4a2d647c65</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34F3E5D6</paraID>
      <start>904</start>
      <end>907</end>
      <status>unmodified</status>
      <modifiedWord/>
      <trackRevisions>false</trackRevisions>
    </reviewItem>
    <reviewItem>
      <errorID>3e76827c-eee1-45e5-9673-1d4663e1be33</errorID>
      <errorWord>志愿</errorWord>
      <group>L1_Word</group>
      <groupName>字词问题</groupName>
      <ability>L2_Typo</ability>
      <abilityName>字词错误</abilityName>
      <candidateList>
        <item>自愿</item>
      </candidateList>
      <explain>〈动〉自己愿意：自觉～｜～参加｜出于～。</explain>
      <paraID>2ADDD94B</paraID>
      <start>7</start>
      <end>9</end>
      <status>unmodified</status>
      <modifiedWord/>
      <trackRevisions>false</trackRevisions>
    </reviewItem>
    <reviewItem>
      <errorID>e9b65ac5-49e9-4bf4-ac89-99afc942cc3b</errorID>
      <errorWord>国家林业和草原局</errorWord>
      <group>L1_Knowledge</group>
      <groupName>知识性问题</groupName>
      <ability>L2_Organization</ability>
      <abilityName>机构检查</abilityName>
      <candidateList/>
      <explain>[国家林业和草原局]应在[自然资源部]之后</explain>
      <paraID>120FBF66</paraID>
      <start>70</start>
      <end>78</end>
      <status>unmodified</status>
      <modifiedWord/>
      <trackRevisions>false</trackRevisions>
    </reviewItem>
    <reviewItem>
      <errorID>8203aeb2-2e6f-49a1-932b-d1d786fcaf61</errorID>
      <errorWord>与</errorWord>
      <group>L1_Word</group>
      <groupName>字词问题</groupName>
      <ability>L2_Typo</ability>
      <abilityName>字词错误</abilityName>
      <candidateList>
        <item>和</item>
      </candidateList>
      <explain>〈量〉用于洗东西换水的次数或一剂药煎的次数：衣裳已经洗了三～｜二～药。</explain>
      <paraID>58D4B586</paraID>
      <start>566</start>
      <end>567</end>
      <status>unmodified</status>
      <modifiedWord/>
      <trackRevisions>false</trackRevisions>
    </reviewItem>
    <reviewItem>
      <errorID>20e6c307-2807-4f86-a3ac-42cc45aeaf63</errorID>
      <errorWord>少数民族地区</errorWord>
      <group>L1_Word</group>
      <groupName>字词问题</groupName>
      <ability>L2_Typo</ability>
      <abilityName>字词错误</abilityName>
      <candidateList>
        <item>民族地区</item>
      </candidateList>
      <explain/>
      <paraID>7AFE3C84</paraID>
      <start>20</start>
      <end>24</end>
      <status>modified</status>
      <modifiedWord>民族地区</modifiedWord>
      <trackRevisions>false</trackRevisions>
    </reviewItem>
    <reviewItem>
      <errorID>57231e29-cb88-460a-9e1f-2b5ea186a02f</errorID>
      <errorWord>《宪法》</errorWord>
      <group>L1_Word</group>
      <groupName>字词问题</groupName>
      <ability>L2_Typo</ability>
      <abilityName>字词错误</abilityName>
      <candidateList>
        <item>《中华人民共和国宪法》</item>
      </candidateList>
      <explain/>
      <paraID> 6648DCA</paraID>
      <start>50</start>
      <end>61</end>
      <status>modified</status>
      <modifiedWord>《中华人民共和国宪法》</modifiedWord>
      <trackRevisions>false</trackRevisions>
    </reviewItem>
    <reviewItem>
      <errorID>200a2f39-b175-4eea-8365-4b597b471b44</errorID>
      <errorWord>少数民族地区</errorWord>
      <group>L1_Word</group>
      <groupName>字词问题</groupName>
      <ability>L2_Typo</ability>
      <abilityName>字词错误</abilityName>
      <candidateList>
        <item>民族地区</item>
      </candidateList>
      <explain/>
      <paraID> 6648DCA</paraID>
      <start>188</start>
      <end>192</end>
      <status>modified</status>
      <modifiedWord>民族地区</modifiedWord>
      <trackRevisions>false</trackRevisions>
    </reviewItem>
    <reviewItem>
      <errorID>162108c2-9d8a-4adb-b0dd-43a8d298aa95</errorID>
      <errorWord>少数民族地区</errorWord>
      <group>L1_Word</group>
      <groupName>字词问题</groupName>
      <ability>L2_Typo</ability>
      <abilityName>字词错误</abilityName>
      <candidateList>
        <item>民族地区</item>
      </candidateList>
      <explain/>
      <paraID> 6648DCA</paraID>
      <start>317</start>
      <end>321</end>
      <status>modified</status>
      <modifiedWord>民族地区</modifiedWord>
      <trackRevisions>false</trackRevisions>
    </reviewItem>
    <reviewItem>
      <errorID>13468210-fa2e-4dc9-bd6c-602877e944ea</errorID>
      <errorWord>少数民族地区</errorWord>
      <group>L1_Word</group>
      <groupName>字词问题</groupName>
      <ability>L2_Typo</ability>
      <abilityName>字词错误</abilityName>
      <candidateList>
        <item>民族地区</item>
      </candidateList>
      <explain/>
      <paraID> 6648DCA</paraID>
      <start>579</start>
      <end>583</end>
      <status>modified</status>
      <modifiedWord>民族地区</modifiedWord>
      <trackRevisions>false</trackRevisions>
    </reviewItem>
    <reviewItem>
      <errorID>dedf370a-6733-47bd-8c1b-5d86a03cf1bd</errorID>
      <errorWord>少数民族地区</errorWord>
      <group>L1_Word</group>
      <groupName>字词问题</groupName>
      <ability>L2_Typo</ability>
      <abilityName>字词错误</abilityName>
      <candidateList>
        <item>民族地区</item>
      </candidateList>
      <explain/>
      <paraID> 6648DCA</paraID>
      <start>595</start>
      <end>599</end>
      <status>modified</status>
      <modifiedWord>民族地区</modifiedWord>
      <trackRevisions>false</trackRevisions>
    </reviewItem>
    <reviewItem>
      <errorID>6c789da7-771a-4178-b54c-77aa7030047a</errorID>
      <errorWord>少数民族地区</errorWord>
      <group>L1_Word</group>
      <groupName>字词问题</groupName>
      <ability>L2_Typo</ability>
      <abilityName>字词错误</abilityName>
      <candidateList>
        <item>民族地区</item>
      </candidateList>
      <explain/>
      <paraID>5AA03F58</paraID>
      <start>53</start>
      <end>57</end>
      <status>modified</status>
      <modifiedWord>民族地区</modifiedWord>
      <trackRevisions>false</trackRevisions>
    </reviewItem>
    <reviewItem>
      <errorID>6892412a-dd79-40c8-8c7a-c75b8573c956</errorID>
      <errorWord>少数民族地区</errorWord>
      <group>L1_Word</group>
      <groupName>字词问题</groupName>
      <ability>L2_Typo</ability>
      <abilityName>字词错误</abilityName>
      <candidateList>
        <item>民族地区</item>
      </candidateList>
      <explain/>
      <paraID>5AA03F58</paraID>
      <start>120</start>
      <end>124</end>
      <status>modified</status>
      <modifiedWord>民族地区</modifiedWord>
      <trackRevisions>false</trackRevisions>
    </reviewItem>
    <reviewItem>
      <errorID>68d392e9-033e-4a59-9d62-ff48ed13a629</errorID>
      <errorWord>少数民族地区</errorWord>
      <group>L1_Word</group>
      <groupName>字词问题</groupName>
      <ability>L2_Typo</ability>
      <abilityName>字词错误</abilityName>
      <candidateList>
        <item>民族地区</item>
      </candidateList>
      <explain/>
      <paraID>50AAFF50</paraID>
      <start>39</start>
      <end>43</end>
      <status>modified</status>
      <modifiedWord>民族地区</modifiedWord>
      <trackRevisions>false</trackRevisions>
    </reviewItem>
    <reviewItem>
      <errorID>6272a597-092e-4111-adbd-721c26a69bf1</errorID>
      <errorWord>少数民族地区</errorWord>
      <group>L1_Word</group>
      <groupName>字词问题</groupName>
      <ability>L2_Typo</ability>
      <abilityName>字词错误</abilityName>
      <candidateList>
        <item>民族地区</item>
      </candidateList>
      <explain/>
      <paraID>4B1192ED</paraID>
      <start>280</start>
      <end>284</end>
      <status>modified</status>
      <modifiedWord>民族地区</modifiedWord>
      <trackRevisions>false</trackRevisions>
    </reviewItem>
    <reviewItem>
      <errorID>c3e48242-dbbd-490f-9eb2-1d8be3d49a7e</errorID>
      <errorWord>少数民族地区</errorWord>
      <group>L1_Word</group>
      <groupName>字词问题</groupName>
      <ability>L2_Typo</ability>
      <abilityName>字词错误</abilityName>
      <candidateList>
        <item>民族地区</item>
      </candidateList>
      <explain/>
      <paraID>7C3E7964</paraID>
      <start>98</start>
      <end>102</end>
      <status>modified</status>
      <modifiedWord>民族地区</modifiedWord>
      <trackRevisions>false</trackRevisions>
    </reviewItem>
    <reviewItem>
      <errorID>d08d2dca-9438-492c-9984-25f6c03b5884</errorID>
      <errorWord>巩固</errorWord>
      <group>L1_Sensitive</group>
      <groupName>敏感问题</groupName>
      <ability>L2_UserSensitive</ability>
      <abilityName>自定义敏感词</abilityName>
      <candidateList/>
      <explain>来自自定义敏感词库。</explain>
      <paraID>17C32881</paraID>
      <start>7</start>
      <end>9</end>
      <status>unmodified</status>
      <modifiedWord/>
      <trackRevisions>false</trackRevisions>
    </reviewItem>
    <reviewItem>
      <errorID>5cb73515-f293-47e4-a18a-2f668a9a8ed7</errorID>
      <errorWord>巩固</errorWord>
      <group>L1_Sensitive</group>
      <groupName>敏感问题</groupName>
      <ability>L2_UserSensitive</ability>
      <abilityName>自定义敏感词</abilityName>
      <candidateList/>
      <explain>来自自定义敏感词库。</explain>
      <paraID>17C32881</paraID>
      <start>358</start>
      <end>360</end>
      <status>unmodified</status>
      <modifiedWord/>
      <trackRevisions>false</trackRevisions>
    </reviewItem>
    <reviewItem>
      <errorID>b59490a6-29aa-4952-bce6-4e1c16a6b38b</errorID>
      <errorWord>巩固</errorWord>
      <group>L1_Sensitive</group>
      <groupName>敏感问题</groupName>
      <ability>L2_UserSensitive</ability>
      <abilityName>自定义敏感词</abilityName>
      <candidateList/>
      <explain>来自自定义敏感词库。</explain>
      <paraID>48876581</paraID>
      <start>3</start>
      <end>5</end>
      <status>unmodified</status>
      <modifiedWord/>
      <trackRevisions>false</trackRevisions>
    </reviewItem>
    <reviewItem>
      <errorID>5d326387-1cd2-4da7-b7d7-33b511f597d5</errorID>
      <errorWord>巩固</errorWord>
      <group>L1_Sensitive</group>
      <groupName>敏感问题</groupName>
      <ability>L2_UserSensitive</ability>
      <abilityName>自定义敏感词</abilityName>
      <candidateList/>
      <explain>来自自定义敏感词库。</explain>
      <paraID>7EE7F56E</paraID>
      <start>0</start>
      <end>2</end>
      <status>unmodified</status>
      <modifiedWord/>
      <trackRevisions>false</trackRevisions>
    </reviewItem>
    <reviewItem>
      <errorID>811ea77e-64be-481d-808a-35d5df7ab7ad</errorID>
      <errorWord>长江“十年禁渔”</errorWord>
      <group>L1_Other</group>
      <groupName>其他问题</groupName>
      <ability>L2_UserTypo</ability>
      <abilityName>自定义错误</abilityName>
      <candidateList>
        <item>长江十年禁渔</item>
      </candidateList>
      <explain>来自自定义错词库。</explain>
      <paraID>15AB6654</paraID>
      <start>24</start>
      <end>30</end>
      <status>modified</status>
      <modifiedWord>长江十年禁渔</modifiedWord>
      <trackRevisions>false</trackRevisions>
    </reviewItem>
    <reviewItem>
      <errorID>c09dedd0-fec0-44c4-872d-fb84032eda39</errorID>
      <errorWord>一二三产业</errorWord>
      <group>L1_Other</group>
      <groupName>其他问题</groupName>
      <ability>L2_UserTypo</ability>
      <abilityName>自定义错误</abilityName>
      <candidateList>
        <item>一、二、三产业</item>
      </candidateList>
      <explain>来自自定义错词库。</explain>
      <paraID>21046E60</paraID>
      <start>32</start>
      <end>37</end>
      <status>unmodified</status>
      <modifiedWord/>
      <trackRevisions>false</trackRevisions>
    </reviewItem>
    <reviewItem>
      <errorID>9b06c128-eb6e-4034-aa3d-f3e0c4dcd202</errorID>
      <errorWord>巩固</errorWord>
      <group>L1_Sensitive</group>
      <groupName>敏感问题</groupName>
      <ability>L2_UserSensitive</ability>
      <abilityName>自定义敏感词</abilityName>
      <candidateList/>
      <explain>来自自定义敏感词库。</explain>
      <paraID>2630CC40</paraID>
      <start>0</start>
      <end>2</end>
      <status>unmodified</status>
      <modifiedWord/>
      <trackRevisions>false</trackRevisions>
    </reviewItem>
    <reviewItem>
      <errorID>a62ef6d5-120f-40f2-bd75-de5b4d0eafcc</errorID>
      <errorWord>环境保护法</errorWord>
      <group>L1_Knowledge</group>
      <groupName>知识性问题</groupName>
      <ability>L2_Knowledge</ability>
      <abilityName>其他知识</abilityName>
      <candidateList>
        <item>中华人民共和国环境保护法</item>
      </candidateList>
      <explain>当前法律法规名称使用简称，请注意是否应当使用全称。</explain>
      <paraID>20B2BF86</paraID>
      <start>30</start>
      <end>42</end>
      <status>modified</status>
      <modifiedWord>中华人民共和国环境保护法</modifiedWord>
      <trackRevisions>false</trackRevisions>
    </reviewItem>
    <reviewItem>
      <errorID>fc6cb10a-c13a-4403-9337-68c54d0fb076</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20B2BF86</paraID>
      <start>65</start>
      <end>79</end>
      <status>modified</status>
      <modifiedWord>中华人民共和国环境影响评价法</modifiedWord>
      <trackRevisions>false</trackRevisions>
    </reviewItem>
    <reviewItem>
      <errorID>e7458664-d7f6-410a-a7b2-642db65f478e</errorID>
      <errorWord>水污染防治法</errorWord>
      <group>L1_Knowledge</group>
      <groupName>知识性问题</groupName>
      <ability>L2_Knowledge</ability>
      <abilityName>其他知识</abilityName>
      <candidateList>
        <item>中华人民共和国水污染防治法</item>
      </candidateList>
      <explain>当前法律法规名称使用简称，请注意是否应当使用全称。</explain>
      <paraID>20B2BF86</paraID>
      <start>88</start>
      <end>101</end>
      <status>modified</status>
      <modifiedWord>中华人民共和国水污染防治法</modifiedWord>
      <trackRevisions>false</trackRevisions>
    </reviewItem>
    <reviewItem>
      <errorID>5bee3877-a1a7-4314-a9da-58084651b226</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20B2BF86</paraID>
      <start>110</start>
      <end>124</end>
      <status>modified</status>
      <modifiedWord>中华人民共和国大气污染防治法</modifiedWord>
      <trackRevisions>false</trackRevisions>
    </reviewItem>
    <reviewItem>
      <errorID>7ac733f2-d933-4c4f-bf8d-f92c8c731f9a</errorID>
      <errorWord>固体废物污染环境防治法</errorWord>
      <group>L1_Knowledge</group>
      <groupName>知识性问题</groupName>
      <ability>L2_Knowledge</ability>
      <abilityName>其他知识</abilityName>
      <candidateList>
        <item>中华人民共和国固体废物污染环境防治法</item>
      </candidateList>
      <explain>当前法律法规名称使用简称，请注意是否应当使用全称。</explain>
      <paraID>20B2BF86</paraID>
      <start>133</start>
      <end>151</end>
      <status>modified</status>
      <modifiedWord>中华人民共和国固体废物污染环境防治法</modifiedWord>
      <trackRevisions>false</trackRevisions>
    </reviewItem>
    <reviewItem>
      <errorID>2d835556-2ca7-4394-bfc0-cb6ca047709b</errorID>
      <errorWord>土壤污染防治法</errorWord>
      <group>L1_Knowledge</group>
      <groupName>知识性问题</groupName>
      <ability>L2_Knowledge</ability>
      <abilityName>其他知识</abilityName>
      <candidateList>
        <item>中华人民共和国土壤污染防治法</item>
      </candidateList>
      <explain>当前法律法规名称使用简称，请注意是否应当使用全称。</explain>
      <paraID>20B2BF86</paraID>
      <start>160</start>
      <end>174</end>
      <status>modified</status>
      <modifiedWord>中华人民共和国土壤污染防治法</modifiedWord>
      <trackRevisions>false</trackRevisions>
    </reviewItem>
    <reviewItem>
      <errorID>31644f34-9e2c-419b-9620-4ad5d1890bb1</errorID>
      <errorWord>）</errorWord>
      <group>L1_Punc</group>
      <groupName>标点问题</groupName>
      <ability>L2_Punc_CN</ability>
      <abilityName/>
      <candidateList/>
      <explain>此处标点可能未正确匹配，请检查句子中是否存在标点冗余、缺失或使用错误的情况。</explain>
      <paraID>282F308C</paraID>
      <start>183</start>
      <end>184</end>
      <status>unmodified</status>
      <modifiedWord/>
      <trackRevisions>false</trackRevisions>
    </reviewItem>
    <reviewItem>
      <errorID>33084626-1842-4e02-9ac3-221848842ede</errorID>
      <errorWord>）</errorWord>
      <group>L1_Punc</group>
      <groupName>标点问题</groupName>
      <ability>L2_Punc_CN</ability>
      <abilityName/>
      <candidateList/>
      <explain>此处标点可能未正确匹配，请检查句子中是否存在标点冗余、缺失或使用错误的情况。</explain>
      <paraID>35662634</paraID>
      <start>1</start>
      <end>2</end>
      <status>unmodified</status>
      <modifiedWord/>
      <trackRevisions>false</trackRevisions>
    </reviewItem>
    <reviewItem>
      <errorID>92961405-d8ec-4b25-8955-e0fd026592dd</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6EA1E0C0</paraID>
      <start>45</start>
      <end>57</end>
      <status>modified</status>
      <modifiedWord>中华人民共和国文物保护法</modifiedWord>
      <trackRevisions>false</trackRevisions>
    </reviewItem>
    <reviewItem>
      <errorID>d5c81638-1969-471f-8d10-406d92e7e456</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6EA1E0C0</paraID>
      <start>69</start>
      <end>81</end>
      <status>modified</status>
      <modifiedWord>中华人民共和国土地管理法</modifiedWord>
      <trackRevisions>false</trackRevisions>
    </reviewItem>
    <reviewItem>
      <errorID>0cd5e33d-681c-4ba6-98e8-fff749025f14</errorID>
      <errorWord>影响</errorWord>
      <group>L1_Word</group>
      <groupName>字词问题</groupName>
      <ability>L2_Typo</ability>
      <abilityName>字词错误</abilityName>
      <candidateList>
        <item>影像</item>
      </candidateList>
      <explain>〈名〉❶肖像；画像。❷〈形〉象：他的～时刻在我眼前浮现。❸物体通过光学装置、电子装置等呈现出来的形状。</explain>
      <paraID>234E6E2C</paraID>
      <start>6</start>
      <end>8</end>
      <status>unmodified</status>
      <modifiedWord/>
      <trackRevisions>false</trackRevisions>
    </reviewItem>
    <reviewItem>
      <errorID>d3889f27-a447-4e6e-b5d4-a258f5ef7936</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12E548BB</paraID>
      <start>4</start>
      <end>18</end>
      <status>modified</status>
      <modifiedWord>中华人民共和国环境影响评价法</modifiedWord>
      <trackRevisions>false</trackRevisions>
    </reviewItem>
    <reviewItem>
      <errorID>3e21d576-60ed-4759-8c0a-5cea17ae9e34</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29DC0B96</paraID>
      <start>4</start>
      <end>16</end>
      <status>modified</status>
      <modifiedWord>中华人民共和国文物保护法</modifiedWord>
      <trackRevisions>false</trackRevisions>
    </reviewItem>
    <reviewItem>
      <errorID>1ab154d1-9a94-4932-959f-9b019840059b</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 D58155A</paraID>
      <start>4</start>
      <end>18</end>
      <status>modified</status>
      <modifiedWord>中华人民共和国环境影响评价法</modifiedWord>
      <trackRevisions>false</trackRevisions>
    </reviewItem>
    <reviewItem>
      <errorID>3b6ee1bb-7787-4bc2-af62-05a5735361ec</errorID>
      <errorWord>土地管理法实施条例</errorWord>
      <group>L1_Knowledge</group>
      <groupName>知识性问题</groupName>
      <ability>L2_Knowledge</ability>
      <abilityName>其他知识</abilityName>
      <candidateList>
        <item>中华人民共和国土地管理法实施条例</item>
      </candidateList>
      <explain>当前法律法规名称使用简称，请注意是否应当使用全称。</explain>
      <paraID>4E4669C4</paraID>
      <start>367</start>
      <end>383</end>
      <status>modified</status>
      <modifiedWord>中华人民共和国土地管理法实施条例</modifiedWord>
      <trackRevisions>false</trackRevisions>
    </reviewItem>
    <reviewItem>
      <errorID>f2d67c4c-4a76-42f7-a065-244e8ae38b37</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 DAF6759</paraID>
      <start>4</start>
      <end>18</end>
      <status>modified</status>
      <modifiedWord>中华人民共和国环境影响评价法</modifiedWord>
      <trackRevisions>false</trackRevisions>
    </reviewItem>
    <reviewItem>
      <errorID>5b33ebfd-1040-4a69-a0e2-ad0d3c8b2093</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369114C9</paraID>
      <start>4</start>
      <end>16</end>
      <status>modified</status>
      <modifiedWord>中华人民共和国土地管理法</modifiedWord>
      <trackRevisions>false</trackRevisions>
    </reviewItem>
    <reviewItem>
      <errorID>1ce3c961-e673-4d3a-9545-c88cc37cc5c4</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684BA16B</paraID>
      <start>6</start>
      <end>18</end>
      <status>modified</status>
      <modifiedWord>中华人民共和国文物保护法</modifiedWord>
      <trackRevisions>false</trackRevisions>
    </reviewItem>
    <reviewItem>
      <errorID>2bcf433d-0098-47f2-a364-c117c04cc46b</errorID>
      <errorWord>湿地保护法</errorWord>
      <group>L1_Knowledge</group>
      <groupName>知识性问题</groupName>
      <ability>L2_Knowledge</ability>
      <abilityName>其他知识</abilityName>
      <candidateList>
        <item>中华人民共和国湿地保护法</item>
      </candidateList>
      <explain>当前法律法规名称使用简称，请注意是否应当使用全称。</explain>
      <paraID>496EC55D</paraID>
      <start>111</start>
      <end>123</end>
      <status>modified</status>
      <modifiedWord>中华人民共和国湿地保护法</modifiedWord>
      <trackRevisions>false</trackRevisions>
    </reviewItem>
    <reviewItem>
      <errorID>f856e60b-3059-4522-a46b-9f25e2f32fee</errorID>
      <errorWord>野生动物保护法</errorWord>
      <group>L1_Knowledge</group>
      <groupName>知识性问题</groupName>
      <ability>L2_Knowledge</ability>
      <abilityName>其他知识</abilityName>
      <candidateList>
        <item>中华人民共和国野生动物保护法</item>
      </candidateList>
      <explain>当前法律法规名称使用简称，请注意是否应当使用全称。</explain>
      <paraID>496EC55D</paraID>
      <start>125</start>
      <end>139</end>
      <status>modified</status>
      <modifiedWord>中华人民共和国野生动物保护法</modifiedWord>
      <trackRevisions>false</trackRevisions>
    </reviewItem>
    <reviewItem>
      <errorID>a3138ee1-3871-4e52-8f7a-bae8dde215fc</errorID>
      <errorWord>野生植物保护条例</errorWord>
      <group>L1_Knowledge</group>
      <groupName>知识性问题</groupName>
      <ability>L2_Knowledge</ability>
      <abilityName>其他知识</abilityName>
      <candidateList>
        <item>中华人民共和国野生植物保护条例</item>
      </candidateList>
      <explain>当前法律法规名称使用简称，请注意是否应当使用全称。</explain>
      <paraID>496EC55D</paraID>
      <start>141</start>
      <end>156</end>
      <status>modified</status>
      <modifiedWord>中华人民共和国野生植物保护条例</modifiedWord>
      <trackRevisions>false</trackRevisions>
    </reviewItem>
    <reviewItem>
      <errorID>43f9d753-3bf2-4ace-8793-e92adf7ba1ac</errorID>
      <errorWord>自然保护区条例</errorWord>
      <group>L1_Knowledge</group>
      <groupName>知识性问题</groupName>
      <ability>L2_Knowledge</ability>
      <abilityName>其他知识</abilityName>
      <candidateList>
        <item>中华人民共和国自然保护区条例</item>
      </candidateList>
      <explain>当前法律法规名称使用简称，请注意是否应当使用全称。</explain>
      <paraID>496EC55D</paraID>
      <start>158</start>
      <end>172</end>
      <status>modified</status>
      <modifiedWord>中华人民共和国自然保护区条例</modifiedWord>
      <trackRevisions>false</trackRevisions>
    </reviewItem>
    <reviewItem>
      <errorID>c758d7e7-bf75-4bfa-9cd2-814c49b78d52</errorID>
      <errorWord>文物保护法</errorWord>
      <group>L1_Knowledge</group>
      <groupName>知识性问题</groupName>
      <ability>L2_Knowledge</ability>
      <abilityName>其他知识</abilityName>
      <candidateList>
        <item>中华人民共和国文物保护法</item>
      </candidateList>
      <explain>当前法律法规名称使用简称，请注意是否应当使用全称。</explain>
      <paraID>7C8E6EE1</paraID>
      <start>6</start>
      <end>18</end>
      <status>modified</status>
      <modifiedWord>中华人民共和国文物保护法</modifiedWord>
      <trackRevisions>false</trackRevisions>
    </reviewItem>
    <reviewItem>
      <errorID>27c24d75-8838-4625-aa1d-e7e056c8cce3</errorID>
      <errorWord>文物保护法实施条例</errorWord>
      <group>L1_Knowledge</group>
      <groupName>知识性问题</groupName>
      <ability>L2_Knowledge</ability>
      <abilityName>其他知识</abilityName>
      <candidateList>
        <item>中华人民共和国文物保护法实施条例</item>
      </candidateList>
      <explain>当前法律法规名称使用简称，请注意是否应当使用全称。</explain>
      <paraID>7C8E6EE1</paraID>
      <start>326</start>
      <end>342</end>
      <status>modified</status>
      <modifiedWord>中华人民共和国文物保护法实施条例</modifiedWord>
      <trackRevisions>false</trackRevisions>
    </reviewItem>
    <reviewItem>
      <errorID>d02b4e08-bccf-4283-a44f-6bd73ceeaaa8</errorID>
      <errorWord>劳动法</errorWord>
      <group>L1_Knowledge</group>
      <groupName>知识性问题</groupName>
      <ability>L2_Knowledge</ability>
      <abilityName>其他知识</abilityName>
      <candidateList>
        <item>中华人民共和国劳动法</item>
      </candidateList>
      <explain>当前法律法规名称使用简称，请注意是否应当使用全称。</explain>
      <paraID>3DCBEC53</paraID>
      <start>259</start>
      <end>269</end>
      <status>modified</status>
      <modifiedWord>中华人民共和国劳动法</modifiedWord>
      <trackRevisions>false</trackRevisions>
    </reviewItem>
    <reviewItem>
      <errorID>a58bbecc-3962-414f-a0ba-99496774a268</errorID>
      <errorWord>）</errorWord>
      <group>L1_Punc</group>
      <groupName>标点问题</groupName>
      <ability>L2_Punc_CN</ability>
      <abilityName/>
      <candidateList/>
      <explain>此处标点可能未正确匹配，请检查句子中是否存在标点冗余、缺失或使用错误的情况。</explain>
      <paraID>3DCBEC53</paraID>
      <start>516</start>
      <end>517</end>
      <status>unmodified</status>
      <modifiedWord/>
      <trackRevisions>false</trackRevisions>
    </reviewItem>
    <reviewItem>
      <errorID>4dc9e8e0-4e8a-4446-b168-6de0e2ad380d</errorID>
      <errorWord>《安全生产法》</errorWord>
      <group>L1_Word</group>
      <groupName>字词问题</groupName>
      <ability>L2_Typo</ability>
      <abilityName>字词错误</abilityName>
      <candidateList>
        <item>《中华人民共和国安全生产法》</item>
      </candidateList>
      <explain/>
      <paraID>3DCBEC53</paraID>
      <start>517</start>
      <end>531</end>
      <status>modified</status>
      <modifiedWord>《中华人民共和国安全生产法》</modifiedWord>
      <trackRevisions>false</trackRevisions>
    </reviewItem>
    <reviewItem>
      <errorID>21c53501-1c8b-4bfd-8c50-de43b60076ed</errorID>
      <errorWord>）</errorWord>
      <group>L1_Punc</group>
      <groupName>标点问题</groupName>
      <ability>L2_Punc_CN</ability>
      <abilityName/>
      <candidateList/>
      <explain>此处标点可能未正确匹配，请检查句子中是否存在标点冗余、缺失或使用错误的情况。</explain>
      <paraID>3DCBEC53</paraID>
      <start>868</start>
      <end>869</end>
      <status>unmodified</status>
      <modifiedWord/>
      <trackRevisions>false</trackRevisions>
    </reviewItem>
    <reviewItem>
      <errorID>5b5a26da-58bc-4db6-a827-1f9f1eec12f2</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3DCBEC53</paraID>
      <start>870</start>
      <end>883</end>
      <status>modified</status>
      <modifiedWord>中华人民共和国职业病防治法</modifiedWord>
      <trackRevisions>false</trackRevisions>
    </reviewItem>
    <reviewItem>
      <errorID>2d572deb-c6ff-4925-acd1-9186e4799cf4</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6C6AE755</paraID>
      <start>49</start>
      <end>62</end>
      <status>modified</status>
      <modifiedWord>中华人民共和国职业病防治法</modifiedWord>
      <trackRevisions>false</trackRevisions>
    </reviewItem>
    <reviewItem>
      <errorID>9982eb6c-0517-4b45-a88e-75560476ba3e</errorID>
      <errorWord>动物防疫法</errorWord>
      <group>L1_Knowledge</group>
      <groupName>知识性问题</groupName>
      <ability>L2_Knowledge</ability>
      <abilityName>其他知识</abilityName>
      <candidateList>
        <item>中华人民共和国动物防疫法</item>
      </candidateList>
      <explain>当前法律法规名称使用简称，请注意是否应当使用全称。</explain>
      <paraID>6C6AE755</paraID>
      <start>64</start>
      <end>76</end>
      <status>modified</status>
      <modifiedWord>中华人民共和国动物防疫法</modifiedWord>
      <trackRevisions>false</trackRevisions>
    </reviewItem>
    <reviewItem>
      <errorID>a2d9237a-621e-431f-a209-afe8237248aa</errorID>
      <errorWord>《安全生产法》</errorWord>
      <group>L1_Word</group>
      <groupName>字词问题</groupName>
      <ability>L2_Typo</ability>
      <abilityName>字词错误</abilityName>
      <candidateList>
        <item>《中华人民共和国安全生产法》</item>
      </candidateList>
      <explain/>
      <paraID>312B1B3D</paraID>
      <start>5</start>
      <end>19</end>
      <status>modified</status>
      <modifiedWord>《中华人民共和国安全生产法》</modifiedWord>
      <trackRevisions>false</trackRevisions>
    </reviewItem>
    <reviewItem>
      <errorID>cc2413e8-682d-4288-9e62-a795f19f80d1</errorID>
      <errorWord>）</errorWord>
      <group>L1_Punc</group>
      <groupName>标点问题</groupName>
      <ability>L2_Punc_CN</ability>
      <abilityName/>
      <candidateList/>
      <explain>此处标点可能未正确匹配，请检查句子中是否存在标点冗余、缺失或使用错误的情况。</explain>
      <paraID>5DC0CA60</paraID>
      <start>1</start>
      <end>2</end>
      <status>unmodified</status>
      <modifiedWord/>
      <trackRevisions>false</trackRevisions>
    </reviewItem>
    <reviewItem>
      <errorID>37c6cae9-758c-4263-b6af-8d980f0f5e28</errorID>
      <errorWord>法治教育</errorWord>
      <group>L1_Word</group>
      <groupName>字词问题</groupName>
      <ability>L2_Typo</ability>
      <abilityName>字词错误</abilityName>
      <candidateList>
        <item>法制教育</item>
      </candidateList>
      <explain/>
      <paraID>5DC0CA60</paraID>
      <start>40</start>
      <end>44</end>
      <status>modified</status>
      <modifiedWord>法制教育</modifiedWord>
      <trackRevisions>false</trackRevisions>
    </reviewItem>
    <reviewItem>
      <errorID>4a490740-c5d0-4bb5-81bf-c44d4e7eeb03</errorID>
      <errorWord>）</errorWord>
      <group>L1_Punc</group>
      <groupName>标点问题</groupName>
      <ability>L2_Punc_CN</ability>
      <abilityName/>
      <candidateList/>
      <explain>此处标点可能未正确匹配，请检查句子中是否存在标点冗余、缺失或使用错误的情况。</explain>
      <paraID>4820BD96</paraID>
      <start>1</start>
      <end>2</end>
      <status>unmodified</status>
      <modifiedWord/>
      <trackRevisions>false</trackRevisions>
    </reviewItem>
    <reviewItem>
      <errorID>f7d8c4c3-2503-4c18-859e-55d244051b60</errorID>
      <errorWord>）</errorWord>
      <group>L1_Punc</group>
      <groupName>标点问题</groupName>
      <ability>L2_Punc_CN</ability>
      <abilityName/>
      <candidateList/>
      <explain>此处标点可能未正确匹配，请检查句子中是否存在标点冗余、缺失或使用错误的情况。</explain>
      <paraID>2B15EEDF</paraID>
      <start>1</start>
      <end>2</end>
      <status>unmodified</status>
      <modifiedWord/>
      <trackRevisions>false</trackRevisions>
    </reviewItem>
    <reviewItem>
      <errorID>aaccf3e0-11b6-4ed3-b2ae-9e6aa233a35c</errorID>
      <errorWord>较</errorWord>
      <group>L1_Word</group>
      <groupName>字词问题</groupName>
      <ability>L2_Typo</ability>
      <abilityName>字词错误</abilityName>
      <candidateList>
        <item>较为</item>
      </candidateList>
      <explain/>
      <paraID>280C1F21</paraID>
      <start>14</start>
      <end>15</end>
      <status>unmodified</status>
      <modifiedWord/>
      <trackRevisions>false</trackRevisions>
    </reviewItem>
    <reviewItem>
      <errorID>ba5fbae6-1225-4970-9c37-56983f69b02e</errorID>
      <errorWord>）</errorWord>
      <group>L1_Punc</group>
      <groupName>标点问题</groupName>
      <ability>L2_Punc_CN</ability>
      <abilityName/>
      <candidateList/>
      <explain>此处标点可能未正确匹配，请检查句子中是否存在标点冗余、缺失或使用错误的情况。</explain>
      <paraID>3B9861C7</paraID>
      <start>1</start>
      <end>2</end>
      <status>unmodified</status>
      <modifiedWord/>
      <trackRevisions>false</trackRevisions>
    </reviewItem>
    <reviewItem>
      <errorID>2e4d3309-8c2e-4ebd-a574-b5602ef02c3e</errorID>
      <errorWord>）</errorWord>
      <group>L1_Punc</group>
      <groupName>标点问题</groupName>
      <ability>L2_Punc_CN</ability>
      <abilityName/>
      <candidateList/>
      <explain>此处标点可能未正确匹配，请检查句子中是否存在标点冗余、缺失或使用错误的情况。</explain>
      <paraID>10383669</paraID>
      <start>1</start>
      <end>2</end>
      <status>unmodified</status>
      <modifiedWord/>
      <trackRevisions>false</trackRevisions>
    </reviewItem>
    <reviewItem>
      <errorID>591747c9-56b5-459c-80f5-99f340c58068</errorID>
      <errorWord>《安全生产法》</errorWord>
      <group>L1_Word</group>
      <groupName>字词问题</groupName>
      <ability>L2_Typo</ability>
      <abilityName>字词错误</abilityName>
      <candidateList>
        <item>《中华人民共和国安全生产法》</item>
      </candidateList>
      <explain/>
      <paraID>578C1423</paraID>
      <start>61</start>
      <end>75</end>
      <status>modified</status>
      <modifiedWord>《中华人民共和国安全生产法》</modifiedWord>
      <trackRevisions>false</trackRevisions>
    </reviewItem>
    <reviewItem>
      <errorID>f69638d4-791d-4da3-946d-7c636c23a230</errorID>
      <errorWord>职业病防治法</errorWord>
      <group>L1_Knowledge</group>
      <groupName>知识性问题</groupName>
      <ability>L2_Knowledge</ability>
      <abilityName>其他知识</abilityName>
      <candidateList>
        <item>中华人民共和国职业病防治法</item>
      </candidateList>
      <explain>当前法律法规名称使用简称，请注意是否应当使用全称。</explain>
      <paraID>578C1423</paraID>
      <start>76</start>
      <end>89</end>
      <status>modified</status>
      <modifiedWord>中华人民共和国职业病防治法</modifiedWord>
      <trackRevisions>false</trackRevisions>
    </reviewItem>
    <reviewItem>
      <errorID>672b8c41-80d6-437c-af28-257b93123bc1</errorID>
      <errorWord>法治教育</errorWord>
      <group>L1_Word</group>
      <groupName>字词问题</groupName>
      <ability>L2_Typo</ability>
      <abilityName>字词错误</abilityName>
      <candidateList>
        <item>法制教育</item>
      </candidateList>
      <explain/>
      <paraID>1F2F979D</paraID>
      <start>43</start>
      <end>47</end>
      <status>modified</status>
      <modifiedWord>法制教育</modifiedWord>
      <trackRevisions>false</trackRevisions>
    </reviewItem>
    <reviewItem>
      <errorID>7421c601-a81b-44bf-9093-4a25cfaa933f</errorID>
      <errorWord>）</errorWord>
      <group>L1_Punc</group>
      <groupName>标点问题</groupName>
      <ability>L2_Punc_CN</ability>
      <abilityName/>
      <candidateList/>
      <explain>此处标点可能未正确匹配，请检查句子中是否存在标点冗余、缺失或使用错误的情况。</explain>
      <paraID>1F2F979D</paraID>
      <start>81</start>
      <end>82</end>
      <status>unmodified</status>
      <modifiedWord/>
      <trackRevisions>false</trackRevisions>
    </reviewItem>
    <reviewItem>
      <errorID>00739b2a-d98b-41e8-8afa-11d126566643</errorID>
      <errorWord>）</errorWord>
      <group>L1_Punc</group>
      <groupName>标点问题</groupName>
      <ability>L2_Punc_CN</ability>
      <abilityName/>
      <candidateList/>
      <explain>此处标点可能未正确匹配，请检查句子中是否存在标点冗余、缺失或使用错误的情况。</explain>
      <paraID>1F2F979D</paraID>
      <start>567</start>
      <end>568</end>
      <status>unmodified</status>
      <modifiedWord/>
      <trackRevisions>false</trackRevisions>
    </reviewItem>
    <reviewItem>
      <errorID>7c0ccd1a-cb50-490f-becb-89fc86c960f7</errorID>
      <errorWord>）</errorWord>
      <group>L1_Punc</group>
      <groupName>标点问题</groupName>
      <ability>L2_Punc_CN</ability>
      <abilityName/>
      <candidateList/>
      <explain>此处标点可能未正确匹配，请检查句子中是否存在标点冗余、缺失或使用错误的情况。</explain>
      <paraID>795EE0AC</paraID>
      <start>1</start>
      <end>2</end>
      <status>unmodified</status>
      <modifiedWord/>
      <trackRevisions>false</trackRevisions>
    </reviewItem>
    <reviewItem>
      <errorID>1a7d4239-c7c9-41b6-bc0f-47783258b99f</errorID>
      <errorWord>防汛条例</errorWord>
      <group>L1_Knowledge</group>
      <groupName>知识性问题</groupName>
      <ability>L2_Knowledge</ability>
      <abilityName>其他知识</abilityName>
      <candidateList>
        <item>中华人民共和国防汛条例</item>
      </candidateList>
      <explain>当前法律法规名称使用简称，请注意是否应当使用全称。</explain>
      <paraID>795EE0AC</paraID>
      <start>3</start>
      <end>14</end>
      <status>modified</status>
      <modifiedWord>中华人民共和国防汛条例</modifiedWord>
      <trackRevisions>false</trackRevisions>
    </reviewItem>
    <reviewItem>
      <errorID>75a04789-f3da-4c64-a30a-37d1df9ad350</errorID>
      <errorWord>）</errorWord>
      <group>L1_Punc</group>
      <groupName>标点问题</groupName>
      <ability>L2_Punc_CN</ability>
      <abilityName/>
      <candidateList/>
      <explain>此处标点可能未正确匹配，请检查句子中是否存在标点冗余、缺失或使用错误的情况。</explain>
      <paraID>47DE0DA9</paraID>
      <start>1</start>
      <end>2</end>
      <status>unmodified</status>
      <modifiedWord/>
      <trackRevisions>false</trackRevisions>
    </reviewItem>
    <reviewItem>
      <errorID>16ead3b6-cdc9-471e-8b07-3d585e09114f</errorID>
      <errorWord>）</errorWord>
      <group>L1_Punc</group>
      <groupName>标点问题</groupName>
      <ability>L2_Punc_CN</ability>
      <abilityName/>
      <candidateList/>
      <explain>此处标点可能未正确匹配，请检查句子中是否存在标点冗余、缺失或使用错误的情况。</explain>
      <paraID>2CBEEAE1</paraID>
      <start>1</start>
      <end>2</end>
      <status>unmodified</status>
      <modifiedWord/>
      <trackRevisions>false</trackRevisions>
    </reviewItem>
    <reviewItem>
      <errorID>9e70c005-b80b-45ac-81f2-b43841473b80</errorID>
      <errorWord>防震减灾法</errorWord>
      <group>L1_Knowledge</group>
      <groupName>知识性问题</groupName>
      <ability>L2_Knowledge</ability>
      <abilityName>其他知识</abilityName>
      <candidateList>
        <item>中华人民共和国防震减灾法</item>
      </candidateList>
      <explain>当前法律法规名称使用简称，请注意是否应当使用全称。</explain>
      <paraID>2CBEEAE1</paraID>
      <start>3</start>
      <end>15</end>
      <status>modified</status>
      <modifiedWord>中华人民共和国防震减灾法</modifiedWord>
      <trackRevisions>false</trackRevisions>
    </reviewItem>
    <reviewItem>
      <errorID>14156db7-2515-43e8-bf76-9c632e9672e9</errorID>
      <errorWord>）</errorWord>
      <group>L1_Punc</group>
      <groupName>标点问题</groupName>
      <ability>L2_Punc_CN</ability>
      <abilityName/>
      <candidateList/>
      <explain>此处标点可能未正确匹配，请检查句子中是否存在标点冗余、缺失或使用错误的情况。</explain>
      <paraID>5FF48045</paraID>
      <start>1</start>
      <end>2</end>
      <status>unmodified</status>
      <modifiedWord/>
      <trackRevisions>false</trackRevisions>
    </reviewItem>
    <reviewItem>
      <errorID>f8420fe6-e0dc-451f-abf3-3469fc436941</errorID>
      <errorWord>）</errorWord>
      <group>L1_Punc</group>
      <groupName>标点问题</groupName>
      <ability>L2_Punc_CN</ability>
      <abilityName/>
      <candidateList/>
      <explain>此处标点可能未正确匹配，请检查句子中是否存在标点冗余、缺失或使用错误的情况。</explain>
      <paraID>41E9C669</paraID>
      <start>1</start>
      <end>2</end>
      <status>unmodified</status>
      <modifiedWord/>
      <trackRevisions>false</trackRevisions>
    </reviewItem>
    <reviewItem>
      <errorID>fba6f891-70a1-4753-974b-7176725736e9</errorID>
      <errorWord>）</errorWord>
      <group>L1_Punc</group>
      <groupName>标点问题</groupName>
      <ability>L2_Punc_CN</ability>
      <abilityName/>
      <candidateList/>
      <explain>此处标点可能未正确匹配，请检查句子中是否存在标点冗余、缺失或使用错误的情况。</explain>
      <paraID>406D80D6</paraID>
      <start>1</start>
      <end>2</end>
      <status>unmodified</status>
      <modifiedWord/>
      <trackRevisions>false</trackRevisions>
    </reviewItem>
    <reviewItem>
      <errorID>8b7fc1e5-b928-4f3e-839e-ad1e5b01f5b3</errorID>
      <errorWord>）</errorWord>
      <group>L1_Punc</group>
      <groupName>标点问题</groupName>
      <ability>L2_Punc_CN</ability>
      <abilityName/>
      <candidateList/>
      <explain>此处标点可能未正确匹配，请检查句子中是否存在标点冗余、缺失或使用错误的情况。</explain>
      <paraID>50F41DEF</paraID>
      <start>1</start>
      <end>2</end>
      <status>unmodified</status>
      <modifiedWord/>
      <trackRevisions>false</trackRevisions>
    </reviewItem>
    <reviewItem>
      <errorID>9471e425-6f91-414e-bd7c-273529a8c7c9</errorID>
      <errorWord>）</errorWord>
      <group>L1_Punc</group>
      <groupName>标点问题</groupName>
      <ability>L2_Punc_CN</ability>
      <abilityName/>
      <candidateList/>
      <explain>此处标点可能未正确匹配，请检查句子中是否存在标点冗余、缺失或使用错误的情况。</explain>
      <paraID>402D3B3B</paraID>
      <start>1</start>
      <end>2</end>
      <status>unmodified</status>
      <modifiedWord/>
      <trackRevisions>false</trackRevisions>
    </reviewItem>
    <reviewItem>
      <errorID>e38a4aef-0aea-4c7e-b971-1bb9741cc4dc</errorID>
      <errorWord>）</errorWord>
      <group>L1_Punc</group>
      <groupName>标点问题</groupName>
      <ability>L2_Punc_CN</ability>
      <abilityName/>
      <candidateList/>
      <explain>此处标点可能未正确匹配，请检查句子中是否存在标点冗余、缺失或使用错误的情况。</explain>
      <paraID>2246255F</paraID>
      <start>1</start>
      <end>2</end>
      <status>unmodified</status>
      <modifiedWord/>
      <trackRevisions>false</trackRevisions>
    </reviewItem>
    <reviewItem>
      <errorID>c90e5786-160c-4e8f-bc2a-0619955ed3b7</errorID>
      <errorWord>）</errorWord>
      <group>L1_Punc</group>
      <groupName>标点问题</groupName>
      <ability>L2_Punc_CN</ability>
      <abilityName/>
      <candidateList/>
      <explain>此处标点可能未正确匹配，请检查句子中是否存在标点冗余、缺失或使用错误的情况。</explain>
      <paraID> CB9DAD5</paraID>
      <start>1</start>
      <end>2</end>
      <status>unmodified</status>
      <modifiedWord/>
      <trackRevisions>false</trackRevisions>
    </reviewItem>
    <reviewItem>
      <errorID>141c6fdc-b0b7-4761-8b15-bdbac2e728b7</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510CE6CF</paraID>
      <start>3</start>
      <end>15</end>
      <status>modified</status>
      <modifiedWord>中华人民共和国土地管理法</modifiedWord>
      <trackRevisions>false</trackRevisions>
    </reviewItem>
    <reviewItem>
      <errorID>61a22da2-2b70-44d3-9a98-50f28e4c70c1</errorID>
      <errorWord>）</errorWord>
      <group>L1_Punc</group>
      <groupName>标点问题</groupName>
      <ability>L2_Punc_CN</ability>
      <abilityName/>
      <candidateList/>
      <explain>此处标点可能未正确匹配，请检查句子中是否存在标点冗余、缺失或使用错误的情况。</explain>
      <paraID>76FF6D56</paraID>
      <start>1</start>
      <end>2</end>
      <status>unmodified</status>
      <modifiedWord/>
      <trackRevisions>false</trackRevisions>
    </reviewItem>
    <reviewItem>
      <errorID>9871a777-c3cc-46fe-b2ad-3602d006d43c</errorID>
      <errorWord>土地管理法实施条例</errorWord>
      <group>L1_Knowledge</group>
      <groupName>知识性问题</groupName>
      <ability>L2_Knowledge</ability>
      <abilityName>其他知识</abilityName>
      <candidateList>
        <item>中华人民共和国土地管理法实施条例</item>
      </candidateList>
      <explain>当前法律法规名称使用简称，请注意是否应当使用全称。</explain>
      <paraID>76FF6D56</paraID>
      <start>3</start>
      <end>19</end>
      <status>modified</status>
      <modifiedWord>中华人民共和国土地管理法实施条例</modifiedWord>
      <trackRevisions>false</trackRevisions>
    </reviewItem>
    <reviewItem>
      <errorID>22f9e940-75ce-46a3-93ca-37d1081f1579</errorID>
      <errorWord>）</errorWord>
      <group>L1_Punc</group>
      <groupName>标点问题</groupName>
      <ability>L2_Punc_CN</ability>
      <abilityName/>
      <candidateList/>
      <explain>此处标点可能未正确匹配，请检查句子中是否存在标点冗余、缺失或使用错误的情况。</explain>
      <paraID>1ACF2D5A</paraID>
      <start>1</start>
      <end>2</end>
      <status>unmodified</status>
      <modifiedWord/>
      <trackRevisions>false</trackRevisions>
    </reviewItem>
    <reviewItem>
      <errorID>84838a1c-4027-4307-8068-fba6530131e5</errorID>
      <errorWord>物权法</errorWord>
      <group>L1_Knowledge</group>
      <groupName>知识性问题</groupName>
      <ability>L2_Knowledge</ability>
      <abilityName>其他知识</abilityName>
      <candidateList/>
      <explain>已废止</explain>
      <paraID>190B8B1F</paraID>
      <start>3</start>
      <end>6</end>
      <status>unmodified</status>
      <modifiedWord/>
      <trackRevisions>false</trackRevisions>
    </reviewItem>
    <reviewItem>
      <errorID>1358a589-7456-4f77-b95b-189f8ca50cdb</errorID>
      <errorWord>）</errorWord>
      <group>L1_Punc</group>
      <groupName>标点问题</groupName>
      <ability>L2_Punc_CN</ability>
      <abilityName/>
      <candidateList/>
      <explain>此处标点可能未正确匹配，请检查句子中是否存在标点冗余、缺失或使用错误的情况。</explain>
      <paraID>190B8B1F</paraID>
      <start>163</start>
      <end>164</end>
      <status>unmodified</status>
      <modifiedWord/>
      <trackRevisions>false</trackRevisions>
    </reviewItem>
    <reviewItem>
      <errorID>25c2a25d-e4c6-4b53-9a57-2d3dda957ea9</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190B8B1F</paraID>
      <start>165</start>
      <end>177</end>
      <status>modified</status>
      <modifiedWord>中华人民共和国土地管理法</modifiedWord>
      <trackRevisions>false</trackRevisions>
    </reviewItem>
    <reviewItem>
      <errorID>144fbdf1-344b-4f80-829b-a1f57e000f87</errorID>
      <errorWord>）</errorWord>
      <group>L1_Punc</group>
      <groupName>标点问题</groupName>
      <ability>L2_Punc_CN</ability>
      <abilityName/>
      <candidateList/>
      <explain>此处标点可能未正确匹配，请检查句子中是否存在标点冗余、缺失或使用错误的情况。</explain>
      <paraID>190B8B1F</paraID>
      <start>270</start>
      <end>271</end>
      <status>unmodified</status>
      <modifiedWord/>
      <trackRevisions>false</trackRevisions>
    </reviewItem>
    <reviewItem>
      <errorID>169df875-e836-4e27-9d93-d2c7fc68793a</errorID>
      <errorWord>）</errorWord>
      <group>L1_Punc</group>
      <groupName>标点问题</groupName>
      <ability>L2_Punc_CN</ability>
      <abilityName/>
      <candidateList/>
      <explain>此处标点可能未正确匹配，请检查句子中是否存在标点冗余、缺失或使用错误的情况。</explain>
      <paraID>190B8B1F</paraID>
      <start>471</start>
      <end>472</end>
      <status>unmodified</status>
      <modifiedWord/>
      <trackRevisions>false</trackRevisions>
    </reviewItem>
    <reviewItem>
      <errorID>89866c43-c2cc-4a0a-92d3-e5863457fb9f</errorID>
      <errorWord>）</errorWord>
      <group>L1_Punc</group>
      <groupName>标点问题</groupName>
      <ability>L2_Punc_CN</ability>
      <abilityName/>
      <candidateList/>
      <explain>此处标点可能未正确匹配，请检查句子中是否存在标点冗余、缺失或使用错误的情况。</explain>
      <paraID>190B8B1F</paraID>
      <start>666</start>
      <end>667</end>
      <status>unmodified</status>
      <modifiedWord/>
      <trackRevisions>false</trackRevisions>
    </reviewItem>
    <reviewItem>
      <errorID>a188b0b1-8246-486c-8911-9839820a76ce</errorID>
      <errorWord>）</errorWord>
      <group>L1_Punc</group>
      <groupName>标点问题</groupName>
      <ability>L2_Punc_CN</ability>
      <abilityName/>
      <candidateList/>
      <explain>此处标点可能未正确匹配，请检查句子中是否存在标点冗余、缺失或使用错误的情况。</explain>
      <paraID>6B237D93</paraID>
      <start>1</start>
      <end>2</end>
      <status>unmodified</status>
      <modifiedWord/>
      <trackRevisions>false</trackRevisions>
    </reviewItem>
    <reviewItem>
      <errorID>7ed76e1a-cdf2-4529-8d41-3749186aec4d</errorID>
      <errorWord>）</errorWord>
      <group>L1_Punc</group>
      <groupName>标点问题</groupName>
      <ability>L2_Punc_CN</ability>
      <abilityName/>
      <candidateList/>
      <explain>此处标点可能未正确匹配，请检查句子中是否存在标点冗余、缺失或使用错误的情况。</explain>
      <paraID>42F16BA7</paraID>
      <start>1</start>
      <end>2</end>
      <status>unmodified</status>
      <modifiedWord/>
      <trackRevisions>false</trackRevisions>
    </reviewItem>
    <reviewItem>
      <errorID>a79a54aa-eccd-4e7f-843b-8a1d7b633582</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42BBB996</paraID>
      <start>3</start>
      <end>15</end>
      <status>modified</status>
      <modifiedWord>中华人民共和国土地管理法</modifiedWord>
      <trackRevisions>false</trackRevisions>
    </reviewItem>
    <reviewItem>
      <errorID>e2c93149-8f13-4f6d-b175-e2e16d676b54</errorID>
      <errorWord>）</errorWord>
      <group>L1_Punc</group>
      <groupName>标点问题</groupName>
      <ability>L2_Punc_CN</ability>
      <abilityName/>
      <candidateList/>
      <explain>此处标点可能未正确匹配，请检查句子中是否存在标点冗余、缺失或使用错误的情况。</explain>
      <paraID>42BBB996</paraID>
      <start>55</start>
      <end>56</end>
      <status>unmodified</status>
      <modifiedWord/>
      <trackRevisions>false</trackRevisions>
    </reviewItem>
    <reviewItem>
      <errorID>2993aafc-e034-422c-bd67-f14b151002ad</errorID>
      <errorWord>）</errorWord>
      <group>L1_Punc</group>
      <groupName>标点问题</groupName>
      <ability>L2_Punc_CN</ability>
      <abilityName/>
      <candidateList/>
      <explain>此处标点可能未正确匹配，请检查句子中是否存在标点冗余、缺失或使用错误的情况。</explain>
      <paraID>42BBB996</paraID>
      <start>515</start>
      <end>516</end>
      <status>unmodified</status>
      <modifiedWord/>
      <trackRevisions>false</trackRevisions>
    </reviewItem>
    <reviewItem>
      <errorID>06a58697-9254-4f65-bb30-503d438b8178</errorID>
      <errorWord>）</errorWord>
      <group>L1_Punc</group>
      <groupName>标点问题</groupName>
      <ability>L2_Punc_CN</ability>
      <abilityName/>
      <candidateList/>
      <explain>此处标点可能未正确匹配，请检查句子中是否存在标点冗余、缺失或使用错误的情况。</explain>
      <paraID>42BBB996</paraID>
      <start>752</start>
      <end>753</end>
      <status>unmodified</status>
      <modifiedWord/>
      <trackRevisions>false</trackRevisions>
    </reviewItem>
    <reviewItem>
      <errorID>8b51f431-78a3-44f2-8650-0d57e1daa161</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56E50FD0</paraID>
      <start>3</start>
      <end>15</end>
      <status>modified</status>
      <modifiedWord>中华人民共和国土地管理法</modifiedWord>
      <trackRevisions>false</trackRevisions>
    </reviewItem>
    <reviewItem>
      <errorID>8978bfb6-6904-460a-b48f-5df362842ec9</errorID>
      <errorWord>）</errorWord>
      <group>L1_Punc</group>
      <groupName>标点问题</groupName>
      <ability>L2_Punc_CN</ability>
      <abilityName/>
      <candidateList/>
      <explain>此处标点可能未正确匹配，请检查句子中是否存在标点冗余、缺失或使用错误的情况。</explain>
      <paraID>56E50FD0</paraID>
      <start>205</start>
      <end>206</end>
      <status>unmodified</status>
      <modifiedWord/>
      <trackRevisions>false</trackRevisions>
    </reviewItem>
    <reviewItem>
      <errorID>c5378611-5dcf-4355-8841-86dd72db5b93</errorID>
      <errorWord>土地管理法实施条例</errorWord>
      <group>L1_Knowledge</group>
      <groupName>知识性问题</groupName>
      <ability>L2_Knowledge</ability>
      <abilityName>其他知识</abilityName>
      <candidateList>
        <item>中华人民共和国土地管理法实施条例</item>
      </candidateList>
      <explain>当前法律法规名称使用简称，请注意是否应当使用全称。</explain>
      <paraID>56E50FD0</paraID>
      <start>207</start>
      <end>223</end>
      <status>modified</status>
      <modifiedWord>中华人民共和国土地管理法实施条例</modifiedWord>
      <trackRevisions>false</trackRevisions>
    </reviewItem>
    <reviewItem>
      <errorID>344e8c89-31e3-47af-b701-65ba67572df8</errorID>
      <errorWord>）</errorWord>
      <group>L1_Punc</group>
      <groupName>标点问题</groupName>
      <ability>L2_Punc_CN</ability>
      <abilityName/>
      <candidateList/>
      <explain>此处标点可能未正确匹配，请检查句子中是否存在标点冗余、缺失或使用错误的情况。</explain>
      <paraID>56E50FD0</paraID>
      <start>344</start>
      <end>345</end>
      <status>unmodified</status>
      <modifiedWord/>
      <trackRevisions>false</trackRevisions>
    </reviewItem>
    <reviewItem>
      <errorID>95659598-127a-46b5-92de-15d1e66015c0</errorID>
      <errorWord>物权法</errorWord>
      <group>L1_Knowledge</group>
      <groupName>知识性问题</groupName>
      <ability>L2_Knowledge</ability>
      <abilityName>其他知识</abilityName>
      <candidateList/>
      <explain>已废止</explain>
      <paraID>56E50FD0</paraID>
      <start>346</start>
      <end>349</end>
      <status>unmodified</status>
      <modifiedWord/>
      <trackRevisions>false</trackRevisions>
    </reviewItem>
    <reviewItem>
      <errorID>1087ce41-7664-4555-8acd-b523af986e9b</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 3659D0B</paraID>
      <start>3</start>
      <end>15</end>
      <status>modified</status>
      <modifiedWord>中华人民共和国土地管理法</modifiedWord>
      <trackRevisions>false</trackRevisions>
    </reviewItem>
    <reviewItem>
      <errorID>abf1ff2e-6d68-4442-9abb-6bb8135f3141</errorID>
      <errorWord>）</errorWord>
      <group>L1_Punc</group>
      <groupName>标点问题</groupName>
      <ability>L2_Punc_CN</ability>
      <abilityName/>
      <candidateList/>
      <explain>此处标点可能未正确匹配，请检查句子中是否存在标点冗余、缺失或使用错误的情况。</explain>
      <paraID>6C46720E</paraID>
      <start>1</start>
      <end>2</end>
      <status>unmodified</status>
      <modifiedWord/>
      <trackRevisions>false</trackRevisions>
    </reviewItem>
    <reviewItem>
      <errorID>5ee02cde-39c6-4412-b022-e4838c26fc7a</errorID>
      <errorWord>）</errorWord>
      <group>L1_Punc</group>
      <groupName>标点问题</groupName>
      <ability>L2_Punc_CN</ability>
      <abilityName/>
      <candidateList/>
      <explain>此处标点可能未正确匹配，请检查句子中是否存在标点冗余、缺失或使用错误的情况。</explain>
      <paraID>659272BA</paraID>
      <start>1</start>
      <end>2</end>
      <status>unmodified</status>
      <modifiedWord/>
      <trackRevisions>false</trackRevisions>
    </reviewItem>
    <reviewItem>
      <errorID>07183622-0bf9-4e14-ab5e-0a5768afe9a7</errorID>
      <errorWord>）</errorWord>
      <group>L1_Punc</group>
      <groupName>标点问题</groupName>
      <ability>L2_Punc_CN</ability>
      <abilityName/>
      <candidateList/>
      <explain>此处标点可能未正确匹配，请检查句子中是否存在标点冗余、缺失或使用错误的情况。</explain>
      <paraID>3E483C49</paraID>
      <start>1</start>
      <end>2</end>
      <status>unmodified</status>
      <modifiedWord/>
      <trackRevisions>false</trackRevisions>
    </reviewItem>
    <reviewItem>
      <errorID>fe75f137-03d7-448f-aa04-d6ebf5a9528a</errorID>
      <errorWord>《宪法》</errorWord>
      <group>L1_Word</group>
      <groupName>字词问题</groupName>
      <ability>L2_Typo</ability>
      <abilityName>字词错误</abilityName>
      <candidateList>
        <item>《中华人民共和国宪法》</item>
      </candidateList>
      <explain/>
      <paraID>50FC8573</paraID>
      <start>0</start>
      <end>11</end>
      <status>modified</status>
      <modifiedWord>《中华人民共和国宪法》</modifiedWord>
      <trackRevisions>false</trackRevisions>
    </reviewItem>
    <reviewItem>
      <errorID>5a65790f-ec3b-4ad0-89da-064679a4a813</errorID>
      <errorWord>）</errorWord>
      <group>L1_Punc</group>
      <groupName>标点问题</groupName>
      <ability>L2_Punc_CN</ability>
      <abilityName/>
      <candidateList/>
      <explain>此处标点可能未正确匹配，请检查句子中是否存在标点冗余、缺失或使用错误的情况。</explain>
      <paraID>50FC8573</paraID>
      <start>32</start>
      <end>33</end>
      <status>unmodified</status>
      <modifiedWord/>
      <trackRevisions>false</trackRevisions>
    </reviewItem>
    <reviewItem>
      <errorID>cfa74a03-47e9-4dc7-ac09-a5fc3fdf5801</errorID>
      <errorWord>民族区域自治法</errorWord>
      <group>L1_Knowledge</group>
      <groupName>知识性问题</groupName>
      <ability>L2_Knowledge</ability>
      <abilityName>其他知识</abilityName>
      <candidateList>
        <item>中华人民共和国民族区域自治法</item>
      </candidateList>
      <explain>当前法律法规名称使用简称，请注意是否应当使用全称。</explain>
      <paraID>50FC8573</paraID>
      <start>34</start>
      <end>48</end>
      <status>modified</status>
      <modifiedWord>中华人民共和国民族区域自治法</modifiedWord>
      <trackRevisions>false</trackRevisions>
    </reviewItem>
    <reviewItem>
      <errorID>8368471d-fc03-40e2-b765-203c9f30f981</errorID>
      <errorWord>）</errorWord>
      <group>L1_Punc</group>
      <groupName>标点问题</groupName>
      <ability>L2_Punc_CN</ability>
      <abilityName/>
      <candidateList/>
      <explain>此处标点可能未正确匹配，请检查句子中是否存在标点冗余、缺失或使用错误的情况。</explain>
      <paraID>50FC8573</paraID>
      <start>149</start>
      <end>150</end>
      <status>unmodified</status>
      <modifiedWord/>
      <trackRevisions>false</trackRevisions>
    </reviewItem>
    <reviewItem>
      <errorID>f473becd-f5d5-43a1-b1ae-3035c790fc84</errorID>
      <errorWord>）</errorWord>
      <group>L1_Punc</group>
      <groupName>标点问题</groupName>
      <ability>L2_Punc_CN</ability>
      <abilityName/>
      <candidateList/>
      <explain>此处标点可能未正确匹配，请检查句子中是否存在标点冗余、缺失或使用错误的情况。</explain>
      <paraID> 2985C6E</paraID>
      <start>1</start>
      <end>2</end>
      <status>unmodified</status>
      <modifiedWord/>
      <trackRevisions>false</trackRevisions>
    </reviewItem>
    <reviewItem>
      <errorID>76963db6-155c-4a4e-98ca-7b9c337810f4</errorID>
      <errorWord>土地管理法</errorWord>
      <group>L1_Knowledge</group>
      <groupName>知识性问题</groupName>
      <ability>L2_Knowledge</ability>
      <abilityName>其他知识</abilityName>
      <candidateList>
        <item>中华人民共和国土地管理法</item>
      </candidateList>
      <explain>当前法律法规名称使用简称，请注意是否应当使用全称。</explain>
      <paraID> 2985C6E</paraID>
      <start>3</start>
      <end>15</end>
      <status>modified</status>
      <modifiedWord>中华人民共和国土地管理法</modifiedWord>
      <trackRevisions>false</trackRevisions>
    </reviewItem>
    <reviewItem>
      <errorID>c9134823-34f1-4ae0-af37-816b35fd0042</errorID>
      <errorWord>民族区域自治法</errorWord>
      <group>L1_Knowledge</group>
      <groupName>知识性问题</groupName>
      <ability>L2_Knowledge</ability>
      <abilityName>其他知识</abilityName>
      <candidateList>
        <item>中华人民共和国民族区域自治法</item>
      </candidateList>
      <explain>当前法律法规名称使用简称，请注意是否应当使用全称。</explain>
      <paraID>  C9B5E2</paraID>
      <start>3</start>
      <end>17</end>
      <status>modified</status>
      <modifiedWord>中华人民共和国民族区域自治法</modifiedWord>
      <trackRevisions>false</trackRevisions>
    </reviewItem>
    <reviewItem>
      <errorID>4175cb4e-4375-45f8-a25f-c3f048f76f03</errorID>
      <errorWord>）</errorWord>
      <group>L1_Punc</group>
      <groupName>标点问题</groupName>
      <ability>L2_Punc_CN</ability>
      <abilityName/>
      <candidateList/>
      <explain>此处标点可能未正确匹配，请检查句子中是否存在标点冗余、缺失或使用错误的情况。</explain>
      <paraID>55534E4E</paraID>
      <start>1</start>
      <end>2</end>
      <status>unmodified</status>
      <modifiedWord/>
      <trackRevisions>false</trackRevisions>
    </reviewItem>
    <reviewItem>
      <errorID>77c0acb1-ae63-442d-85eb-219547f17ba7</errorID>
      <errorWord>）</errorWord>
      <group>L1_Punc</group>
      <groupName>标点问题</groupName>
      <ability>L2_Punc_CN</ability>
      <abilityName/>
      <candidateList/>
      <explain>此处标点可能未正确匹配，请检查句子中是否存在标点冗余、缺失或使用错误的情况。</explain>
      <paraID>77EFF0CF</paraID>
      <start>1</start>
      <end>2</end>
      <status>unmodified</status>
      <modifiedWord/>
      <trackRevisions>false</trackRevisions>
    </reviewItem>
    <reviewItem>
      <errorID>c7ffb8ba-a59c-48d1-9244-2c8b47d00e1e</errorID>
      <errorWord>）</errorWord>
      <group>L1_Punc</group>
      <groupName>标点问题</groupName>
      <ability>L2_Punc_CN</ability>
      <abilityName/>
      <candidateList/>
      <explain>此处标点可能未正确匹配，请检查句子中是否存在标点冗余、缺失或使用错误的情况。</explain>
      <paraID>4AF61EC6</paraID>
      <start>1</start>
      <end>2</end>
      <status>unmodified</status>
      <modifiedWord/>
      <trackRevisions>false</trackRevisions>
    </reviewItem>
    <reviewItem>
      <errorID>79dadd8c-7203-41db-a4ed-8480429a7a0f</errorID>
      <errorWord>少数民族地区</errorWord>
      <group>L1_Word</group>
      <groupName>字词问题</groupName>
      <ability>L2_Typo</ability>
      <abilityName>字词错误</abilityName>
      <candidateList>
        <item>民族地区</item>
      </candidateList>
      <explain/>
      <paraID>1CC0978E</paraID>
      <start>54</start>
      <end>58</end>
      <status>modified</status>
      <modifiedWord>民族地区</modifiedWord>
      <trackRevisions>false</trackRevisions>
    </reviewItem>
    <reviewItem>
      <errorID>1301b166-0be8-44c9-9f4e-2b35dfd3fcb0</errorID>
      <errorWord>少数民族地区</errorWord>
      <group>L1_Word</group>
      <groupName>字词问题</groupName>
      <ability>L2_Typo</ability>
      <abilityName>字词错误</abilityName>
      <candidateList>
        <item>民族地区</item>
      </candidateList>
      <explain/>
      <paraID>1CC0978E</paraID>
      <start>185</start>
      <end>189</end>
      <status>modified</status>
      <modifiedWord>民族地区</modifiedWord>
      <trackRevisions>false</trackRevisions>
    </reviewItem>
    <reviewItem>
      <errorID>6108ac09-254c-4ca7-acd8-a3d2d4f23226</errorID>
      <errorWord>）</errorWord>
      <group>L1_Punc</group>
      <groupName>标点问题</groupName>
      <ability>L2_Punc_CN</ability>
      <abilityName/>
      <candidateList/>
      <explain>此处标点可能未正确匹配，请检查句子中是否存在标点冗余、缺失或使用错误的情况。</explain>
      <paraID>2382F2FC</paraID>
      <start>1</start>
      <end>2</end>
      <status>unmodified</status>
      <modifiedWord/>
      <trackRevisions>false</trackRevisions>
    </reviewItem>
    <reviewItem>
      <errorID>1b78c10b-9a3c-4be4-a346-b5b285e4b9e5</errorID>
      <errorWord>，</errorWord>
      <group>L1_Word</group>
      <groupName>字词问题</groupName>
      <ability>L2_Typo</ability>
      <abilityName>字词错误</abilityName>
      <candidateList>
        <item>，以</item>
      </candidateList>
      <explain/>
      <paraID>2382F2FC</paraID>
      <start>121</start>
      <end>123</end>
      <status>modified</status>
      <modifiedWord>，以</modifiedWord>
      <trackRevisions>false</trackRevisions>
    </reviewItem>
    <reviewItem>
      <errorID>a14b0063-cc88-464e-8a51-0c2b1b44f056</errorID>
      <errorWord>分层分类的社会救助</errorWord>
      <group>L1_Political</group>
      <groupName>政治性问题</groupName>
      <ability>L2_Keyword</ability>
      <abilityName>固定表述</abilityName>
      <candidateList>
        <item>分层分类社会救助</item>
      </candidateList>
      <explain>词汇“分层分类社会救助”在特定场景下为固定表述形式，请确认此处的“分层分类的社会救助”是否存在不当。</explain>
      <paraID>2382F2FC</paraID>
      <start>137</start>
      <end>145</end>
      <status>modified</status>
      <modifiedWord>分层分类社会救助</modifiedWord>
      <trackRevisions>false</trackRevisions>
    </reviewItem>
    <reviewItem>
      <errorID>b49a14c1-9fc4-47b1-a1b9-2705266f9dc9</errorID>
      <errorWord>）</errorWord>
      <group>L1_Punc</group>
      <groupName>标点问题</groupName>
      <ability>L2_Punc_CN</ability>
      <abilityName/>
      <candidateList/>
      <explain>此处标点可能未正确匹配，请检查句子中是否存在标点冗余、缺失或使用错误的情况。</explain>
      <paraID>71B08390</paraID>
      <start>1</start>
      <end>2</end>
      <status>unmodified</status>
      <modifiedWord/>
      <trackRevisions>false</trackRevisions>
    </reviewItem>
    <reviewItem>
      <errorID>f6965213-f23f-44af-83b8-a66852b0c73a</errorID>
      <errorWord>）</errorWord>
      <group>L1_Punc</group>
      <groupName>标点问题</groupName>
      <ability>L2_Punc_CN</ability>
      <abilityName/>
      <candidateList/>
      <explain>此处标点可能未正确匹配，请检查句子中是否存在标点冗余、缺失或使用错误的情况。</explain>
      <paraID>1BB4193C</paraID>
      <start>1</start>
      <end>2</end>
      <status>unmodified</status>
      <modifiedWord/>
      <trackRevisions>false</trackRevisions>
    </reviewItem>
    <reviewItem>
      <errorID>363e4d81-ae44-4bc6-956a-f9737a256b5a</errorID>
      <errorWord>十四五</errorWord>
      <group>L1_Other</group>
      <groupName>其他问题</groupName>
      <ability>L2_UserTypo</ability>
      <abilityName>自定义错误</abilityName>
      <candidateList>
        <item>“十四五”</item>
      </candidateList>
      <explain>来自自定义错词库。</explain>
      <paraID> 816BAA7</paraID>
      <start>4</start>
      <end>9</end>
      <status>modified</status>
      <modifiedWord>“十四五”</modifiedWord>
      <trackRevisions>false</trackRevisions>
    </reviewItem>
    <reviewItem>
      <errorID>17250a1c-231d-4f2b-9242-a2201e1babad</errorID>
      <errorWord>十四五</errorWord>
      <group>L1_Other</group>
      <groupName>其他问题</groupName>
      <ability>L2_UserTypo</ability>
      <abilityName>自定义错误</abilityName>
      <candidateList>
        <item>“十四五”</item>
      </candidateList>
      <explain>来自自定义错词库。</explain>
      <paraID>6B033D6B</paraID>
      <start>4</start>
      <end>9</end>
      <status>modified</status>
      <modifiedWord>“十四五”</modifiedWord>
      <trackRevisions>false</trackRevisions>
    </reviewItem>
    <reviewItem>
      <errorID>f0403e5f-1655-4056-9627-e75a4e2a37a0</errorID>
      <errorWord>县政法委</errorWord>
      <group>L1_Word</group>
      <groupName>字词问题</groupName>
      <ability>L2_Typo</ability>
      <abilityName>字词错误</abilityName>
      <candidateList>
        <item>县委政法委</item>
      </candidateList>
      <explain>机关单位名称不规范，请注意审核。</explain>
      <paraID>1EE8D623</paraID>
      <start>93</start>
      <end>98</end>
      <status>modified</status>
      <modifiedWord>县委政法委</modifiedWord>
      <trackRevisions>false</trackRevisions>
    </reviewItem>
    <reviewItem>
      <errorID>363e4d81-ae44-4bc6-956a-f9737a256b5a</errorID>
      <errorWord>十四五</errorWord>
      <group>L1_Other</group>
      <groupName>其他问题</groupName>
      <ability>L2_UserTypo</ability>
      <abilityName>自定义错误</abilityName>
      <candidateList>
        <item>“十四五”</item>
      </candidateList>
      <explain>来自自定义错词库。</explain>
      <paraID>3B687169</paraID>
      <start>4</start>
      <end>9</end>
      <status>modified</status>
      <modifiedWord>“十四五”</modifiedWord>
      <trackRevisions>false</trackRevisions>
    </reviewItem>
    <reviewItem>
      <errorID>17250a1c-231d-4f2b-9242-a2201e1babad</errorID>
      <errorWord>十四五</errorWord>
      <group>L1_Other</group>
      <groupName>其他问题</groupName>
      <ability>L2_UserTypo</ability>
      <abilityName>自定义错误</abilityName>
      <candidateList>
        <item>“十四五”</item>
      </candidateList>
      <explain>来自自定义错词库。</explain>
      <paraID>30D39054</paraID>
      <start>4</start>
      <end>9</end>
      <status>modified</status>
      <modifiedWord>“十四五”</modifiedWord>
      <trackRevisions>false</trackRevisions>
    </reviewItem>
    <reviewItem>
      <errorID>793fe579-e89c-471f-99bf-dfedb82bdb39</errorID>
      <errorWord>县政法委</errorWord>
      <group>L1_Word</group>
      <groupName>字词问题</groupName>
      <ability>L2_Typo</ability>
      <abilityName>字词错误</abilityName>
      <candidateList>
        <item>县委政法委</item>
      </candidateList>
      <explain>机关单位名称不规范，请注意审核。</explain>
      <paraID>54CBD499</paraID>
      <start>93</start>
      <end>98</end>
      <status>modified</status>
      <modifiedWord>县委政法委</modifiedWord>
      <trackRevisions>false</trackRevisions>
    </reviewItem>
    <reviewItem>
      <errorID>bdf860d0-fa64-4af9-bc41-2c826ef3b569</errorID>
      <errorWord>县政法委</errorWord>
      <group>L1_Word</group>
      <groupName>字词问题</groupName>
      <ability>L2_Typo</ability>
      <abilityName>字词错误</abilityName>
      <candidateList>
        <item>县委政法委</item>
      </candidateList>
      <explain>机关单位名称不规范，请注意审核。</explain>
      <paraID>768F0CF2</paraID>
      <start>82</start>
      <end>87</end>
      <status>modified</status>
      <modifiedWord>县委政法委</modifiedWord>
      <trackRevisions>false</trackRevisions>
    </reviewItem>
    <reviewItem>
      <errorID>55aed08c-ca4f-4d8c-9d33-9994e0fdb778</errorID>
      <errorWord>渔业法</errorWord>
      <group>L1_Knowledge</group>
      <groupName>知识性问题</groupName>
      <ability>L2_Knowledge</ability>
      <abilityName>其他知识</abilityName>
      <candidateList>
        <item>中华人民共和国渔业法</item>
      </candidateList>
      <explain>当前法律法规名称使用简称，请注意是否应当使用全称。</explain>
      <paraID>132146B5</paraID>
      <start>9</start>
      <end>19</end>
      <status>modified</status>
      <modifiedWord>中华人民共和国渔业法</modifiedWord>
      <trackRevisions>false</trackRevisions>
    </reviewItem>
    <reviewItem>
      <errorID>0c7ef423-e66e-40e0-83f9-b376b506d75c</errorID>
      <errorWord>渔业法</errorWord>
      <group>L1_Knowledge</group>
      <groupName>知识性问题</groupName>
      <ability>L2_Knowledge</ability>
      <abilityName>其他知识</abilityName>
      <candidateList>
        <item>中华人民共和国渔业法</item>
      </candidateList>
      <explain>当前法律法规名称使用简称，请注意是否应当使用全称。</explain>
      <paraID>7EA2481F</paraID>
      <start>4</start>
      <end>14</end>
      <status>modified</status>
      <modifiedWord>中华人民共和国渔业法</modifiedWord>
      <trackRevisions>false</trackRevisions>
    </reviewItem>
    <reviewItem>
      <errorID>d1a9a042-6d3b-4e6b-bd12-ec57d3bbbdce</errorID>
      <errorWord>建设</errorWord>
      <group>L1_Word</group>
      <groupName>字词问题</groupName>
      <ability>L2_Typo</ability>
      <abilityName>字词错误</abilityName>
      <candidateList>
        <item>建议</item>
      </candidateList>
      <explain>存在字形相近字词的误用。</explain>
      <paraID>1A847D27</paraID>
      <start>0</start>
      <end>2</end>
      <status>modified</status>
      <modifiedWord>建议</modifiedWord>
      <trackRevisions>false</trackRevisions>
    </reviewItem>
    <reviewItem>
      <errorID>4fabfc8a-6047-4e1e-9051-54f93811e30a</errorID>
      <errorWord>第6条</errorWord>
      <group>L1_Knowledge</group>
      <groupName>知识性问题</groupName>
      <ability>L2_Knowledge</ability>
      <abilityName>其他知识</abilityName>
      <candidateList>
        <item>第六条</item>
      </candidateList>
      <explain/>
      <paraID>49038283</paraID>
      <start>12</start>
      <end>15</end>
      <status>modified</status>
      <modifiedWord>第六条</modifiedWord>
      <trackRevisions>false</trackRevisions>
    </reviewItem>
    <reviewItem>
      <errorID>8e68f4b1-1fe5-4997-8e77-8f1e9d5314d3</errorID>
      <errorWord>湖北省随县乡村振兴局</errorWord>
      <group>L1_Knowledge</group>
      <groupName>知识性问题</groupName>
      <ability>L2_Organization</ability>
      <abilityName>机构检查</abilityName>
      <candidateList>
        <item>湖北省乡村振兴局</item>
      </candidateList>
      <explain>机关单位全简称表述错误</explain>
      <paraID>39BFBE2F</paraID>
      <start>0</start>
      <end>10</end>
      <status>unmodified</status>
      <modifiedWord/>
      <trackRevisions>false</trackRevisions>
    </reviewItem>
    <reviewItem>
      <errorID>d60b88c2-bbba-4f0f-a0a4-e0ff2667e23e</errorID>
      <errorWord>劳动法</errorWord>
      <group>L1_Knowledge</group>
      <groupName>知识性问题</groupName>
      <ability>L2_Knowledge</ability>
      <abilityName>其他知识</abilityName>
      <candidateList>
        <item>中华人民共和国劳动法</item>
      </candidateList>
      <explain>当前法律法规名称使用简称，请注意是否应当使用全称。</explain>
      <paraID> 86EFE98</paraID>
      <start>12</start>
      <end>22</end>
      <status>modified</status>
      <modifiedWord>中华人民共和国劳动法</modifiedWord>
      <trackRevisions>false</trackRevisions>
    </reviewItem>
    <reviewItem>
      <errorID>a2825670-347d-43fe-887d-e3919814c032</errorID>
      <errorWord>《民法典》</errorWord>
      <group>L1_Word</group>
      <groupName>字词问题</groupName>
      <ability>L2_Typo</ability>
      <abilityName>字词错误</abilityName>
      <candidateList>
        <item>《中华人民共和国民法典》</item>
      </candidateList>
      <explain/>
      <paraID> 86EFE98</paraID>
      <start>33</start>
      <end>45</end>
      <status>modified</status>
      <modifiedWord>《中华人民共和国民法典》</modifiedWord>
      <trackRevisions>false</trackRevisions>
    </reviewItem>
    <reviewItem>
      <errorID>b7e60f42-e759-4479-9933-db5cd2a8700a</errorID>
      <errorWord>湖北省随县乡村振兴局</errorWord>
      <group>L1_Knowledge</group>
      <groupName>知识性问题</groupName>
      <ability>L2_Organization</ability>
      <abilityName>机构检查</abilityName>
      <candidateList>
        <item>湖北省乡村振兴局</item>
      </candidateList>
      <explain>机关单位全简称表述错误</explain>
      <paraID>73BD14AC</paraID>
      <start>0</start>
      <end>10</end>
      <status>unmodified</status>
      <modifiedWord/>
      <trackRevisions>false</trackRevisions>
    </reviewItem>
    <reviewItem>
      <errorID>dd370a08-a3a3-4b2a-964c-b9b19321713c</errorID>
      <errorWord>省政法委</errorWord>
      <group>L1_Word</group>
      <groupName>字词问题</groupName>
      <ability>L2_Typo</ability>
      <abilityName>字词错误</abilityName>
      <candidateList>
        <item>省委政法委</item>
      </candidateList>
      <explain>机关单位名称不规范，请注意审核。</explain>
      <paraID>43C53255</paraID>
      <start>2</start>
      <end>7</end>
      <status>modified</status>
      <modifiedWord>省委政法委</modifiedWord>
      <trackRevisions>false</trackRevisions>
    </reviewItem>
    <reviewItem>
      <errorID>d7c2062f-d7cf-479c-8c0c-aafdcdb4cbc5</errorID>
      <errorWord>巩固</errorWord>
      <group>L1_Sensitive</group>
      <groupName>敏感问题</groupName>
      <ability>L2_UserSensitive</ability>
      <abilityName>自定义敏感词</abilityName>
      <candidateList/>
      <explain>来自自定义敏感词库。</explain>
      <paraID>273D55B1</paraID>
      <start>9</start>
      <end>11</end>
      <status>unmodified</status>
      <modifiedWord/>
      <trackRevisions>false</trackRevisions>
    </reviewItem>
    <reviewItem>
      <errorID>1829bcb9-0ff3-4fd9-a726-0799d7a04ed9</errorID>
      <errorWord>县政法委</errorWord>
      <group>L1_Word</group>
      <groupName>字词问题</groupName>
      <ability>L2_Typo</ability>
      <abilityName>字词错误</abilityName>
      <candidateList>
        <item>县委政法委</item>
      </candidateList>
      <explain>机关单位名称不规范，请注意审核。</explain>
      <paraID>57071086</paraID>
      <start>23</start>
      <end>28</end>
      <status>modified</status>
      <modifiedWord>县委政法委</modifiedWord>
      <trackRevisions>false</trackRevisions>
    </reviewItem>
    <reviewItem>
      <errorID>d86d9b3a-b6d8-428e-af4f-66a3551e31aa</errorID>
      <errorWord>市政法委</errorWord>
      <group>L1_Word</group>
      <groupName>字词问题</groupName>
      <ability>L2_Typo</ability>
      <abilityName>字词错误</abilityName>
      <candidateList>
        <item>市委政法委</item>
      </candidateList>
      <explain>机关单位名称不规范，请注意审核。</explain>
      <paraID>56FD0C83</paraID>
      <start>5</start>
      <end>10</end>
      <status>modified</status>
      <modifiedWord>市委政法委</modifiedWord>
      <trackRevisions>false</trackRevisions>
    </reviewItem>
    <reviewItem>
      <errorID>eef0ec7a-732a-4929-914e-16647544d5b7</errorID>
      <errorWord>区政法委</errorWord>
      <group>L1_Political</group>
      <groupName>政治性问题</groupName>
      <ability>L2_Unpolitical</ability>
      <abilityName>政治敏感错误</abilityName>
      <candidateList>
        <item>区委政法委</item>
      </candidateList>
      <explain>机关单位名称不规范，请注意审核。</explain>
      <paraID>4CAA0B37</paraID>
      <start>37</start>
      <end>42</end>
      <status>modified</status>
      <modifiedWord>区委政法委</modifiedWord>
      <trackRevisions>false</trackRevisions>
    </reviewItem>
    <reviewItem>
      <errorID>9f81c470-335b-4b2a-8a87-65dc086927b8</errorID>
      <errorWord>省政法委</errorWord>
      <group>L1_Word</group>
      <groupName>字词问题</groupName>
      <ability>L2_Typo</ability>
      <abilityName>字词错误</abilityName>
      <candidateList>
        <item>省委政法委</item>
      </candidateList>
      <explain>机关单位名称不规范，请注意审核。</explain>
      <paraID>327D1852</paraID>
      <start>2</start>
      <end>7</end>
      <status>modified</status>
      <modifiedWord>省委政法委</modifiedWord>
      <trackRevisions>false</trackRevisions>
    </reviewItem>
    <reviewItem>
      <errorID>c896bf63-a608-4d68-85a1-db340e2560c3</errorID>
      <errorWord>湖北省随县乡村振兴局</errorWord>
      <group>L1_Knowledge</group>
      <groupName>知识性问题</groupName>
      <ability>L2_Organization</ability>
      <abilityName>机构检查</abilityName>
      <candidateList>
        <item>湖北省乡村振兴局</item>
      </candidateList>
      <explain>机关单位全简称表述错误</explain>
      <paraID> D50C5B7</paraID>
      <start>0</start>
      <end>10</end>
      <status>unmodified</status>
      <modifiedWord/>
      <trackRevisions>false</trackRevisions>
    </reviewItem>
    <reviewItem>
      <errorID>0030fec3-dd4b-4101-9b7a-f388e98fe258</errorID>
      <errorWord>省政法委</errorWord>
      <group>L1_Word</group>
      <groupName>字词问题</groupName>
      <ability>L2_Typo</ability>
      <abilityName>字词错误</abilityName>
      <candidateList>
        <item>省委政法委</item>
      </candidateList>
      <explain>机关单位名称不规范，请注意审核。</explain>
      <paraID>19F7D7EF</paraID>
      <start>2</start>
      <end>7</end>
      <status>modified</status>
      <modifiedWord>省委政法委</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aee293-a574-47bf-a483-ecd7a206c3bd}">
  <ds:schemaRefs/>
</ds:datastoreItem>
</file>

<file path=customXml/itemProps3.xml><?xml version="1.0" encoding="utf-8"?>
<ds:datastoreItem xmlns:ds="http://schemas.openxmlformats.org/officeDocument/2006/customXml" ds:itemID="{337986D4-36CC-4FC3-85D1-692908052E21}">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11483</Words>
  <Characters>12142</Characters>
  <Lines>1147</Lines>
  <Paragraphs>323</Paragraphs>
  <TotalTime>78</TotalTime>
  <ScaleCrop>false</ScaleCrop>
  <LinksUpToDate>false</LinksUpToDate>
  <CharactersWithSpaces>12406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2025-07-23T06:23:00Z</dcterms:created>
  <dc:creator>Z GX</dc:creator>
  <cp:lastModifiedBy>Rocy</cp:lastModifiedBy>
  <cp:lastPrinted>2021-07-23T02:22:00Z</cp:lastPrinted>
  <dcterms:modified xsi:type="dcterms:W3CDTF">2026-05-25T02:41:45Z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3fdf0-05a2-4411-bba7-a0945bfb4a0a_Enabled">
    <vt:lpwstr>true</vt:lpwstr>
  </property>
  <property fmtid="{D5CDD505-2E9C-101B-9397-08002B2CF9AE}" pid="3" name="MSIP_Label_48e3fdf0-05a2-4411-bba7-a0945bfb4a0a_SetDate">
    <vt:lpwstr>2023-04-05T03:07:36Z</vt:lpwstr>
  </property>
  <property fmtid="{D5CDD505-2E9C-101B-9397-08002B2CF9AE}" pid="4" name="MSIP_Label_48e3fdf0-05a2-4411-bba7-a0945bfb4a0a_Method">
    <vt:lpwstr>Privileged</vt:lpwstr>
  </property>
  <property fmtid="{D5CDD505-2E9C-101B-9397-08002B2CF9AE}" pid="5" name="MSIP_Label_48e3fdf0-05a2-4411-bba7-a0945bfb4a0a_Name">
    <vt:lpwstr>Label Only - Official Use</vt:lpwstr>
  </property>
  <property fmtid="{D5CDD505-2E9C-101B-9397-08002B2CF9AE}" pid="6" name="MSIP_Label_48e3fdf0-05a2-4411-bba7-a0945bfb4a0a_SiteId">
    <vt:lpwstr>31a2fec0-266b-4c67-b56e-2796d8f59c36</vt:lpwstr>
  </property>
  <property fmtid="{D5CDD505-2E9C-101B-9397-08002B2CF9AE}" pid="7" name="MSIP_Label_48e3fdf0-05a2-4411-bba7-a0945bfb4a0a_ActionId">
    <vt:lpwstr>c87cba91-946a-48b0-b3e6-a4dd60e4d52d</vt:lpwstr>
  </property>
  <property fmtid="{D5CDD505-2E9C-101B-9397-08002B2CF9AE}" pid="8" name="MSIP_Label_48e3fdf0-05a2-4411-bba7-a0945bfb4a0a_ContentBits">
    <vt:lpwstr>2</vt:lpwstr>
  </property>
  <property fmtid="{D5CDD505-2E9C-101B-9397-08002B2CF9AE}" pid="9" name="KSOTemplateDocerSaveRecord">
    <vt:lpwstr>eyJoZGlkIjoiYjY3ZGExZjYwMTI4YmMyMDhjZTQxZmYxZDI0ZTcyMmYiLCJ1c2VySWQiOiIzNzEwMTY1OTEifQ==</vt:lpwstr>
  </property>
  <property fmtid="{D5CDD505-2E9C-101B-9397-08002B2CF9AE}" pid="10" name="KSOProductBuildVer">
    <vt:lpwstr>2052-12.1.0.26375</vt:lpwstr>
  </property>
  <property fmtid="{D5CDD505-2E9C-101B-9397-08002B2CF9AE}" pid="11" name="ICV">
    <vt:lpwstr>BFFF883FFA2D4318961352FE3B92E62D_13</vt:lpwstr>
  </property>
</Properties>
</file>