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ind w:firstLine="0" w:firstLineChars="0"/>
        <w:rPr>
          <w:rFonts w:cs="Times New Roman"/>
        </w:rPr>
      </w:pPr>
      <w:r>
        <w:rPr>
          <w:rFonts w:cs="Times New Roman"/>
        </w:rPr>
        <w:t>附件1</w:t>
      </w:r>
    </w:p>
    <w:p>
      <w:pPr>
        <w:pStyle w:val="2"/>
        <w:spacing w:before="289" w:beforeLines="50" w:after="289" w:afterLines="50" w:line="500" w:lineRule="exact"/>
        <w:rPr>
          <w:rFonts w:cs="Times New Roman"/>
          <w:sz w:val="36"/>
          <w:szCs w:val="36"/>
        </w:rPr>
      </w:pPr>
      <w:r>
        <w:rPr>
          <w:rFonts w:cs="Times New Roman"/>
          <w:sz w:val="36"/>
          <w:szCs w:val="36"/>
        </w:rPr>
        <w:t>湖南省农业农村厅2024年度随机抽查事项清单</w:t>
      </w:r>
    </w:p>
    <w:tbl>
      <w:tblPr>
        <w:tblStyle w:val="6"/>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8"/>
        <w:gridCol w:w="1566"/>
        <w:gridCol w:w="3069"/>
        <w:gridCol w:w="2522"/>
        <w:gridCol w:w="1604"/>
        <w:gridCol w:w="2410"/>
        <w:gridCol w:w="1134"/>
        <w:gridCol w:w="992"/>
        <w:gridCol w:w="11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8" w:hRule="atLeast"/>
          <w:tblHeader/>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序</w:t>
            </w:r>
          </w:p>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号</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抽查事项</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检查依据</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检查主体</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检查对象</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检查内容</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检查</w:t>
            </w:r>
          </w:p>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比例</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检查</w:t>
            </w:r>
          </w:p>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频次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检查</w:t>
            </w:r>
          </w:p>
          <w:p>
            <w:pPr>
              <w:spacing w:line="280" w:lineRule="exact"/>
              <w:ind w:firstLine="0" w:firstLineChars="0"/>
              <w:jc w:val="center"/>
              <w:textAlignment w:val="center"/>
              <w:rPr>
                <w:rFonts w:ascii="Times New Roman" w:hAnsi="Times New Roman" w:eastAsia="黑体" w:cs="Times New Roman"/>
                <w:kern w:val="0"/>
                <w:sz w:val="22"/>
                <w:szCs w:val="22"/>
              </w:rPr>
            </w:pPr>
            <w:r>
              <w:rPr>
                <w:rFonts w:ascii="Times New Roman" w:hAnsi="Times New Roman" w:eastAsia="黑体" w:cs="Times New Roman"/>
                <w:kern w:val="0"/>
                <w:sz w:val="22"/>
                <w:szCs w:val="22"/>
              </w:rPr>
              <w:t>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6"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农产品质检机构飞行检查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textAlignment w:val="center"/>
              <w:rPr>
                <w:rFonts w:ascii="Times New Roman" w:hAnsi="Times New Roman" w:eastAsia="宋体" w:cs="Times New Roman"/>
                <w:kern w:val="0"/>
                <w:sz w:val="22"/>
                <w:szCs w:val="22"/>
              </w:rPr>
            </w:pPr>
            <w:r>
              <w:rPr>
                <w:rFonts w:hint="eastAsia" w:ascii="Times New Roman" w:hAnsi="Times New Roman" w:eastAsia="宋体" w:cs="Times New Roman"/>
                <w:kern w:val="0"/>
                <w:sz w:val="22"/>
                <w:szCs w:val="22"/>
              </w:rPr>
              <w:t>1</w:t>
            </w:r>
            <w:r>
              <w:rPr>
                <w:rFonts w:ascii="Times New Roman" w:hAnsi="Times New Roman" w:eastAsia="宋体" w:cs="Times New Roman"/>
                <w:kern w:val="0"/>
                <w:sz w:val="22"/>
                <w:szCs w:val="22"/>
              </w:rPr>
              <w:t>.《农产品质量安全检测机构考核办法》</w:t>
            </w:r>
          </w:p>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2.《湖南省农产品质量安全检验检测机构考核实施细则》</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厅农产品质量安全监管处（联合省市场监管局认证处）</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获得“双认证”的农产品质检机构</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检测机构运行管理和</w:t>
            </w:r>
          </w:p>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质量控制</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4-10月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71"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农作物种子企业检查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《中华人民共和国种子法》第四十六条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厅种业管理处、省种子管理服务站（省市场监管局信用处配合）</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省级发证企业</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登记事项、公示信息</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12月底前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9"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生产基地检查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《中华人民共和国种子法》第四十六条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厅种业管理处（省种子管理服务站）</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种子生产经营企业</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农作物种子质量</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7-8月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1"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4</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种畜禽质量安全监督抽查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《中华人民共和国畜牧法》第七十三条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厅种业管理处（省畜牧水产事务中心）</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种畜禽生产经营企业（350家）</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种畜禽生产经营情况</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3-9月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06"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对兽药生产、经营活动的行政检查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《兽药管理条例》</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厅畜牧兽医处（省畜牧水产事务中心质量安全与兽药部）</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企业</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兽药生产、经营行为，是否符合兽药GMP、GSP相关要求</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11月底前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28"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6</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对饲料、饲料添加剂生产企业、饲料经营门店和养殖场自配料点的质量安全监督抽查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《饲料和饲料添加剂管理条例》第三十二条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厅畜牧兽医处（省饲料工业办公室）</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饲料和饲料添加剂生产企业、饲料经营门店、养殖场自配料点</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1、安全生产、许可条件、原料使用、生产过程产品质量、标签标识等是否有违法违规行为等；                2、饲料经营门店、养殖场自配料点只抽样。</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饲料和饲料添加剂生产企业总数的25%，适当覆盖一定数量的饲料经营门店和自配料点。</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3-9月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1"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7</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省级肥料登记产品质量抽查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w:t>
            </w:r>
            <w:r>
              <w:rPr>
                <w:rFonts w:hint="eastAsia" w:eastAsia="宋体" w:cs="Times New Roman"/>
                <w:kern w:val="0"/>
                <w:sz w:val="22"/>
                <w:szCs w:val="22"/>
                <w:lang w:eastAsia="zh-CN"/>
              </w:rPr>
              <w:t>中华人民共和国</w:t>
            </w:r>
            <w:r>
              <w:rPr>
                <w:rFonts w:ascii="Times New Roman" w:hAnsi="Times New Roman" w:eastAsia="宋体" w:cs="Times New Roman"/>
                <w:kern w:val="0"/>
                <w:sz w:val="22"/>
                <w:szCs w:val="22"/>
              </w:rPr>
              <w:t>农产品质量安全法》第三十四条、《肥料登记管理办法》第二十四条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厅种植业管理处（省土壤肥料工作站）</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省内肥料生产企业</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抽查肥料产品、检查肥料标识标签</w:t>
            </w:r>
          </w:p>
          <w:p>
            <w:pPr>
              <w:spacing w:line="280" w:lineRule="exact"/>
              <w:ind w:firstLine="0" w:firstLineChars="0"/>
              <w:jc w:val="center"/>
              <w:textAlignment w:val="center"/>
              <w:rPr>
                <w:rFonts w:ascii="Times New Roman" w:hAnsi="Times New Roman" w:eastAsia="宋体" w:cs="Times New Roman"/>
                <w:kern w:val="0"/>
                <w:sz w:val="22"/>
                <w:szCs w:val="22"/>
              </w:rPr>
            </w:pP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10%以上的省级登记肥料生产企业</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3-6月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29"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8</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对调运农业植物及其产品的行政检查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《植物检疫条例》第十条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厅种植业管理处（省植保植检站）</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2024年度办理了植物检疫证书核发事项的机关、事业单位、社会组织、个人</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实地查看是否有检疫性有害生物发生，检查产地、调运相关文书是否齐全、规范。</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15%</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10-11月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03"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9</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对国（境）外引进农业种子、苗木的检疫检查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《植物检疫条例》第十二条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厅种植业管理处（省植保植检站）</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2024年度办理了国外引种检疫检查事项的机关、事业单位、社会组织</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实地查看是否有检疫性有害生物发生，检查引种相关文书是否齐全、规范。</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10-11月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6"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10</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对高标准农田建设项目评价与验收抽查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highlight w:val="yellow"/>
              </w:rPr>
            </w:pPr>
            <w:r>
              <w:rPr>
                <w:rFonts w:ascii="Times New Roman" w:hAnsi="Times New Roman" w:eastAsia="宋体" w:cs="Times New Roman"/>
                <w:kern w:val="0"/>
                <w:sz w:val="22"/>
                <w:szCs w:val="22"/>
              </w:rPr>
              <w:t>1.《农田建设项目管理办法》第二十五、二十六条</w:t>
            </w:r>
            <w:r>
              <w:rPr>
                <w:rFonts w:ascii="Times New Roman" w:hAnsi="Times New Roman" w:eastAsia="宋体" w:cs="Times New Roman"/>
                <w:kern w:val="0"/>
                <w:sz w:val="22"/>
                <w:szCs w:val="22"/>
              </w:rPr>
              <w:br w:type="textWrapping"/>
            </w:r>
            <w:r>
              <w:rPr>
                <w:rFonts w:ascii="Times New Roman" w:hAnsi="Times New Roman" w:eastAsia="宋体" w:cs="Times New Roman"/>
                <w:spacing w:val="-4"/>
                <w:kern w:val="0"/>
                <w:sz w:val="22"/>
                <w:szCs w:val="22"/>
              </w:rPr>
              <w:t>2.《湖南省农田建设项目管理实施办法》第六十四、六十七条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厅农田建设与农垦处</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各市州、有关县市区农业农村局</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高标准农田建设工作及任务完成情况</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县市区抽查比例不高于20%。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2-12月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4"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11</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对有关场所、人员的外来物种的监管</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《湖南省外来物种管理条例》第二十八条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厅农业资源保护与利用处</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花卉、宠物经营主体，外来物种引入机构</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进入生产经营场所或者其他有关场所进行检查，询问被检查对象，要求其提供与外来物种有关的证明材料或者其他资料；查阅或者复制与外来物种有关的档案、账册等资料</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5-7月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79"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12</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对经营利用国家二级保护野生植物（农业类）活动的行政检查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《农业野生植物保护办法》</w:t>
            </w:r>
          </w:p>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第十九条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厅农业资源保护与利用处</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花卉、宠物经营主体，外来物种引入机构</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查看出售、收购国家二级保护野生植物的资质，审批管理情况</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5-7月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1"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13</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对农业转基因生物加工审批的检查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《农业转基因生物安全管理条例》第二十一、二十二条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厅科技教育处</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年内开展农业转基因生物加工的单位</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农业转基因生物加工的安全控制措施、制度建设及档案管理情况等</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100%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w:t>
            </w:r>
            <w:bookmarkStart w:id="0" w:name="_GoBack"/>
            <w:bookmarkEnd w:id="0"/>
            <w:r>
              <w:rPr>
                <w:rFonts w:ascii="Times New Roman" w:hAnsi="Times New Roman" w:eastAsia="宋体" w:cs="Times New Roman"/>
                <w:kern w:val="0"/>
                <w:sz w:val="22"/>
                <w:szCs w:val="22"/>
              </w:rPr>
              <w:t>2次/年</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3-12月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05"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14</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对中外合作、合资或者外方独资在中国境内从事农业转基因生物研究与试验审批的检查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《农业转基因生物安全管理条例》第十八条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厅科技教育处</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年内开展农业转基因生物研究试验的单位</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农业转基因生物研究试验的安全控制措施、制度建设及档案管理情况等</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100%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1-2次/年</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3-12月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7"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15</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对农药生产、经营、使用主体及农药产品质量的行政检查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《农药管理条例》第四</w:t>
            </w:r>
          </w:p>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十一条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厅种植业管理处（农药管理处）（省农药检定所）</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农药生产企业、农药经营单位及农药使用大户</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主体行为检查、产品质量及标签检查</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生产企业25%，限制使用农药经营单位10%，使用大户5%</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3-9月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6"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16</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对农药登记试验单位的行政检查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《农药管理条例》第五十一条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厅种植业管理处（农药管理处）（省农药检定所）</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农药登记试验单位</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主体行为检查</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35%</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3-9月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5"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17</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绿色食品标志颁证后跟踪检查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农业农村部《绿色食品标志管理办法》第24条、第25条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厅农产品质量安全监管处（绿色食品办公室）</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2023年底以前获得认证的绿色食品有效证书持有人</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产地环境、生产过程控制（投入品使用管理）、质量管理、包装标识、标志使用与产品质量。</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10%（160个证书持有人）</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5-11月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7"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18</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重点产品监督抽查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《中华人民共和国农产品质量安全法》第四十七条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厅农产品质量安全监管处</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重点产品生产经营主体</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重点产品农产品质量安全</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100批次</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3-10月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75"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19</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对水生野生动物及其制品利用活动的监督检查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《中华人民共和国水生野生动物利用特许办法》第七条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厅渔业渔政管理处（省畜牧水产事务中心）</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申请水生野生动物及其产品利用特许的单位和个人</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水生野生动物及其制品利用活动的监督检查</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经营单位10%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12月前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1"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20</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对水产苗种生产的检查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《中华人民共和国渔业法》第四十四条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厅渔业渔政管理处（省畜牧水产事务中心）</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事业单位、企业、社会组织、个人</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对水产苗种生产的监管〔水产原 （良）种场〕</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5%</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12月前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83"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21</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对水域滩涂养殖证的检查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《中华人民共和国渔业法》</w:t>
            </w:r>
          </w:p>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第四十条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厅渔业渔政管理处（省畜牧水产事务中心）</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事业单位、企业、社会组织、个人</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水域滩涂养殖证</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0.5%</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12月前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27"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22</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通过农业机械试验鉴定的产品及证书监督检查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《农业机械试验鉴定办法》</w:t>
            </w:r>
          </w:p>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第二十二条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厅农业机械化管理处（省农机事务中心）</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持有2022年湖南省农业机械试验鉴定证书的生产企业的产品</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通过农业机械试验鉴定的产品及证书监督检查</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40%</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2-11月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83"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23</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对拖拉机和联合收割机安全监督检查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《农业机械安全监督管理条例》第四十条</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厅农业机械化管理处（省农机事务中心）</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拖拉机和联合收割机</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拖拉机和联合收割机牌证管理情况</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全年不少于10个县市区，每个县市区不少于10台</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3-9月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2" w:hRule="atLeast"/>
          <w:jc w:val="center"/>
        </w:trPr>
        <w:tc>
          <w:tcPr>
            <w:tcW w:w="708" w:type="dxa"/>
            <w:tcBorders>
              <w:top w:val="single" w:color="000000" w:sz="4" w:space="0"/>
              <w:left w:val="single" w:color="000000" w:sz="4" w:space="0"/>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24</w:t>
            </w:r>
          </w:p>
        </w:tc>
        <w:tc>
          <w:tcPr>
            <w:tcW w:w="1566"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农业工程建设项目工程招投标抽查</w:t>
            </w:r>
          </w:p>
        </w:tc>
        <w:tc>
          <w:tcPr>
            <w:tcW w:w="3069"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国家发改委等部门关于严格执行招标投标法规制度进一步规范招标投标主体行为的若干意见（发改法规规〔2022〕1117号）</w:t>
            </w:r>
          </w:p>
        </w:tc>
        <w:tc>
          <w:tcPr>
            <w:tcW w:w="252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厅农村社会事业促进处</w:t>
            </w:r>
          </w:p>
        </w:tc>
        <w:tc>
          <w:tcPr>
            <w:tcW w:w="160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2023-2024年农业工程建设项目</w:t>
            </w:r>
          </w:p>
        </w:tc>
        <w:tc>
          <w:tcPr>
            <w:tcW w:w="2410"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农业工程建设项目工程招投标文件备案、评标及标后履约情况</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w:t>
            </w:r>
          </w:p>
        </w:tc>
        <w:tc>
          <w:tcPr>
            <w:tcW w:w="992"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1次</w:t>
            </w:r>
          </w:p>
        </w:tc>
        <w:tc>
          <w:tcPr>
            <w:tcW w:w="1134" w:type="dxa"/>
            <w:tcBorders>
              <w:top w:val="single" w:color="000000" w:sz="4" w:space="0"/>
              <w:left w:val="nil"/>
              <w:bottom w:val="single" w:color="000000" w:sz="4" w:space="0"/>
              <w:right w:val="single" w:color="000000" w:sz="4" w:space="0"/>
            </w:tcBorders>
            <w:noWrap w:val="0"/>
            <w:vAlign w:val="center"/>
          </w:tcPr>
          <w:p>
            <w:pPr>
              <w:spacing w:line="280" w:lineRule="exact"/>
              <w:ind w:firstLine="0" w:firstLineChars="0"/>
              <w:jc w:val="center"/>
              <w:textAlignment w:val="center"/>
              <w:rPr>
                <w:rFonts w:ascii="Times New Roman" w:hAnsi="Times New Roman" w:eastAsia="宋体" w:cs="Times New Roman"/>
                <w:kern w:val="0"/>
                <w:sz w:val="22"/>
                <w:szCs w:val="22"/>
              </w:rPr>
            </w:pPr>
            <w:r>
              <w:rPr>
                <w:rFonts w:ascii="Times New Roman" w:hAnsi="Times New Roman" w:eastAsia="宋体" w:cs="Times New Roman"/>
                <w:kern w:val="0"/>
                <w:sz w:val="22"/>
                <w:szCs w:val="22"/>
              </w:rPr>
              <w:t>全年</w:t>
            </w:r>
          </w:p>
        </w:tc>
      </w:tr>
    </w:tbl>
    <w:p>
      <w:pPr>
        <w:widowControl/>
        <w:adjustRightInd/>
        <w:snapToGrid/>
        <w:spacing w:line="240" w:lineRule="auto"/>
        <w:ind w:firstLine="0" w:firstLineChars="0"/>
        <w:jc w:val="left"/>
        <w:sectPr>
          <w:pgSz w:w="16838" w:h="11906" w:orient="landscape"/>
          <w:pgMar w:top="1531" w:right="1531" w:bottom="1531" w:left="1531" w:header="851" w:footer="1134" w:gutter="0"/>
          <w:cols w:space="720" w:num="1"/>
          <w:titlePg/>
          <w:docGrid w:type="lines" w:linePitch="579" w:charSpace="0"/>
        </w:sectPr>
      </w:pPr>
    </w:p>
    <w:p>
      <w:pPr>
        <w:pStyle w:val="3"/>
        <w:ind w:firstLine="0" w:firstLineChars="0"/>
        <w:rPr>
          <w:rFonts w:cs="Times New Roman"/>
        </w:rPr>
      </w:pPr>
      <w:r>
        <w:rPr>
          <w:rFonts w:cs="Times New Roman"/>
        </w:rPr>
        <w:t>附件2</w:t>
      </w:r>
    </w:p>
    <w:p>
      <w:pPr>
        <w:ind w:firstLine="632"/>
        <w:rPr>
          <w:rFonts w:ascii="Times New Roman" w:hAnsi="Times New Roman" w:cs="Times New Roman"/>
        </w:rPr>
      </w:pPr>
      <w:r>
        <w:rPr>
          <w:rFonts w:ascii="Times New Roman" w:hAnsi="Times New Roman" w:cs="Times New Roman"/>
        </w:rPr>
        <w:t xml:space="preserve"> </w:t>
      </w:r>
    </w:p>
    <w:p>
      <w:pPr>
        <w:pStyle w:val="2"/>
        <w:rPr>
          <w:rFonts w:cs="Times New Roman"/>
        </w:rPr>
      </w:pPr>
      <w:r>
        <w:rPr>
          <w:rFonts w:cs="Times New Roman"/>
        </w:rPr>
        <w:t>湖南省农业农村厅2024年“双随机、一公开”</w:t>
      </w:r>
    </w:p>
    <w:p>
      <w:pPr>
        <w:pStyle w:val="2"/>
        <w:rPr>
          <w:rFonts w:cs="Times New Roman"/>
        </w:rPr>
      </w:pPr>
      <w:r>
        <w:rPr>
          <w:rFonts w:cs="Times New Roman"/>
        </w:rPr>
        <w:t>行政检查通知书</w:t>
      </w:r>
    </w:p>
    <w:p>
      <w:pPr>
        <w:ind w:firstLine="632"/>
        <w:rPr>
          <w:rFonts w:ascii="Times New Roman" w:hAnsi="Times New Roman" w:cs="Times New Roman"/>
        </w:rPr>
      </w:pPr>
      <w:r>
        <w:rPr>
          <w:rFonts w:ascii="Times New Roman" w:hAnsi="Times New Roman" w:cs="Times New Roman"/>
        </w:rPr>
        <w:t xml:space="preserve"> </w:t>
      </w:r>
    </w:p>
    <w:p>
      <w:pPr>
        <w:ind w:firstLine="0" w:firstLineChars="0"/>
        <w:jc w:val="left"/>
        <w:rPr>
          <w:rFonts w:ascii="Times New Roman" w:hAnsi="Times New Roman" w:cs="Times New Roman"/>
          <w:color w:val="000000"/>
        </w:rPr>
      </w:pPr>
      <w:r>
        <w:rPr>
          <w:rFonts w:ascii="Times New Roman" w:hAnsi="Times New Roman" w:cs="Times New Roman"/>
          <w:color w:val="000000"/>
          <w:u w:val="single"/>
        </w:rPr>
        <w:t xml:space="preserve">（被检查对象名称）  </w:t>
      </w:r>
      <w:r>
        <w:rPr>
          <w:rFonts w:ascii="Times New Roman" w:hAnsi="Times New Roman" w:cs="Times New Roman"/>
          <w:color w:val="000000"/>
        </w:rPr>
        <w:t>：</w:t>
      </w:r>
    </w:p>
    <w:p>
      <w:pPr>
        <w:ind w:firstLine="640" w:firstLineChars="0"/>
        <w:rPr>
          <w:rFonts w:ascii="Times New Roman" w:hAnsi="Times New Roman" w:cs="Times New Roman"/>
          <w:color w:val="000000"/>
        </w:rPr>
      </w:pPr>
      <w:r>
        <w:rPr>
          <w:rFonts w:ascii="Times New Roman" w:hAnsi="Times New Roman" w:cs="Times New Roman"/>
          <w:color w:val="000000"/>
        </w:rPr>
        <w:t>根据《湖南省农业农村厅办公室关于印发2024年</w:t>
      </w:r>
      <w:r>
        <w:rPr>
          <w:rFonts w:ascii="Times New Roman" w:hAnsi="Times New Roman" w:cs="Times New Roman"/>
        </w:rPr>
        <w:t>“</w:t>
      </w:r>
      <w:r>
        <w:rPr>
          <w:rFonts w:ascii="Times New Roman" w:hAnsi="Times New Roman" w:cs="Times New Roman"/>
          <w:color w:val="000000"/>
        </w:rPr>
        <w:t>双随机、一公开”行政检查计划的通知》（湘农办函〔2024〕  号）要求，你单位被随机抽取为</w:t>
      </w:r>
      <w:r>
        <w:rPr>
          <w:rFonts w:ascii="Times New Roman" w:hAnsi="Times New Roman" w:cs="Times New Roman"/>
          <w:color w:val="000000"/>
          <w:u w:val="single"/>
        </w:rPr>
        <w:tab/>
      </w:r>
      <w:r>
        <w:rPr>
          <w:rFonts w:ascii="Times New Roman" w:hAnsi="Times New Roman" w:cs="Times New Roman"/>
          <w:color w:val="000000"/>
          <w:u w:val="single"/>
        </w:rPr>
        <w:t xml:space="preserve">  </w:t>
      </w:r>
      <w:r>
        <w:rPr>
          <w:rFonts w:ascii="Times New Roman" w:hAnsi="Times New Roman" w:cs="Times New Roman"/>
          <w:color w:val="000000"/>
        </w:rPr>
        <w:t>检查事项的检查对象，我单位定于2024年</w:t>
      </w:r>
      <w:r>
        <w:rPr>
          <w:rFonts w:ascii="Times New Roman" w:hAnsi="Times New Roman" w:cs="Times New Roman"/>
          <w:color w:val="000000"/>
          <w:u w:val="single"/>
        </w:rPr>
        <w:t xml:space="preserve">     </w:t>
      </w:r>
      <w:r>
        <w:rPr>
          <w:rFonts w:ascii="Times New Roman" w:hAnsi="Times New Roman" w:cs="Times New Roman"/>
          <w:color w:val="000000"/>
        </w:rPr>
        <w:t>月</w:t>
      </w:r>
      <w:r>
        <w:rPr>
          <w:rFonts w:ascii="Times New Roman" w:hAnsi="Times New Roman" w:cs="Times New Roman"/>
          <w:color w:val="000000"/>
          <w:u w:val="single"/>
        </w:rPr>
        <w:t xml:space="preserve">     </w:t>
      </w:r>
      <w:r>
        <w:rPr>
          <w:rFonts w:ascii="Times New Roman" w:hAnsi="Times New Roman" w:cs="Times New Roman"/>
          <w:color w:val="000000"/>
        </w:rPr>
        <w:t>日对你单位开展检查，请接洽并予以配合，现将有关事项通知如下。</w:t>
      </w:r>
    </w:p>
    <w:p>
      <w:pPr>
        <w:pStyle w:val="3"/>
        <w:ind w:firstLine="632"/>
        <w:rPr>
          <w:rFonts w:cs="Times New Roman"/>
        </w:rPr>
      </w:pPr>
      <w:r>
        <w:rPr>
          <w:rFonts w:cs="Times New Roman"/>
        </w:rPr>
        <w:t>一、检查人员及执法证号</w:t>
      </w:r>
    </w:p>
    <w:p>
      <w:pPr>
        <w:ind w:firstLine="632"/>
        <w:rPr>
          <w:rFonts w:ascii="Times New Roman" w:hAnsi="Times New Roman" w:cs="Times New Roman"/>
        </w:rPr>
      </w:pPr>
      <w:r>
        <w:rPr>
          <w:rFonts w:ascii="Times New Roman" w:hAnsi="Times New Roman" w:cs="Times New Roman"/>
        </w:rPr>
        <w:t>检查人员姓名：</w:t>
      </w:r>
      <w:r>
        <w:rPr>
          <w:rFonts w:ascii="Times New Roman" w:hAnsi="Times New Roman" w:cs="Times New Roman"/>
          <w:u w:val="single"/>
        </w:rPr>
        <w:tab/>
      </w:r>
      <w:r>
        <w:rPr>
          <w:rFonts w:ascii="Times New Roman" w:hAnsi="Times New Roman" w:cs="Times New Roman"/>
          <w:u w:val="single"/>
        </w:rPr>
        <w:t xml:space="preserve">             </w:t>
      </w:r>
      <w:r>
        <w:rPr>
          <w:rFonts w:ascii="Times New Roman" w:hAnsi="Times New Roman" w:cs="Times New Roman"/>
        </w:rPr>
        <w:t>执法证号：</w:t>
      </w:r>
      <w:r>
        <w:rPr>
          <w:rFonts w:ascii="Times New Roman" w:hAnsi="Times New Roman" w:cs="Times New Roman"/>
          <w:u w:val="single"/>
        </w:rPr>
        <w:t xml:space="preserve">              </w:t>
      </w:r>
    </w:p>
    <w:p>
      <w:pPr>
        <w:ind w:firstLine="632"/>
        <w:rPr>
          <w:rFonts w:ascii="Times New Roman" w:hAnsi="Times New Roman" w:cs="Times New Roman"/>
        </w:rPr>
      </w:pPr>
      <w:r>
        <w:rPr>
          <w:rFonts w:ascii="Times New Roman" w:hAnsi="Times New Roman" w:cs="Times New Roman"/>
        </w:rPr>
        <w:t>检查人员姓名：</w:t>
      </w:r>
      <w:r>
        <w:rPr>
          <w:rFonts w:ascii="Times New Roman" w:hAnsi="Times New Roman" w:cs="Times New Roman"/>
          <w:u w:val="single"/>
        </w:rPr>
        <w:tab/>
      </w:r>
      <w:r>
        <w:rPr>
          <w:rFonts w:ascii="Times New Roman" w:hAnsi="Times New Roman" w:cs="Times New Roman"/>
          <w:u w:val="single"/>
        </w:rPr>
        <w:t xml:space="preserve">             </w:t>
      </w:r>
      <w:r>
        <w:rPr>
          <w:rFonts w:ascii="Times New Roman" w:hAnsi="Times New Roman" w:cs="Times New Roman"/>
        </w:rPr>
        <w:t>执法证号：</w:t>
      </w:r>
      <w:r>
        <w:rPr>
          <w:rFonts w:ascii="Times New Roman" w:hAnsi="Times New Roman" w:cs="Times New Roman"/>
          <w:u w:val="single"/>
        </w:rPr>
        <w:t xml:space="preserve">              </w:t>
      </w:r>
    </w:p>
    <w:p>
      <w:pPr>
        <w:pStyle w:val="3"/>
        <w:ind w:firstLine="632"/>
        <w:rPr>
          <w:rFonts w:cs="Times New Roman"/>
        </w:rPr>
      </w:pPr>
      <w:r>
        <w:rPr>
          <w:rFonts w:cs="Times New Roman"/>
        </w:rPr>
        <w:t>二、检查内容</w:t>
      </w:r>
    </w:p>
    <w:p>
      <w:pPr>
        <w:ind w:firstLine="632"/>
        <w:rPr>
          <w:rFonts w:ascii="Times New Roman" w:hAnsi="Times New Roman" w:cs="Times New Roman"/>
        </w:rPr>
      </w:pPr>
      <w:r>
        <w:rPr>
          <w:rFonts w:ascii="Times New Roman" w:hAnsi="Times New Roman" w:cs="Times New Roman"/>
        </w:rPr>
        <w:t>与随机抽查事项清单中的检查内容一致。</w:t>
      </w:r>
    </w:p>
    <w:p>
      <w:pPr>
        <w:ind w:firstLine="620" w:firstLineChars="0"/>
        <w:rPr>
          <w:rFonts w:ascii="Times New Roman" w:hAnsi="Times New Roman" w:cs="Times New Roman"/>
          <w:color w:val="000000"/>
        </w:rPr>
      </w:pPr>
      <w:r>
        <w:rPr>
          <w:rFonts w:ascii="Times New Roman" w:hAnsi="Times New Roman" w:cs="Times New Roman"/>
          <w:color w:val="000000"/>
        </w:rPr>
        <w:t xml:space="preserve"> </w:t>
      </w:r>
    </w:p>
    <w:p>
      <w:pPr>
        <w:ind w:firstLine="620" w:firstLineChars="0"/>
        <w:rPr>
          <w:rFonts w:ascii="Times New Roman" w:hAnsi="Times New Roman" w:cs="Times New Roman"/>
          <w:color w:val="000000"/>
        </w:rPr>
      </w:pPr>
      <w:r>
        <w:rPr>
          <w:rFonts w:ascii="Times New Roman" w:hAnsi="Times New Roman" w:cs="Times New Roman"/>
          <w:color w:val="000000"/>
        </w:rPr>
        <w:t xml:space="preserve"> </w:t>
      </w:r>
    </w:p>
    <w:p>
      <w:pPr>
        <w:ind w:firstLine="5340" w:firstLineChars="1500"/>
        <w:rPr>
          <w:rFonts w:ascii="Times New Roman" w:hAnsi="Times New Roman" w:cs="Times New Roman"/>
          <w:color w:val="000000"/>
          <w:spacing w:val="20"/>
        </w:rPr>
      </w:pPr>
      <w:r>
        <w:rPr>
          <w:rFonts w:ascii="Times New Roman" w:hAnsi="Times New Roman" w:cs="Times New Roman"/>
          <w:color w:val="000000"/>
          <w:spacing w:val="20"/>
        </w:rPr>
        <w:t>湖南省农业农村厅</w:t>
      </w:r>
    </w:p>
    <w:p>
      <w:pPr>
        <w:ind w:firstLine="6320" w:firstLineChars="2000"/>
        <w:rPr>
          <w:rFonts w:ascii="Times New Roman" w:hAnsi="Times New Roman" w:cs="Times New Roman"/>
        </w:rPr>
      </w:pPr>
      <w:r>
        <w:rPr>
          <w:rFonts w:ascii="Times New Roman" w:hAnsi="Times New Roman" w:cs="Times New Roman"/>
          <w:color w:val="000000"/>
        </w:rPr>
        <w:t>年  月  日</w:t>
      </w:r>
    </w:p>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5" w:left="1588" w:header="851" w:footer="1588" w:gutter="0"/>
      <w:cols w:space="720" w:num="1"/>
      <w:docGrid w:type="linesAndChars" w:linePitch="579" w:charSpace="-8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panose1 w:val="02000000000000000000"/>
    <w:charset w:val="86"/>
    <w:family w:val="script"/>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0" w:firstLineChars="0"/>
      <w:rPr>
        <w:rFonts w:ascii="Times New Roman" w:hAnsi="Times New Roman" w:cs="Times New Roman"/>
      </w:rPr>
    </w:pPr>
    <w:r>
      <w:rPr>
        <w:rStyle w:val="8"/>
        <w:rFonts w:hint="eastAsia" w:ascii="Times New Roman" w:hAnsi="Times New Roman" w:cs="Times New Roman"/>
        <w:sz w:val="28"/>
        <w:szCs w:val="28"/>
      </w:rPr>
      <w:t>—</w:t>
    </w:r>
    <w:r>
      <w:rPr>
        <w:rFonts w:ascii="Times New Roman" w:hAnsi="Times New Roman" w:cs="Times New Roman"/>
        <w:sz w:val="28"/>
        <w:szCs w:val="28"/>
      </w:rPr>
      <w:fldChar w:fldCharType="begin"/>
    </w:r>
    <w:r>
      <w:rPr>
        <w:rStyle w:val="8"/>
        <w:rFonts w:ascii="Times New Roman" w:hAnsi="Times New Roman" w:cs="Times New Roman"/>
        <w:sz w:val="28"/>
        <w:szCs w:val="28"/>
      </w:rPr>
      <w:instrText xml:space="preserve">PAGE  </w:instrText>
    </w:r>
    <w:r>
      <w:rPr>
        <w:rFonts w:ascii="Times New Roman" w:hAnsi="Times New Roman" w:cs="Times New Roman"/>
        <w:sz w:val="28"/>
        <w:szCs w:val="28"/>
      </w:rPr>
      <w:fldChar w:fldCharType="separate"/>
    </w:r>
    <w:r>
      <w:rPr>
        <w:rStyle w:val="8"/>
        <w:rFonts w:ascii="Times New Roman" w:hAnsi="Times New Roman" w:cs="Times New Roman"/>
        <w:sz w:val="28"/>
        <w:szCs w:val="28"/>
      </w:rPr>
      <w:t>1</w:t>
    </w:r>
    <w:r>
      <w:rPr>
        <w:rFonts w:ascii="Times New Roman" w:hAnsi="Times New Roman" w:cs="Times New Roman"/>
        <w:sz w:val="28"/>
        <w:szCs w:val="28"/>
      </w:rPr>
      <w:fldChar w:fldCharType="end"/>
    </w:r>
    <w:r>
      <w:rPr>
        <w:rStyle w:val="8"/>
        <w:rFonts w:hint="eastAsia" w:ascii="Times New Roman" w:hAnsi="Times New Roman" w:cs="Times New Roman"/>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0" w:firstLineChars="0"/>
      <w:rPr>
        <w:rFonts w:ascii="Times New Roman" w:hAnsi="Times New Roman" w:cs="Times New Roman"/>
      </w:rPr>
    </w:pPr>
    <w:r>
      <w:rPr>
        <w:rStyle w:val="8"/>
        <w:rFonts w:hint="eastAsia" w:ascii="Times New Roman" w:hAnsi="Times New Roman" w:cs="Times New Roman"/>
        <w:sz w:val="28"/>
        <w:szCs w:val="28"/>
      </w:rPr>
      <w:t>—</w:t>
    </w:r>
    <w:r>
      <w:rPr>
        <w:rFonts w:ascii="Times New Roman" w:hAnsi="Times New Roman" w:cs="Times New Roman"/>
        <w:sz w:val="28"/>
        <w:szCs w:val="28"/>
      </w:rPr>
      <w:fldChar w:fldCharType="begin"/>
    </w:r>
    <w:r>
      <w:rPr>
        <w:rStyle w:val="8"/>
        <w:rFonts w:ascii="Times New Roman" w:hAnsi="Times New Roman" w:cs="Times New Roman"/>
        <w:sz w:val="28"/>
        <w:szCs w:val="28"/>
      </w:rPr>
      <w:instrText xml:space="preserve">PAGE  </w:instrText>
    </w:r>
    <w:r>
      <w:rPr>
        <w:rFonts w:ascii="Times New Roman" w:hAnsi="Times New Roman" w:cs="Times New Roman"/>
        <w:sz w:val="28"/>
        <w:szCs w:val="28"/>
      </w:rPr>
      <w:fldChar w:fldCharType="separate"/>
    </w:r>
    <w:r>
      <w:rPr>
        <w:rStyle w:val="8"/>
        <w:rFonts w:ascii="Times New Roman" w:hAnsi="Times New Roman" w:cs="Times New Roman"/>
        <w:sz w:val="28"/>
        <w:szCs w:val="28"/>
      </w:rPr>
      <w:t>10</w:t>
    </w:r>
    <w:r>
      <w:rPr>
        <w:rFonts w:ascii="Times New Roman" w:hAnsi="Times New Roman" w:cs="Times New Roman"/>
        <w:sz w:val="28"/>
        <w:szCs w:val="28"/>
      </w:rPr>
      <w:fldChar w:fldCharType="end"/>
    </w:r>
    <w:r>
      <w:rPr>
        <w:rStyle w:val="8"/>
        <w:rFonts w:hint="eastAsia" w:ascii="Times New Roman" w:hAnsi="Times New Roman" w:cs="Times New Roman"/>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ind w:firstLine="360"/>
      <w:rPr>
        <w:rFonts w:ascii="Times New Roman" w:hAnsi="Times New Roman"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ind w:firstLine="360"/>
      <w:rPr>
        <w:rFonts w:ascii="Times New Roman" w:hAnsi="Times New Roman" w:cs="Times New Roma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ind w:firstLine="360"/>
      <w:rPr>
        <w:rFonts w:ascii="Times New Roman" w:hAnsi="Times New Roman"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3ZGExZjYwMTI4YmMyMDhjZTQxZmYxZDI0ZTcyMmYifQ=="/>
  </w:docVars>
  <w:rsids>
    <w:rsidRoot w:val="35926580"/>
    <w:rsid w:val="359265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579" w:lineRule="atLeast"/>
      <w:ind w:firstLine="200" w:firstLineChars="200"/>
      <w:jc w:val="both"/>
    </w:pPr>
    <w:rPr>
      <w:rFonts w:ascii="Times New Roman" w:hAnsi="Times New Roman" w:eastAsia="仿宋_GB2312" w:cs="Times New Roman"/>
      <w:kern w:val="2"/>
      <w:sz w:val="32"/>
      <w:szCs w:val="24"/>
      <w:lang w:val="en-US" w:eastAsia="zh-CN" w:bidi="ar-SA"/>
    </w:rPr>
  </w:style>
  <w:style w:type="paragraph" w:styleId="2">
    <w:name w:val="heading 1"/>
    <w:next w:val="1"/>
    <w:qFormat/>
    <w:uiPriority w:val="0"/>
    <w:pPr>
      <w:widowControl w:val="0"/>
      <w:adjustRightInd w:val="0"/>
      <w:snapToGrid w:val="0"/>
      <w:spacing w:line="700" w:lineRule="exact"/>
      <w:ind w:firstLine="0" w:firstLineChars="0"/>
      <w:jc w:val="center"/>
      <w:outlineLvl w:val="0"/>
    </w:pPr>
    <w:rPr>
      <w:rFonts w:ascii="Times New Roman" w:hAnsi="Times New Roman" w:eastAsia="方正小标宋简体" w:cs="Times New Roman"/>
      <w:bCs/>
      <w:kern w:val="44"/>
      <w:sz w:val="44"/>
      <w:szCs w:val="44"/>
      <w:lang w:val="en-US" w:eastAsia="zh-CN" w:bidi="ar-SA"/>
    </w:rPr>
  </w:style>
  <w:style w:type="paragraph" w:styleId="3">
    <w:name w:val="heading 2"/>
    <w:next w:val="1"/>
    <w:qFormat/>
    <w:uiPriority w:val="0"/>
    <w:pPr>
      <w:widowControl w:val="0"/>
      <w:adjustRightInd w:val="0"/>
      <w:snapToGrid w:val="0"/>
      <w:spacing w:line="579" w:lineRule="atLeast"/>
      <w:ind w:firstLine="200" w:firstLineChars="200"/>
      <w:jc w:val="both"/>
      <w:outlineLvl w:val="1"/>
    </w:pPr>
    <w:rPr>
      <w:rFonts w:ascii="Times New Roman" w:hAnsi="Times New Roman" w:eastAsia="黑体" w:cs="Times New Roman"/>
      <w:bCs/>
      <w:kern w:val="2"/>
      <w:sz w:val="32"/>
      <w:szCs w:val="32"/>
      <w:lang w:val="en-US" w:eastAsia="zh-CN" w:bidi="ar-SA"/>
    </w:rPr>
  </w:style>
  <w:style w:type="character" w:default="1" w:styleId="7">
    <w:name w:val="Default Paragraph Font"/>
    <w:semiHidden/>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4">
    <w:name w:val="footer"/>
    <w:qFormat/>
    <w:uiPriority w:val="99"/>
    <w:pPr>
      <w:widowControl w:val="0"/>
      <w:tabs>
        <w:tab w:val="center" w:pos="4153"/>
        <w:tab w:val="right" w:pos="8306"/>
      </w:tabs>
      <w:adjustRightInd w:val="0"/>
      <w:snapToGrid w:val="0"/>
      <w:spacing w:line="240" w:lineRule="atLeast"/>
      <w:ind w:firstLine="200" w:firstLineChars="200"/>
      <w:jc w:val="left"/>
    </w:pPr>
    <w:rPr>
      <w:rFonts w:ascii="Times New Roman" w:hAnsi="Times New Roman" w:eastAsia="仿宋_GB2312" w:cs="Times New Roman"/>
      <w:kern w:val="2"/>
      <w:sz w:val="18"/>
      <w:szCs w:val="18"/>
      <w:lang w:val="en-US" w:eastAsia="zh-CN" w:bidi="ar-SA"/>
    </w:rPr>
  </w:style>
  <w:style w:type="paragraph" w:styleId="5">
    <w:name w:val="header"/>
    <w:uiPriority w:val="99"/>
    <w:pPr>
      <w:widowControl w:val="0"/>
      <w:pBdr>
        <w:bottom w:val="single" w:color="auto" w:sz="6" w:space="1"/>
      </w:pBdr>
      <w:tabs>
        <w:tab w:val="center" w:pos="4153"/>
        <w:tab w:val="right" w:pos="8306"/>
      </w:tabs>
      <w:adjustRightInd w:val="0"/>
      <w:snapToGrid w:val="0"/>
      <w:spacing w:line="240" w:lineRule="atLeast"/>
      <w:ind w:firstLine="200" w:firstLineChars="200"/>
      <w:jc w:val="center"/>
    </w:pPr>
    <w:rPr>
      <w:rFonts w:ascii="Times New Roman" w:hAnsi="Times New Roman" w:eastAsia="仿宋_GB2312" w:cs="Times New Roman"/>
      <w:kern w:val="2"/>
      <w:sz w:val="18"/>
      <w:szCs w:val="18"/>
      <w:lang w:val="en-US" w:eastAsia="zh-CN" w:bidi="ar-SA"/>
    </w:rPr>
  </w:style>
  <w:style w:type="character" w:styleId="8">
    <w:name w:val="page number"/>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2024-03-13T01:10:00Z</dcterms:created>
  <dc:creator>Rocy</dc:creator>
  <cp:lastModifiedBy>Rocy</cp:lastModifiedBy>
  <dcterms:modified xsi:type="dcterms:W3CDTF">2024-03-13T01:12:50Z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1F1EE5F734AE430DBCAC5DAEE3F30DF9_11</vt:lpwstr>
  </property>
</Properties>
</file>