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ind w:left="0" w:leftChars="0" w:firstLine="0" w:firstLineChars="0"/>
        <w:rPr>
          <w:rFonts w:hint="eastAsia"/>
        </w:rPr>
      </w:pPr>
    </w:p>
    <w:p>
      <w:pPr>
        <w:spacing w:line="500" w:lineRule="atLeast"/>
        <w:ind w:left="0" w:leftChars="0" w:firstLine="0" w:firstLineChars="0"/>
        <w:jc w:val="center"/>
        <w:rPr>
          <w:color w:val="000000"/>
          <w:szCs w:val="32"/>
        </w:rPr>
      </w:pPr>
      <w:r>
        <w:rPr>
          <w:color w:val="000000"/>
          <w:szCs w:val="32"/>
        </w:rPr>
        <w:t>湘农联〔20</w:t>
      </w:r>
      <w:r>
        <w:rPr>
          <w:rFonts w:hint="eastAsia"/>
          <w:color w:val="000000"/>
          <w:szCs w:val="32"/>
        </w:rPr>
        <w:t>22</w:t>
      </w:r>
      <w:r>
        <w:rPr>
          <w:color w:val="000000"/>
          <w:szCs w:val="32"/>
        </w:rPr>
        <w:t>〕</w:t>
      </w:r>
      <w:r>
        <w:rPr>
          <w:rFonts w:hint="eastAsia"/>
          <w:color w:val="000000"/>
          <w:szCs w:val="32"/>
        </w:rPr>
        <w:t>93</w:t>
      </w:r>
      <w:r>
        <w:rPr>
          <w:color w:val="000000"/>
          <w:szCs w:val="32"/>
        </w:rPr>
        <w:t>号</w:t>
      </w:r>
    </w:p>
    <w:p>
      <w:pPr>
        <w:spacing w:line="500" w:lineRule="atLeast"/>
        <w:ind w:left="0" w:leftChars="0" w:firstLine="0" w:firstLineChars="0"/>
        <w:jc w:val="center"/>
        <w:rPr>
          <w:color w:val="000000"/>
          <w:szCs w:val="32"/>
        </w:rPr>
      </w:pPr>
      <w:bookmarkStart w:id="0" w:name="_GoBack"/>
      <w:bookmarkEnd w:id="0"/>
    </w:p>
    <w:p>
      <w:pPr>
        <w:pStyle w:val="2"/>
        <w:rPr>
          <w:rFonts w:hint="eastAsia"/>
        </w:rPr>
      </w:pPr>
      <w:r>
        <w:rPr>
          <w:rFonts w:hint="eastAsia"/>
        </w:rPr>
        <w:t>关于建立省级农资打假联席会议</w:t>
      </w:r>
    </w:p>
    <w:p>
      <w:pPr>
        <w:pStyle w:val="2"/>
        <w:rPr>
          <w:rFonts w:hint="eastAsia"/>
        </w:rPr>
      </w:pPr>
      <w:r>
        <w:rPr>
          <w:rFonts w:hint="eastAsia"/>
        </w:rPr>
        <w:t>工作机制的通知</w:t>
      </w:r>
    </w:p>
    <w:p>
      <w:pPr>
        <w:ind w:firstLine="640"/>
        <w:rPr>
          <w:kern w:val="44"/>
        </w:rPr>
      </w:pPr>
    </w:p>
    <w:p>
      <w:pPr>
        <w:ind w:firstLine="0" w:firstLineChars="0"/>
        <w:rPr>
          <w:rFonts w:hint="eastAsia"/>
        </w:rPr>
      </w:pPr>
      <w:r>
        <w:rPr>
          <w:rFonts w:hint="eastAsia"/>
        </w:rPr>
        <w:t>各市州、县市区农业农村局、市场监督管理局、供销合作社、工业和信息化局、公安局、人民检察院、人民法院：</w:t>
      </w:r>
    </w:p>
    <w:p>
      <w:pPr>
        <w:ind w:firstLine="640"/>
      </w:pPr>
      <w:r>
        <w:t>为了加强对全省农资打假工作的统筹协调，强化农业农村、市场监管、供销、工信、公安、检察、法院等部门的密切合作，依法规范农资生产经营活动，严厉打击制售假冒伪劣农资违法犯罪行为，保护农民合法权益，维护社会稳定，形成齐抓共管、密切配合的工作机制，推进农资打假工作向纵深发展，特制定本联席会议工作机制。</w:t>
      </w:r>
    </w:p>
    <w:p>
      <w:pPr>
        <w:pStyle w:val="3"/>
        <w:ind w:firstLine="640"/>
      </w:pPr>
      <w:r>
        <w:t>一、联席会议主要职责</w:t>
      </w:r>
    </w:p>
    <w:p>
      <w:pPr>
        <w:ind w:firstLine="640"/>
      </w:pPr>
      <w:r>
        <w:t>1.贯彻落实全国、省农资打假会议精神，制定具体实施方案、监督检查等制度性文件，部署推进相关工作。重大事项报请省委、省政府研究决定。</w:t>
      </w:r>
    </w:p>
    <w:p>
      <w:pPr>
        <w:ind w:firstLine="640"/>
      </w:pPr>
      <w:r>
        <w:t xml:space="preserve">2.研究解决推进农资打假工作的重大问题，根据我省具体情况和农业生产、农资使用的特点，在全省范围内长期联合开展严厉打击制售假冒伪劣种子、农药、肥料、兽药、饲料和饲料添加剂、农膜和农机具等农资产品的违法犯罪活动，探索建立统一协调的全省农资打假和监管工作机制。 </w:t>
      </w:r>
    </w:p>
    <w:p>
      <w:pPr>
        <w:ind w:firstLine="640"/>
      </w:pPr>
      <w:r>
        <w:t>3.依据各成员单位工作职能，定期梳理、通报农资市场监管和农资打假工作开展情况，交流互通农资打假案件查处信息；集中研判、会商工作中遇到的重点、难点问题，并提出针对性的解决办法和措施。</w:t>
      </w:r>
    </w:p>
    <w:p>
      <w:pPr>
        <w:ind w:firstLine="640"/>
      </w:pPr>
      <w:r>
        <w:t>4.指导督促全省各市（州）各有关部门抓好农资打假工作落实，总结推广经验做法，常态化开展农资市场监管和农资打假工作，并建立长效监管机制。</w:t>
      </w:r>
    </w:p>
    <w:p>
      <w:pPr>
        <w:ind w:firstLine="640"/>
      </w:pPr>
      <w:r>
        <w:t>5.联合督办重大农资违法案件，依法严厉打击制售假冒伪劣农资违法犯罪行为。</w:t>
      </w:r>
    </w:p>
    <w:p>
      <w:pPr>
        <w:pStyle w:val="3"/>
        <w:ind w:firstLine="640"/>
      </w:pPr>
      <w:r>
        <w:t>二、联席会议成员单位及工作机构</w:t>
      </w:r>
    </w:p>
    <w:p>
      <w:pPr>
        <w:ind w:firstLine="640"/>
      </w:pPr>
      <w:r>
        <w:t>联席会议由省农业农村厅、省市场监督管理局、省供销合作总社、省工业和信息化厅、省公安厅、省</w:t>
      </w:r>
      <w:r>
        <w:rPr>
          <w:rFonts w:hint="eastAsia"/>
        </w:rPr>
        <w:t>人民</w:t>
      </w:r>
      <w:r>
        <w:t>检察院、省高级人民法院等7个单位组成，省农业农村厅为牵头单位。</w:t>
      </w:r>
    </w:p>
    <w:p>
      <w:pPr>
        <w:ind w:firstLine="616"/>
        <w:rPr>
          <w:spacing w:val="-6"/>
        </w:rPr>
      </w:pPr>
      <w:r>
        <w:rPr>
          <w:spacing w:val="-6"/>
        </w:rPr>
        <w:t>联席会议由省农业农村厅主要负责同志担任召集人，省农业农村厅分管负责同志担任副召集人，其他成员单位有关负责同志为联席会议成员。联席会议成员因工作变动需要调整的，由所在单位提出，联席会议确定。联席会议可根据工作需要调整成员单位。</w:t>
      </w:r>
    </w:p>
    <w:p>
      <w:pPr>
        <w:ind w:firstLine="640"/>
      </w:pPr>
      <w:r>
        <w:t>联席会议办公室设在省农业农村厅，具体负责联席会议的组织协调、会务服务、信息发布等工作，办公室主任由省农业农村厅有关部门主要负责同志担任。联席会议设联络员，由各成员单位有关部门负责同志担任。</w:t>
      </w:r>
    </w:p>
    <w:p>
      <w:pPr>
        <w:pStyle w:val="3"/>
        <w:ind w:firstLine="640"/>
      </w:pPr>
      <w:r>
        <w:t>三、联席会议成员单位职责</w:t>
      </w:r>
    </w:p>
    <w:p>
      <w:pPr>
        <w:ind w:firstLine="640"/>
      </w:pPr>
      <w:r>
        <w:t>1.省农业农村厅</w:t>
      </w:r>
    </w:p>
    <w:p>
      <w:pPr>
        <w:ind w:firstLine="640"/>
      </w:pPr>
      <w:r>
        <w:t>负责农资打假牵头工作，定期组织联席会议召开，协调联席会议成员单位根据职能职责开展工作；对农产品生产环节的种子、农药、兽药、肥料、饲料和饲料添加剂等农业投入品的使用开展监督检查和质量监测；指导全省各市县（区）农业农村部门开展清理整顿农资生产经营主体，加大农资市场的日常检查和监管力度，依法查处坑农害农违法行为；大力推进全省各市县（区）农业农村部门开展放心农资下乡进村，加强对农民的服务指导，提高群众的维权意识和识假辨假能力；及时收集各成员单位工作情况报送并汇总；拟定农资打假专项整治联合行动计划和方案，征求各成员单位意见后实施。</w:t>
      </w:r>
    </w:p>
    <w:p>
      <w:pPr>
        <w:ind w:firstLine="640"/>
      </w:pPr>
      <w:r>
        <w:t>2.省市场监督管理局</w:t>
      </w:r>
    </w:p>
    <w:p>
      <w:pPr>
        <w:ind w:firstLine="640"/>
      </w:pPr>
      <w:r>
        <w:t>负责对全省违法农资流通领域进行监督管理；指导全省各市县（区）市场监督局依法查处虚假农资违法广告、知识产权侵权违法行为，加大保护农资商品知识产权的力度；指导全省各市县（区）市场监管局依法查处生产、流通领域的各类假冒伪劣行为；对全省农资产品生产环节和流通环节开展质量监测，制定并组织实施农资质量年度抽检计划，将群众反映较多、问题突出的产品、生产企业和经营单位纳入重点监测范畴，并向联席会议通报农资案件查处和监测情况，向农业农村部门移送可追溯的问题线索。</w:t>
      </w:r>
    </w:p>
    <w:p>
      <w:pPr>
        <w:ind w:firstLine="640"/>
      </w:pPr>
      <w:r>
        <w:t>3.省供销合作总社</w:t>
      </w:r>
    </w:p>
    <w:p>
      <w:pPr>
        <w:ind w:firstLine="640"/>
      </w:pPr>
      <w:r>
        <w:t>负责指导各市县（区）供销合作社对社属企业、开放办社企业及与本部门结合紧密的农资企业开展农资监管，做出公开承诺，积极配合执法部门打击制售假劣农资违法行为。敦促全省供销合作社系统经营主体建立健全农资商品质量进货检查验收制度、农资商品仓储保管制度、销售台账制度，在进、销、存三大流转环节，建章立制，把好农资商品进货关、仓储关、销售关，大力推进放心农资下乡进村。</w:t>
      </w:r>
    </w:p>
    <w:p>
      <w:pPr>
        <w:ind w:firstLine="640"/>
      </w:pPr>
      <w:r>
        <w:t>4.省工业和信息化厅</w:t>
      </w:r>
    </w:p>
    <w:p>
      <w:pPr>
        <w:ind w:firstLine="640"/>
      </w:pPr>
      <w:r>
        <w:t>负责配合相关部门做好农药、兽药等农资生产企业的</w:t>
      </w:r>
      <w:r>
        <w:rPr>
          <w:rFonts w:hint="eastAsia"/>
        </w:rPr>
        <w:t>产业</w:t>
      </w:r>
      <w:r>
        <w:t>布局，提</w:t>
      </w:r>
      <w:r>
        <w:rPr>
          <w:rFonts w:hint="eastAsia"/>
        </w:rPr>
        <w:t>高</w:t>
      </w:r>
      <w:r>
        <w:t>农资产品供应保障能力；指导农资生产企业不断提高信息化水平。</w:t>
      </w:r>
    </w:p>
    <w:p>
      <w:pPr>
        <w:ind w:firstLine="640"/>
      </w:pPr>
      <w:r>
        <w:t>5.省公安厅</w:t>
      </w:r>
    </w:p>
    <w:p>
      <w:pPr>
        <w:ind w:firstLine="640"/>
      </w:pPr>
      <w:r>
        <w:t>负责部署开展农资打假专项行动，统筹全省农资生产经营涉刑法行为的查处，突出打击重点，深入排查线索，强化案件侦办，严厉打击农资领域制假售假犯罪活动。</w:t>
      </w:r>
      <w:r>
        <w:rPr>
          <w:rFonts w:hint="eastAsia"/>
        </w:rPr>
        <w:t>配合农业农村部门</w:t>
      </w:r>
      <w:r>
        <w:t>理顺农资打假领域违法行为的行政执法与刑事司法衔接机制，</w:t>
      </w:r>
      <w:r>
        <w:rPr>
          <w:rFonts w:hint="eastAsia"/>
        </w:rPr>
        <w:t>完善</w:t>
      </w:r>
      <w:r>
        <w:t>案件线索的信息共享机制，确保信息畅通。</w:t>
      </w:r>
    </w:p>
    <w:p>
      <w:pPr>
        <w:ind w:firstLine="640"/>
      </w:pPr>
      <w:r>
        <w:t>6.省人民检察院</w:t>
      </w:r>
    </w:p>
    <w:p>
      <w:pPr>
        <w:ind w:firstLine="640"/>
      </w:pPr>
      <w:r>
        <w:t>指导全省检察机关依法对涉农资打假案件的审查逮捕、审查起诉，开展立案监督、侦查监督、审判监督，加强与有关部门协作，积极推动行政执法与刑事司法有效衔接，切实提升涉农资违法犯罪案件办案质效。</w:t>
      </w:r>
    </w:p>
    <w:p>
      <w:pPr>
        <w:ind w:firstLine="640"/>
      </w:pPr>
      <w:r>
        <w:t>7.省高级人民法院</w:t>
      </w:r>
    </w:p>
    <w:p>
      <w:pPr>
        <w:ind w:firstLine="640"/>
      </w:pPr>
      <w:r>
        <w:t>负责指导全省法院系统发挥审判职能，增强办案合力，指导各市县（区）人民法院依法惩处各类制售假冒伪劣农资坑农、害农犯罪，强化办案效果，提高司法震慑力。强化普法宣传，在重要时间节点公布一批农资打假典型案件，对制假售假犯罪分子形成有力震慑。</w:t>
      </w:r>
    </w:p>
    <w:p>
      <w:pPr>
        <w:pStyle w:val="3"/>
        <w:ind w:firstLine="640"/>
      </w:pPr>
      <w:r>
        <w:t>四、联席会议主要任务</w:t>
      </w:r>
    </w:p>
    <w:p>
      <w:pPr>
        <w:ind w:firstLine="643"/>
      </w:pPr>
      <w:r>
        <w:rPr>
          <w:rStyle w:val="22"/>
        </w:rPr>
        <w:t>（一）定期召开联席会议。</w:t>
      </w:r>
      <w:r>
        <w:t>联席会议由省农业农村厅提议并召集，原则上每半年召开一次，参加人员为成员单位负责人、成员单位部门负责人、联络员。必要时，可邀请省委、省政府领导出席。如急需商讨有关问题的，可以随时召开。联席会议主要分析联合打假工作面临的形势，总结部署联合打假工作针对农资打假工作中遇到的新情况、新问题，研究、制定工作对策；研究重大案件，提出解决方案；对各地联合打假工作进行宏观指导、检查、督办；及时向省委省政府、上级主管部门汇报联合打假工作情况，提出工作建议。</w:t>
      </w:r>
    </w:p>
    <w:p>
      <w:pPr>
        <w:ind w:firstLine="643"/>
      </w:pPr>
      <w:r>
        <w:rPr>
          <w:rStyle w:val="22"/>
        </w:rPr>
        <w:t>（二）加强信息通报工作。</w:t>
      </w:r>
      <w:r>
        <w:t>各成员单位确定联系人，及时通报相关工作情况和案件线索。充分发动群众公布举报电话，拓宽情报来源渠道，促进农资打假违法犯罪活动情报网络建设，做好汇总分析工作。</w:t>
      </w:r>
    </w:p>
    <w:p>
      <w:pPr>
        <w:ind w:firstLine="643"/>
      </w:pPr>
      <w:r>
        <w:rPr>
          <w:rStyle w:val="22"/>
        </w:rPr>
        <w:t>（三）建立行刑衔接机制。</w:t>
      </w:r>
      <w:r>
        <w:t>农业农村、市场监管、公安等部门在依法查处农资打假案件中，要严格落实国家关于行刑衔接的有关规定，强化对案件移送、检验鉴定等工作的协调配合，并积极协调检察院、法院，解决农资案件移送难、鉴定难、入罪难等问题，严查大案要案，形成高压态势和震慑力。</w:t>
      </w:r>
    </w:p>
    <w:p>
      <w:pPr>
        <w:ind w:firstLine="643"/>
      </w:pPr>
      <w:r>
        <w:rPr>
          <w:rStyle w:val="22"/>
        </w:rPr>
        <w:t>（四）适时开展联合行动。</w:t>
      </w:r>
      <w:r>
        <w:t>农业农村、市场监管、公安等部门要在各自的职权范围内优势互补，密切配合，互通情况，并由省农业农村厅牵头适时、视情组织开展联合行动。</w:t>
      </w:r>
    </w:p>
    <w:p>
      <w:pPr>
        <w:ind w:firstLine="643"/>
      </w:pPr>
      <w:r>
        <w:rPr>
          <w:rStyle w:val="22"/>
        </w:rPr>
        <w:t>（五）加强重大案件督办。</w:t>
      </w:r>
      <w:r>
        <w:t>凡是跨省市州的案件，各地必须及时上报省联席会议办公室，由各主管部门督办。凡是跨省的案件，报省联席会议办公室，由各主管部门督办。</w:t>
      </w:r>
    </w:p>
    <w:p>
      <w:pPr>
        <w:ind w:firstLine="643"/>
      </w:pPr>
      <w:r>
        <w:rPr>
          <w:rStyle w:val="22"/>
        </w:rPr>
        <w:t>（六）加大舆论宣传力度。</w:t>
      </w:r>
      <w:r>
        <w:t>充分利用广播电视、报纸等新闻媒体宣传相关法律法规和农资打假工作的进展情况，对当前假劣农资表象特征进行公开曝光，使其广为人知，提高广大人民群众守法维权意识，积极帮助广大农资用户增强识假辨假能力，普及农资科技，积极宣传农资打假工作的正面典型，总结经验和做法，组织有关新闻单位对大要案、典型案例进行跟踪报道，对制假售假窝点进行曝光，扩大社会影响，震慑违法犯罪分子。</w:t>
      </w:r>
    </w:p>
    <w:p>
      <w:pPr>
        <w:pStyle w:val="3"/>
        <w:ind w:firstLine="640"/>
      </w:pPr>
      <w:r>
        <w:t>五、联席会议有关工作机制</w:t>
      </w:r>
    </w:p>
    <w:p>
      <w:pPr>
        <w:pStyle w:val="4"/>
        <w:ind w:firstLine="643"/>
      </w:pPr>
      <w:r>
        <w:t>1.建立农资生产经营联合监管机制</w:t>
      </w:r>
    </w:p>
    <w:p>
      <w:pPr>
        <w:ind w:firstLine="640"/>
      </w:pPr>
      <w:r>
        <w:t>由市场监管部门牵头，农业农村部门配合，</w:t>
      </w:r>
      <w:r>
        <w:rPr>
          <w:rFonts w:hint="eastAsia"/>
        </w:rPr>
        <w:t>通过严格执行市场主体登记注册“双告知”制度</w:t>
      </w:r>
      <w:r>
        <w:t>和全面清理、审查农资生产经营主体的资格，农资生产经营主体必须规范农资生产经营档案，销售农资产品必须开具销售凭证，并进行农资诚信经营公开承诺。对资质条件不符合法律法规要求的要依法予以清理，对无证、无照生产经营农资的要依法予以取缔。建立经营警示和问题产品“黑名单”公示的追踪监控机制，依法严惩经营假劣农资行为，同时向社会公示。重点加强对流动摊贩和利用互联网销售农资行为的监管，对不具备农资经营资格的物流企业变相经营农资的情形要依法查处。</w:t>
      </w:r>
    </w:p>
    <w:p>
      <w:pPr>
        <w:pStyle w:val="4"/>
        <w:ind w:firstLine="643"/>
      </w:pPr>
      <w:r>
        <w:t>2.建立农资打假联合执法协作机制</w:t>
      </w:r>
    </w:p>
    <w:p>
      <w:pPr>
        <w:ind w:firstLine="640"/>
      </w:pPr>
      <w:r>
        <w:t>根据农业生产实际和农资市场监管中的突出问题，适时组织开展农资打假护农联合执法行动，狠抓重点品种、重点地区、重点市场、重点季节，狠抓大案要案的查处，突出治理制售假冒伪劣农资违法行为，带动整个农资市场秩序的根本好转。</w:t>
      </w:r>
    </w:p>
    <w:p>
      <w:pPr>
        <w:pStyle w:val="4"/>
        <w:ind w:firstLine="643"/>
      </w:pPr>
      <w:r>
        <w:t>3.建立农资质量监测、公告机制</w:t>
      </w:r>
    </w:p>
    <w:p>
      <w:pPr>
        <w:ind w:firstLine="640"/>
      </w:pPr>
      <w:r>
        <w:t>省农业农村厅、省市场监督管理局要根据农业生产实际，突出重点农时、重点区域、重点品种，有计划地加强农资产品质量监测工作，扩大抽检范围，加大抽检力度，提高抽检覆盖率，实现质量抽检与依法查处的有效衔接。对抽检不合格产品及其生产经营主体要依法进行严厉查处，并及时追溯造假售假源头，端掉造假售假窝点，对已流入市场的，查清销售渠道和销售去向，严防假劣农资进入生产领域。要依法公布监测结果，及时发布警示信息。</w:t>
      </w:r>
    </w:p>
    <w:p>
      <w:pPr>
        <w:pStyle w:val="4"/>
        <w:ind w:firstLine="643"/>
      </w:pPr>
      <w:r>
        <w:t>4.建立农资企业信用分级分类管理机制</w:t>
      </w:r>
    </w:p>
    <w:p>
      <w:pPr>
        <w:ind w:firstLine="640"/>
      </w:pPr>
      <w:r>
        <w:t>由省农业农村厅牵头，建立农资</w:t>
      </w:r>
      <w:r>
        <w:rPr>
          <w:rFonts w:hint="eastAsia"/>
        </w:rPr>
        <w:t>生产</w:t>
      </w:r>
      <w:r>
        <w:t>经营主体信用分级分类监管办法，汇集各监管部门的农资监管信息，并共同对农资生产经营主体进行信用评价和分类，实行“守信激励、联合惩戒”。对于遵纪守法、信用优良的经营主体要联合给予表彰、推介、鼓励和政策扶持；对于失信经营主体予以警示或限期整改；对于违法次数多、性质严重的经营主体实行重点监控，并向社会公示。</w:t>
      </w:r>
    </w:p>
    <w:p>
      <w:pPr>
        <w:pStyle w:val="3"/>
        <w:ind w:firstLine="640"/>
      </w:pPr>
      <w:r>
        <w:t>六、工作要求</w:t>
      </w:r>
    </w:p>
    <w:p>
      <w:pPr>
        <w:ind w:firstLine="640"/>
      </w:pPr>
      <w:r>
        <w:t>1.省农业农村厅负责联席会议日常工作，负责组织提出需研究解决的问题和事项，报召集人审定会议议题，确定会议时间和形式，由召集人召集会议。</w:t>
      </w:r>
    </w:p>
    <w:p>
      <w:pPr>
        <w:ind w:firstLine="640"/>
      </w:pPr>
      <w:r>
        <w:t>2.联席会议以会议纪要形式明确会议议事事项，印发至各有关单位。</w:t>
      </w:r>
    </w:p>
    <w:p>
      <w:pPr>
        <w:ind w:firstLine="640"/>
      </w:pPr>
      <w:r>
        <w:t>3.各联席会议成员单位要按照职责分工，主动研究涉及农资打假和监管的有关问题，按照要求参加联席会议，明确联席会议成员，参会成员应保持相对固定。认真落实各项工作任务，及时报送工作情况并由省农业农村厅汇总。各成员单位之间要互通信息，相互支持配合。</w:t>
      </w:r>
    </w:p>
    <w:p>
      <w:pPr>
        <w:ind w:firstLine="640"/>
      </w:pPr>
      <w:r>
        <w:t>4.联席会议成员和联络员因工作变动需要调整的，由所在单位及时调整，报省农业农村厅备案。</w:t>
      </w:r>
    </w:p>
    <w:p>
      <w:pPr>
        <w:ind w:firstLine="632"/>
        <w:rPr>
          <w:spacing w:val="-2"/>
        </w:rPr>
      </w:pPr>
      <w:r>
        <w:rPr>
          <w:spacing w:val="-2"/>
        </w:rPr>
        <w:t>5.各成员单位应分别设立农资打假举报电话，并向社会公开。</w:t>
      </w:r>
    </w:p>
    <w:p>
      <w:pPr>
        <w:pStyle w:val="5"/>
        <w:ind w:firstLine="640"/>
      </w:pPr>
    </w:p>
    <w:p>
      <w:pPr>
        <w:pStyle w:val="5"/>
        <w:ind w:firstLine="640"/>
      </w:pPr>
    </w:p>
    <w:p>
      <w:pPr>
        <w:ind w:firstLine="0" w:firstLineChars="0"/>
        <w:jc w:val="center"/>
        <w:rPr>
          <w:spacing w:val="-20"/>
          <w:w w:val="98"/>
        </w:rPr>
      </w:pPr>
      <w:r>
        <w:rPr>
          <w:rFonts w:hint="eastAsia"/>
          <w:spacing w:val="-10"/>
          <w:w w:val="98"/>
        </w:rPr>
        <w:t>湖南省农业农村厅   湖南省市场监督管理局   湖南省供销合作总社</w:t>
      </w:r>
    </w:p>
    <w:p>
      <w:pPr>
        <w:pStyle w:val="5"/>
        <w:spacing w:line="640" w:lineRule="atLeast"/>
        <w:ind w:firstLine="273" w:firstLineChars="100"/>
        <w:rPr>
          <w:rFonts w:hint="eastAsia"/>
          <w:spacing w:val="-20"/>
          <w:w w:val="98"/>
          <w:szCs w:val="32"/>
        </w:rPr>
      </w:pPr>
      <w:r>
        <w:rPr>
          <w:rFonts w:hint="eastAsia"/>
          <w:spacing w:val="-20"/>
          <w:w w:val="98"/>
          <w:szCs w:val="32"/>
        </w:rPr>
        <w:t xml:space="preserve"> </w:t>
      </w:r>
    </w:p>
    <w:p>
      <w:pPr>
        <w:spacing w:line="640" w:lineRule="atLeast"/>
        <w:ind w:firstLine="640"/>
        <w:rPr>
          <w:rFonts w:hint="eastAsia"/>
        </w:rPr>
      </w:pPr>
    </w:p>
    <w:p>
      <w:pPr>
        <w:spacing w:line="640" w:lineRule="atLeast"/>
        <w:ind w:firstLine="640"/>
      </w:pPr>
    </w:p>
    <w:p>
      <w:pPr>
        <w:ind w:firstLine="1148" w:firstLineChars="392"/>
        <w:rPr>
          <w:rFonts w:hint="eastAsia"/>
          <w:spacing w:val="-10"/>
          <w:w w:val="98"/>
        </w:rPr>
      </w:pPr>
      <w:r>
        <w:rPr>
          <w:rFonts w:hint="eastAsia"/>
          <w:spacing w:val="-10"/>
          <w:w w:val="98"/>
        </w:rPr>
        <w:t>湖南省工业和信息化厅       湖 南 省 公 安 厅</w:t>
      </w:r>
    </w:p>
    <w:p>
      <w:pPr>
        <w:spacing w:line="640" w:lineRule="atLeast"/>
        <w:ind w:firstLine="585"/>
        <w:rPr>
          <w:rFonts w:hint="eastAsia"/>
          <w:spacing w:val="-10"/>
          <w:w w:val="98"/>
        </w:rPr>
      </w:pPr>
    </w:p>
    <w:p>
      <w:pPr>
        <w:spacing w:line="640" w:lineRule="atLeast"/>
        <w:ind w:firstLine="585"/>
        <w:rPr>
          <w:rFonts w:hint="eastAsia"/>
          <w:spacing w:val="-10"/>
          <w:w w:val="98"/>
        </w:rPr>
      </w:pPr>
    </w:p>
    <w:p>
      <w:pPr>
        <w:spacing w:line="640" w:lineRule="atLeast"/>
        <w:ind w:firstLine="585"/>
        <w:rPr>
          <w:rFonts w:hint="eastAsia"/>
          <w:spacing w:val="-10"/>
          <w:w w:val="98"/>
        </w:rPr>
      </w:pPr>
    </w:p>
    <w:p>
      <w:pPr>
        <w:ind w:firstLine="1356" w:firstLineChars="463"/>
        <w:rPr>
          <w:spacing w:val="-10"/>
          <w:w w:val="98"/>
        </w:rPr>
      </w:pPr>
      <w:r>
        <w:rPr>
          <w:rFonts w:hint="eastAsia"/>
          <w:spacing w:val="-10"/>
          <w:w w:val="98"/>
        </w:rPr>
        <w:t>湖南省人民检察院           湖南省高级人民法院</w:t>
      </w:r>
    </w:p>
    <w:p>
      <w:pPr>
        <w:pStyle w:val="5"/>
        <w:ind w:firstLine="293" w:firstLineChars="100"/>
        <w:rPr>
          <w:bCs w:val="0"/>
          <w:spacing w:val="-10"/>
          <w:w w:val="9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425" w:num="1"/>
          <w:docGrid w:linePitch="579" w:charSpace="0"/>
        </w:sectPr>
      </w:pPr>
      <w:r>
        <w:rPr>
          <w:bCs w:val="0"/>
          <w:spacing w:val="-10"/>
          <w:w w:val="98"/>
          <w:szCs w:val="24"/>
        </w:rPr>
        <w:t xml:space="preserve">   </w:t>
      </w:r>
      <w:r>
        <w:rPr>
          <w:rFonts w:hint="eastAsia"/>
          <w:bCs w:val="0"/>
          <w:spacing w:val="-10"/>
          <w:w w:val="98"/>
          <w:szCs w:val="24"/>
        </w:rPr>
        <w:t xml:space="preserve">                                </w:t>
      </w:r>
      <w:r>
        <w:rPr>
          <w:bCs w:val="0"/>
          <w:spacing w:val="-10"/>
          <w:w w:val="98"/>
          <w:szCs w:val="24"/>
        </w:rPr>
        <w:t xml:space="preserve">  20</w:t>
      </w:r>
      <w:r>
        <w:rPr>
          <w:rFonts w:hint="eastAsia"/>
          <w:bCs w:val="0"/>
          <w:spacing w:val="-10"/>
          <w:w w:val="98"/>
          <w:szCs w:val="24"/>
        </w:rPr>
        <w:t>22</w:t>
      </w:r>
      <w:r>
        <w:rPr>
          <w:bCs w:val="0"/>
          <w:spacing w:val="-10"/>
          <w:w w:val="98"/>
          <w:szCs w:val="24"/>
        </w:rPr>
        <w:t>年</w:t>
      </w:r>
      <w:r>
        <w:rPr>
          <w:rFonts w:hint="eastAsia"/>
          <w:bCs w:val="0"/>
          <w:spacing w:val="-10"/>
          <w:w w:val="98"/>
          <w:szCs w:val="24"/>
        </w:rPr>
        <w:t>10</w:t>
      </w:r>
      <w:r>
        <w:rPr>
          <w:bCs w:val="0"/>
          <w:spacing w:val="-10"/>
          <w:w w:val="98"/>
          <w:szCs w:val="24"/>
        </w:rPr>
        <w:t>月</w:t>
      </w:r>
      <w:r>
        <w:rPr>
          <w:rFonts w:hint="eastAsia"/>
          <w:bCs w:val="0"/>
          <w:spacing w:val="-10"/>
          <w:w w:val="98"/>
          <w:szCs w:val="24"/>
        </w:rPr>
        <w:t>13</w:t>
      </w:r>
      <w:r>
        <w:rPr>
          <w:bCs w:val="0"/>
          <w:spacing w:val="-10"/>
          <w:w w:val="98"/>
          <w:szCs w:val="24"/>
        </w:rPr>
        <w:t>日</w:t>
      </w:r>
    </w:p>
    <w:p>
      <w:pPr>
        <w:pStyle w:val="5"/>
        <w:ind w:firstLine="0" w:firstLineChars="0"/>
        <w:rPr>
          <w:rFonts w:hint="eastAsia"/>
          <w:bCs w:val="0"/>
          <w:spacing w:val="-10"/>
          <w:w w:val="98"/>
          <w:szCs w:val="24"/>
        </w:rPr>
      </w:pPr>
      <w:r>
        <w:rPr>
          <w:bCs w:val="0"/>
          <w:spacing w:val="-10"/>
          <w:w w:val="98"/>
          <w:szCs w:val="24"/>
        </w:rPr>
        <w:br w:type="page"/>
      </w:r>
      <w:r>
        <w:rPr>
          <w:bCs w:val="0"/>
          <w:spacing w:val="-10"/>
          <w:w w:val="98"/>
          <w:szCs w:val="24"/>
        </w:rPr>
        <w:br w:type="page"/>
      </w: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pPr>
    </w:p>
    <w:p>
      <w:pPr>
        <w:spacing w:line="100" w:lineRule="exact"/>
        <w:ind w:firstLine="0" w:firstLineChars="0"/>
        <w:rPr>
          <w:rFonts w:hint="eastAsia" w:eastAsia="黑体"/>
          <w:sz w:val="28"/>
          <w:szCs w:val="28"/>
        </w:rPr>
      </w:pPr>
    </w:p>
    <w:p>
      <w:pPr>
        <w:spacing w:line="100" w:lineRule="exact"/>
        <w:ind w:firstLine="0" w:firstLineChars="0"/>
        <w:rPr>
          <w:rFonts w:hint="eastAsia" w:eastAsia="黑体"/>
          <w:sz w:val="28"/>
          <w:szCs w:val="28"/>
        </w:rPr>
      </w:pPr>
    </w:p>
    <w:p>
      <w:pPr>
        <w:spacing w:line="100" w:lineRule="exact"/>
        <w:ind w:firstLine="0" w:firstLineChars="0"/>
        <w:rPr>
          <w:rFonts w:hint="eastAsia"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100" w:lineRule="exact"/>
        <w:ind w:firstLine="0" w:firstLineChars="0"/>
        <w:rPr>
          <w:rFonts w:eastAsia="黑体"/>
          <w:sz w:val="28"/>
          <w:szCs w:val="28"/>
        </w:rPr>
      </w:pPr>
    </w:p>
    <w:p>
      <w:pPr>
        <w:spacing w:line="520" w:lineRule="exact"/>
        <w:ind w:firstLine="0" w:firstLineChars="0"/>
        <w:rPr>
          <w:szCs w:val="32"/>
        </w:rPr>
      </w:pPr>
      <w:r>
        <w:rPr>
          <w:rFonts w:eastAsia="黑体"/>
          <w:sz w:val="28"/>
          <w:szCs w:val="28"/>
        </w:rPr>
        <w:t>信息公开选项：</w:t>
      </w:r>
      <w:r>
        <w:rPr>
          <w:rFonts w:eastAsia="方正小标宋简体"/>
          <w:sz w:val="28"/>
          <w:szCs w:val="28"/>
        </w:rPr>
        <w:t>公开</w:t>
      </w:r>
    </w:p>
    <w:p>
      <w:pPr>
        <w:spacing w:line="520" w:lineRule="exact"/>
        <w:ind w:firstLine="280" w:firstLineChars="100"/>
      </w:pPr>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615940" cy="0"/>
                <wp:effectExtent l="0" t="0" r="0" b="0"/>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3pt;margin-top:2.15pt;height:0pt;width:442.2pt;z-index:251659264;mso-width-relative:page;mso-height-relative:page;" filled="f" stroked="t" coordsize="21600,21600" o:gfxdata="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oWe1QAA&#10;AAUBAAAPAAAAAAAAAAEAIAAAACIAAABkcnMvZG93bnJldi54bWxQSwECFAAUAAAACACHTuJA6lz1&#10;xOgBAADcAwAADgAAAAAAAAABACAAAAAkAQAAZHJzL2Uyb0RvYy54bWxQSwUGAAAAAAYABgBZAQAA&#10;fgUAAAAA&#10;">
                <v:fill on="f" focussize="0,0"/>
                <v:stroke weight="0.35pt" color="#000000" joinstyle="round"/>
                <v:imagedata o:title=""/>
                <o:lock v:ext="edit" aspectratio="f"/>
              </v:line>
            </w:pict>
          </mc:Fallback>
        </mc:AlternateContent>
      </w:r>
      <w:r>
        <w:rPr>
          <w:color w:val="000000"/>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615940" cy="0"/>
                <wp:effectExtent l="0" t="0" r="0" b="0"/>
                <wp:wrapNone/>
                <wp:docPr id="2" name="直线 35"/>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45pt;height:0pt;width:442.2pt;z-index:251660288;mso-width-relative:page;mso-height-relative:page;" filled="f" stroked="t" coordsize="21600,21600" o:gfxdata="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GZvvW&#10;AAAABgEAAA8AAAAAAAAAAQAgAAAAIgAAAGRycy9kb3ducmV2LnhtbFBLAQIUABQAAAAIAIdO4kDc&#10;5pFQ6QEAANwDAAAOAAAAAAAAAAEAIAAAACUBAABkcnMvZTJvRG9jLnhtbFBLBQYAAAAABgAGAFkB&#10;AACABQAAAAA=&#10;">
                <v:fill on="f" focussize="0,0"/>
                <v:stroke weight="0.35pt" color="#000000" joinstyle="round"/>
                <v:imagedata o:title=""/>
                <o:lock v:ext="edit" aspectratio="f"/>
              </v:line>
            </w:pict>
          </mc:Fallback>
        </mc:AlternateContent>
      </w:r>
      <w:r>
        <w:rPr>
          <w:color w:val="000000"/>
          <w:sz w:val="28"/>
          <w:szCs w:val="28"/>
          <w:lang/>
        </w:rPr>
        <w:t>湖南省农业农村厅办公室                 20</w:t>
      </w:r>
      <w:r>
        <w:rPr>
          <w:rFonts w:hint="eastAsia"/>
          <w:color w:val="000000"/>
          <w:sz w:val="28"/>
          <w:szCs w:val="28"/>
          <w:lang/>
        </w:rPr>
        <w:t>22</w:t>
      </w:r>
      <w:r>
        <w:rPr>
          <w:color w:val="000000"/>
          <w:sz w:val="28"/>
          <w:szCs w:val="28"/>
          <w:lang/>
        </w:rPr>
        <w:t>年</w:t>
      </w:r>
      <w:r>
        <w:rPr>
          <w:rFonts w:hint="eastAsia"/>
          <w:color w:val="000000"/>
          <w:sz w:val="28"/>
          <w:szCs w:val="28"/>
          <w:lang/>
        </w:rPr>
        <w:t>10</w:t>
      </w:r>
      <w:r>
        <w:rPr>
          <w:color w:val="000000"/>
          <w:sz w:val="28"/>
          <w:szCs w:val="28"/>
          <w:lang/>
        </w:rPr>
        <w:t>月</w:t>
      </w:r>
      <w:r>
        <w:rPr>
          <w:rFonts w:hint="eastAsia"/>
          <w:color w:val="000000"/>
          <w:sz w:val="28"/>
          <w:szCs w:val="28"/>
          <w:lang/>
        </w:rPr>
        <w:t>13</w:t>
      </w:r>
      <w:r>
        <w:rPr>
          <w:color w:val="000000"/>
          <w:sz w:val="28"/>
          <w:szCs w:val="28"/>
          <w:lang/>
        </w:rPr>
        <w:t>日印发</w:t>
      </w:r>
    </w:p>
    <w:sectPr>
      <w:footerReference r:id="rId11" w:type="default"/>
      <w:footerReference r:id="rId12" w:type="even"/>
      <w:pgSz w:w="11906" w:h="16838"/>
      <w:pgMar w:top="2098" w:right="1474" w:bottom="1985" w:left="1588" w:header="851" w:footer="1588" w:gutter="0"/>
      <w:cols w:space="425"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6C32"/>
    <w:rsid w:val="00007908"/>
    <w:rsid w:val="00007930"/>
    <w:rsid w:val="00015384"/>
    <w:rsid w:val="00024A94"/>
    <w:rsid w:val="00026A2A"/>
    <w:rsid w:val="000357C4"/>
    <w:rsid w:val="00036F5F"/>
    <w:rsid w:val="00057849"/>
    <w:rsid w:val="0009001B"/>
    <w:rsid w:val="000A4161"/>
    <w:rsid w:val="000C0B9F"/>
    <w:rsid w:val="000D3ADA"/>
    <w:rsid w:val="000D7E84"/>
    <w:rsid w:val="000E2A6E"/>
    <w:rsid w:val="000F65AD"/>
    <w:rsid w:val="000F75DA"/>
    <w:rsid w:val="00100547"/>
    <w:rsid w:val="001046DE"/>
    <w:rsid w:val="00110E2F"/>
    <w:rsid w:val="0012569B"/>
    <w:rsid w:val="00136317"/>
    <w:rsid w:val="00137536"/>
    <w:rsid w:val="001377BA"/>
    <w:rsid w:val="00141407"/>
    <w:rsid w:val="001434CB"/>
    <w:rsid w:val="00152CBC"/>
    <w:rsid w:val="00154AFE"/>
    <w:rsid w:val="0015554F"/>
    <w:rsid w:val="001631E3"/>
    <w:rsid w:val="001B01BD"/>
    <w:rsid w:val="001B5254"/>
    <w:rsid w:val="001D487E"/>
    <w:rsid w:val="001F128B"/>
    <w:rsid w:val="001F7324"/>
    <w:rsid w:val="001F7E44"/>
    <w:rsid w:val="0020637D"/>
    <w:rsid w:val="0022371B"/>
    <w:rsid w:val="0023788E"/>
    <w:rsid w:val="00237E8F"/>
    <w:rsid w:val="00251ED1"/>
    <w:rsid w:val="002743E6"/>
    <w:rsid w:val="00276F6F"/>
    <w:rsid w:val="0028258E"/>
    <w:rsid w:val="002873F4"/>
    <w:rsid w:val="002A0915"/>
    <w:rsid w:val="002B135C"/>
    <w:rsid w:val="002C2BE9"/>
    <w:rsid w:val="002D5F5D"/>
    <w:rsid w:val="002E2656"/>
    <w:rsid w:val="002F421A"/>
    <w:rsid w:val="003326BD"/>
    <w:rsid w:val="003356D6"/>
    <w:rsid w:val="0036402B"/>
    <w:rsid w:val="00366BAD"/>
    <w:rsid w:val="00380160"/>
    <w:rsid w:val="00383C45"/>
    <w:rsid w:val="00390B5C"/>
    <w:rsid w:val="003B61D2"/>
    <w:rsid w:val="003B6F33"/>
    <w:rsid w:val="003C2A71"/>
    <w:rsid w:val="003D1A2E"/>
    <w:rsid w:val="003E6E7A"/>
    <w:rsid w:val="003F6AF4"/>
    <w:rsid w:val="00402A02"/>
    <w:rsid w:val="00416403"/>
    <w:rsid w:val="0042011E"/>
    <w:rsid w:val="00433F75"/>
    <w:rsid w:val="00453CC2"/>
    <w:rsid w:val="00457133"/>
    <w:rsid w:val="0048169E"/>
    <w:rsid w:val="0048606E"/>
    <w:rsid w:val="00490C4F"/>
    <w:rsid w:val="004A220E"/>
    <w:rsid w:val="004A4F35"/>
    <w:rsid w:val="004B4FE9"/>
    <w:rsid w:val="004D0131"/>
    <w:rsid w:val="004E6FE0"/>
    <w:rsid w:val="004F36C2"/>
    <w:rsid w:val="0050070A"/>
    <w:rsid w:val="005023BE"/>
    <w:rsid w:val="005110C5"/>
    <w:rsid w:val="00527AFA"/>
    <w:rsid w:val="005406AF"/>
    <w:rsid w:val="00543109"/>
    <w:rsid w:val="0054731E"/>
    <w:rsid w:val="005513D6"/>
    <w:rsid w:val="005721F1"/>
    <w:rsid w:val="00574D30"/>
    <w:rsid w:val="005B16E7"/>
    <w:rsid w:val="005B249C"/>
    <w:rsid w:val="005B2D51"/>
    <w:rsid w:val="005C00DA"/>
    <w:rsid w:val="005D697B"/>
    <w:rsid w:val="005E320E"/>
    <w:rsid w:val="005F3FF1"/>
    <w:rsid w:val="005F5909"/>
    <w:rsid w:val="00601386"/>
    <w:rsid w:val="00620A06"/>
    <w:rsid w:val="006225F3"/>
    <w:rsid w:val="00651BE5"/>
    <w:rsid w:val="006874D6"/>
    <w:rsid w:val="0069343F"/>
    <w:rsid w:val="00696FFA"/>
    <w:rsid w:val="006A58D5"/>
    <w:rsid w:val="006A5D35"/>
    <w:rsid w:val="006B2A1B"/>
    <w:rsid w:val="006C1E2E"/>
    <w:rsid w:val="006D180D"/>
    <w:rsid w:val="006D3289"/>
    <w:rsid w:val="006E5060"/>
    <w:rsid w:val="006E5C7E"/>
    <w:rsid w:val="006F63B1"/>
    <w:rsid w:val="00702354"/>
    <w:rsid w:val="00706782"/>
    <w:rsid w:val="00711091"/>
    <w:rsid w:val="00721622"/>
    <w:rsid w:val="007328CB"/>
    <w:rsid w:val="0073790C"/>
    <w:rsid w:val="0075390B"/>
    <w:rsid w:val="00753FFD"/>
    <w:rsid w:val="007568E8"/>
    <w:rsid w:val="00775E65"/>
    <w:rsid w:val="007871E1"/>
    <w:rsid w:val="007934A6"/>
    <w:rsid w:val="00794E8D"/>
    <w:rsid w:val="007A4D76"/>
    <w:rsid w:val="007A5355"/>
    <w:rsid w:val="007B1497"/>
    <w:rsid w:val="007B5256"/>
    <w:rsid w:val="007C7113"/>
    <w:rsid w:val="007D3A6D"/>
    <w:rsid w:val="007E39B1"/>
    <w:rsid w:val="007E5108"/>
    <w:rsid w:val="0080406F"/>
    <w:rsid w:val="00812925"/>
    <w:rsid w:val="00820BE2"/>
    <w:rsid w:val="008213BF"/>
    <w:rsid w:val="00821DD4"/>
    <w:rsid w:val="00824B52"/>
    <w:rsid w:val="00826F8A"/>
    <w:rsid w:val="00835EA0"/>
    <w:rsid w:val="008413A8"/>
    <w:rsid w:val="00843597"/>
    <w:rsid w:val="008441BB"/>
    <w:rsid w:val="008623AE"/>
    <w:rsid w:val="00873B1E"/>
    <w:rsid w:val="0087469D"/>
    <w:rsid w:val="008756A5"/>
    <w:rsid w:val="0088162C"/>
    <w:rsid w:val="00897B46"/>
    <w:rsid w:val="008A18F4"/>
    <w:rsid w:val="008B2EAC"/>
    <w:rsid w:val="008B6A32"/>
    <w:rsid w:val="008C17DA"/>
    <w:rsid w:val="008C619D"/>
    <w:rsid w:val="008D0FC0"/>
    <w:rsid w:val="008D32D2"/>
    <w:rsid w:val="008D418C"/>
    <w:rsid w:val="008E7182"/>
    <w:rsid w:val="008F579D"/>
    <w:rsid w:val="00901CF8"/>
    <w:rsid w:val="00910F95"/>
    <w:rsid w:val="00920DD7"/>
    <w:rsid w:val="00977FED"/>
    <w:rsid w:val="009935AF"/>
    <w:rsid w:val="009A1AC1"/>
    <w:rsid w:val="009A6FFC"/>
    <w:rsid w:val="009E07E8"/>
    <w:rsid w:val="009F168E"/>
    <w:rsid w:val="009F1928"/>
    <w:rsid w:val="00A01C13"/>
    <w:rsid w:val="00A23531"/>
    <w:rsid w:val="00A31182"/>
    <w:rsid w:val="00A6012A"/>
    <w:rsid w:val="00A67F3B"/>
    <w:rsid w:val="00A70CA8"/>
    <w:rsid w:val="00A75D3D"/>
    <w:rsid w:val="00A826EB"/>
    <w:rsid w:val="00A92460"/>
    <w:rsid w:val="00AC54F9"/>
    <w:rsid w:val="00AD3EE8"/>
    <w:rsid w:val="00AD4BBF"/>
    <w:rsid w:val="00AE253A"/>
    <w:rsid w:val="00B02E3A"/>
    <w:rsid w:val="00B0529F"/>
    <w:rsid w:val="00B10150"/>
    <w:rsid w:val="00B11137"/>
    <w:rsid w:val="00B139AA"/>
    <w:rsid w:val="00B142D4"/>
    <w:rsid w:val="00B23AFB"/>
    <w:rsid w:val="00B23B84"/>
    <w:rsid w:val="00B32D4B"/>
    <w:rsid w:val="00B37628"/>
    <w:rsid w:val="00B45824"/>
    <w:rsid w:val="00B45DEE"/>
    <w:rsid w:val="00B51627"/>
    <w:rsid w:val="00B54BBB"/>
    <w:rsid w:val="00B700E5"/>
    <w:rsid w:val="00B76D1A"/>
    <w:rsid w:val="00B8517D"/>
    <w:rsid w:val="00BA0EB5"/>
    <w:rsid w:val="00BA1694"/>
    <w:rsid w:val="00BA7C79"/>
    <w:rsid w:val="00BB1ABF"/>
    <w:rsid w:val="00BB3DE4"/>
    <w:rsid w:val="00BB65B3"/>
    <w:rsid w:val="00BD741D"/>
    <w:rsid w:val="00BE376F"/>
    <w:rsid w:val="00BF022D"/>
    <w:rsid w:val="00BF6953"/>
    <w:rsid w:val="00C05AAA"/>
    <w:rsid w:val="00C07722"/>
    <w:rsid w:val="00C2394D"/>
    <w:rsid w:val="00C466DD"/>
    <w:rsid w:val="00C66523"/>
    <w:rsid w:val="00C73CAE"/>
    <w:rsid w:val="00C86A8F"/>
    <w:rsid w:val="00C975DF"/>
    <w:rsid w:val="00CA54C3"/>
    <w:rsid w:val="00CC2C40"/>
    <w:rsid w:val="00CC6D71"/>
    <w:rsid w:val="00CD10A8"/>
    <w:rsid w:val="00CD47FD"/>
    <w:rsid w:val="00D20223"/>
    <w:rsid w:val="00D258C0"/>
    <w:rsid w:val="00D46088"/>
    <w:rsid w:val="00D92ECD"/>
    <w:rsid w:val="00DA0A3D"/>
    <w:rsid w:val="00DB1D7E"/>
    <w:rsid w:val="00DB20E7"/>
    <w:rsid w:val="00DB4ABF"/>
    <w:rsid w:val="00DC36B6"/>
    <w:rsid w:val="00DC37CA"/>
    <w:rsid w:val="00DE0051"/>
    <w:rsid w:val="00DE4A7A"/>
    <w:rsid w:val="00DF0156"/>
    <w:rsid w:val="00DF1B80"/>
    <w:rsid w:val="00E00497"/>
    <w:rsid w:val="00E1324C"/>
    <w:rsid w:val="00E3159F"/>
    <w:rsid w:val="00E35410"/>
    <w:rsid w:val="00E373AB"/>
    <w:rsid w:val="00E80EB8"/>
    <w:rsid w:val="00E922AC"/>
    <w:rsid w:val="00E95FB7"/>
    <w:rsid w:val="00EB13FB"/>
    <w:rsid w:val="00EB60EB"/>
    <w:rsid w:val="00EB73DF"/>
    <w:rsid w:val="00EC7DD2"/>
    <w:rsid w:val="00ED3936"/>
    <w:rsid w:val="00EF3047"/>
    <w:rsid w:val="00EF36D4"/>
    <w:rsid w:val="00F0471F"/>
    <w:rsid w:val="00F143F0"/>
    <w:rsid w:val="00F450ED"/>
    <w:rsid w:val="00F509BB"/>
    <w:rsid w:val="00F567D6"/>
    <w:rsid w:val="00F75FD2"/>
    <w:rsid w:val="00F8471D"/>
    <w:rsid w:val="00F93740"/>
    <w:rsid w:val="00F97870"/>
    <w:rsid w:val="00FB550D"/>
    <w:rsid w:val="00FC4DD3"/>
    <w:rsid w:val="00FE430D"/>
    <w:rsid w:val="00FE71C3"/>
    <w:rsid w:val="00FF1E10"/>
    <w:rsid w:val="00FF5905"/>
    <w:rsid w:val="534659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4"/>
    <w:qFormat/>
    <w:uiPriority w:val="0"/>
    <w:pPr>
      <w:keepNext/>
      <w:keepLines/>
      <w:ind w:firstLine="200" w:firstLineChars="200"/>
      <w:outlineLvl w:val="1"/>
    </w:pPr>
    <w:rPr>
      <w:rFonts w:eastAsia="黑体"/>
      <w:bCs/>
      <w:szCs w:val="32"/>
    </w:rPr>
  </w:style>
  <w:style w:type="paragraph" w:styleId="4">
    <w:name w:val="heading 3"/>
    <w:basedOn w:val="1"/>
    <w:next w:val="1"/>
    <w:link w:val="22"/>
    <w:qFormat/>
    <w:uiPriority w:val="0"/>
    <w:pPr>
      <w:keepNext/>
      <w:keepLines/>
      <w:outlineLvl w:val="2"/>
    </w:pPr>
    <w:rPr>
      <w:rFonts w:eastAsia="楷体_GB2312"/>
      <w:b/>
      <w:bCs/>
      <w:szCs w:val="32"/>
    </w:rPr>
  </w:style>
  <w:style w:type="paragraph" w:styleId="5">
    <w:name w:val="heading 4"/>
    <w:basedOn w:val="1"/>
    <w:next w:val="1"/>
    <w:link w:val="25"/>
    <w:qFormat/>
    <w:uiPriority w:val="0"/>
    <w:pPr>
      <w:outlineLvl w:val="3"/>
    </w:pPr>
    <w:rPr>
      <w:bCs/>
      <w:szCs w:val="28"/>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6">
    <w:name w:val="Body Text 3"/>
    <w:basedOn w:val="1"/>
    <w:uiPriority w:val="0"/>
    <w:pPr>
      <w:spacing w:after="120"/>
    </w:pPr>
    <w:rPr>
      <w:sz w:val="16"/>
      <w:szCs w:val="16"/>
    </w:rPr>
  </w:style>
  <w:style w:type="paragraph" w:styleId="7">
    <w:name w:val="Date"/>
    <w:basedOn w:val="1"/>
    <w:next w:val="1"/>
    <w:uiPriority w:val="0"/>
    <w:pPr>
      <w:ind w:left="100" w:leftChars="2500"/>
    </w:pPr>
  </w:style>
  <w:style w:type="paragraph" w:styleId="8">
    <w:name w:val="Body Text Indent 2"/>
    <w:basedOn w:val="1"/>
    <w:uiPriority w:val="0"/>
    <w:pPr>
      <w:adjustRightInd/>
      <w:snapToGrid/>
      <w:spacing w:line="240" w:lineRule="auto"/>
      <w:ind w:firstLine="420"/>
    </w:pPr>
    <w:rPr>
      <w:rFonts w:ascii="仿宋_GB2312"/>
      <w:color w:val="FF6600"/>
      <w:sz w:val="21"/>
    </w:rPr>
  </w:style>
  <w:style w:type="paragraph" w:styleId="9">
    <w:name w:val="Balloon Text"/>
    <w:basedOn w:val="1"/>
    <w:link w:val="21"/>
    <w:semiHidden/>
    <w:uiPriority w:val="0"/>
    <w:pPr>
      <w:adjustRightInd/>
      <w:snapToGrid/>
      <w:spacing w:line="240" w:lineRule="auto"/>
      <w:ind w:firstLine="0" w:firstLineChars="0"/>
    </w:pPr>
    <w:rPr>
      <w:rFonts w:eastAsia="宋体"/>
      <w:sz w:val="18"/>
      <w:szCs w:val="18"/>
    </w:rPr>
  </w:style>
  <w:style w:type="paragraph" w:styleId="10">
    <w:name w:val="footer"/>
    <w:basedOn w:val="1"/>
    <w:link w:val="17"/>
    <w:uiPriority w:val="99"/>
    <w:pPr>
      <w:tabs>
        <w:tab w:val="center" w:pos="4153"/>
        <w:tab w:val="right" w:pos="8306"/>
      </w:tabs>
      <w:snapToGrid w:val="0"/>
      <w:spacing w:line="240" w:lineRule="atLeast"/>
      <w:jc w:val="left"/>
    </w:pPr>
    <w:rPr>
      <w:sz w:val="18"/>
      <w:szCs w:val="18"/>
    </w:rPr>
  </w:style>
  <w:style w:type="paragraph" w:styleId="11">
    <w:name w:val="header"/>
    <w:basedOn w:val="1"/>
    <w:link w:val="18"/>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3">
    <w:name w:val="Table Grid"/>
    <w:basedOn w:val="12"/>
    <w:uiPriority w:val="0"/>
    <w:pPr>
      <w:widowControl w:val="0"/>
      <w:adjustRightInd w:val="0"/>
      <w:snapToGrid w:val="0"/>
      <w:spacing w:line="590" w:lineRule="atLeast"/>
      <w:ind w:firstLine="200" w:firstLineChars="20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Hyperlink"/>
    <w:basedOn w:val="14"/>
    <w:unhideWhenUsed/>
    <w:uiPriority w:val="99"/>
    <w:rPr>
      <w:color w:val="0000FF"/>
      <w:u w:val="single"/>
    </w:rPr>
  </w:style>
  <w:style w:type="character" w:customStyle="1" w:styleId="17">
    <w:name w:val="页脚 Char"/>
    <w:basedOn w:val="14"/>
    <w:link w:val="10"/>
    <w:uiPriority w:val="99"/>
    <w:rPr>
      <w:rFonts w:eastAsia="仿宋_GB2312"/>
      <w:kern w:val="2"/>
      <w:sz w:val="18"/>
      <w:szCs w:val="18"/>
      <w:lang w:val="en-US" w:eastAsia="zh-CN" w:bidi="ar-SA"/>
    </w:rPr>
  </w:style>
  <w:style w:type="character" w:customStyle="1" w:styleId="18">
    <w:name w:val="页眉 Char"/>
    <w:basedOn w:val="14"/>
    <w:link w:val="11"/>
    <w:semiHidden/>
    <w:uiPriority w:val="0"/>
    <w:rPr>
      <w:rFonts w:eastAsia="仿宋_GB2312"/>
      <w:kern w:val="2"/>
      <w:sz w:val="18"/>
      <w:szCs w:val="18"/>
      <w:lang w:val="en-US" w:eastAsia="zh-CN" w:bidi="ar-SA"/>
    </w:rPr>
  </w:style>
  <w:style w:type="paragraph" w:customStyle="1" w:styleId="19">
    <w:name w:val="表头"/>
    <w:basedOn w:val="1"/>
    <w:uiPriority w:val="0"/>
    <w:pPr>
      <w:spacing w:before="80" w:after="80" w:line="280" w:lineRule="atLeast"/>
      <w:ind w:firstLine="0" w:firstLineChars="0"/>
      <w:jc w:val="center"/>
    </w:pPr>
    <w:rPr>
      <w:rFonts w:eastAsia="黑体" w:cs="宋体"/>
      <w:sz w:val="24"/>
    </w:rPr>
  </w:style>
  <w:style w:type="paragraph" w:customStyle="1" w:styleId="20">
    <w:name w:val="表内文字"/>
    <w:basedOn w:val="1"/>
    <w:uiPriority w:val="0"/>
    <w:pPr>
      <w:spacing w:before="60" w:after="60" w:line="280" w:lineRule="atLeast"/>
      <w:ind w:firstLine="0" w:firstLineChars="0"/>
    </w:pPr>
    <w:rPr>
      <w:sz w:val="24"/>
    </w:rPr>
  </w:style>
  <w:style w:type="character" w:customStyle="1" w:styleId="21">
    <w:name w:val="批注框文本 Char"/>
    <w:basedOn w:val="14"/>
    <w:link w:val="9"/>
    <w:semiHidden/>
    <w:uiPriority w:val="0"/>
    <w:rPr>
      <w:rFonts w:eastAsia="宋体"/>
      <w:kern w:val="2"/>
      <w:sz w:val="18"/>
      <w:szCs w:val="18"/>
      <w:lang w:val="en-US" w:eastAsia="zh-CN" w:bidi="ar-SA"/>
    </w:rPr>
  </w:style>
  <w:style w:type="character" w:customStyle="1" w:styleId="22">
    <w:name w:val="标题 3 Char"/>
    <w:basedOn w:val="14"/>
    <w:link w:val="4"/>
    <w:uiPriority w:val="0"/>
    <w:rPr>
      <w:rFonts w:eastAsia="楷体_GB2312"/>
      <w:b/>
      <w:bCs/>
      <w:kern w:val="2"/>
      <w:sz w:val="32"/>
      <w:szCs w:val="32"/>
      <w:lang w:val="en-US" w:eastAsia="zh-CN" w:bidi="ar-SA"/>
    </w:rPr>
  </w:style>
  <w:style w:type="paragraph" w:customStyle="1" w:styleId="23">
    <w:name w:val="p0"/>
    <w:basedOn w:val="1"/>
    <w:uiPriority w:val="0"/>
    <w:pPr>
      <w:widowControl/>
      <w:adjustRightInd/>
      <w:snapToGrid/>
      <w:spacing w:line="240" w:lineRule="auto"/>
      <w:ind w:firstLine="0" w:firstLineChars="0"/>
    </w:pPr>
    <w:rPr>
      <w:rFonts w:eastAsia="宋体"/>
      <w:kern w:val="0"/>
      <w:sz w:val="21"/>
      <w:szCs w:val="21"/>
    </w:rPr>
  </w:style>
  <w:style w:type="character" w:customStyle="1" w:styleId="24">
    <w:name w:val="标题 2 Char"/>
    <w:basedOn w:val="14"/>
    <w:link w:val="3"/>
    <w:uiPriority w:val="0"/>
    <w:rPr>
      <w:rFonts w:eastAsia="黑体"/>
      <w:bCs/>
      <w:kern w:val="2"/>
      <w:sz w:val="32"/>
      <w:szCs w:val="32"/>
      <w:lang w:val="en-US" w:eastAsia="zh-CN" w:bidi="ar-SA"/>
    </w:rPr>
  </w:style>
  <w:style w:type="character" w:customStyle="1" w:styleId="25">
    <w:name w:val="标题 4 Char"/>
    <w:basedOn w:val="14"/>
    <w:link w:val="5"/>
    <w:uiPriority w:val="0"/>
    <w:rPr>
      <w:rFonts w:eastAsia="仿宋_GB2312"/>
      <w:bCs/>
      <w:kern w:val="2"/>
      <w:sz w:val="32"/>
      <w:szCs w:val="28"/>
      <w:lang w:val="en-US" w:eastAsia="zh-CN" w:bidi="ar-SA"/>
    </w:rPr>
  </w:style>
  <w:style w:type="paragraph" w:customStyle="1" w:styleId="26">
    <w:name w:val="List Paragraph"/>
    <w:basedOn w:val="1"/>
    <w:uiPriority w:val="0"/>
    <w:pPr>
      <w:adjustRightInd/>
      <w:snapToGrid/>
      <w:spacing w:line="240" w:lineRule="auto"/>
      <w:ind w:firstLine="42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4085</Words>
  <Characters>4120</Characters>
  <Lines>30</Lines>
  <Paragraphs>8</Paragraphs>
  <TotalTime>0</TotalTime>
  <ScaleCrop>false</ScaleCrop>
  <LinksUpToDate>false</LinksUpToDate>
  <CharactersWithSpaces>4205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2018-01-30T08:22:00Z</dcterms:created>
  <dc:creator>walkinnet</dc:creator>
  <cp:lastModifiedBy>万全鹏</cp:lastModifiedBy>
  <cp:lastPrinted>2022-10-17T06:38:00Z</cp:lastPrinted>
  <dcterms:modified xsi:type="dcterms:W3CDTF">2022-11-09T03:38:32Z</dcterms:modified>
  <dc:title>湘农业函〔2014〕  号</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DB823EEF5645412CA9B026217F2ED61D</vt:lpwstr>
  </property>
</Properties>
</file>