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rPr>
      </w:pPr>
      <w:bookmarkStart w:id="0" w:name="_GoBack"/>
      <w:bookmarkEnd w:id="0"/>
      <w:r>
        <w:rPr>
          <w:rFonts w:hint="eastAsia"/>
        </w:rPr>
        <w:t>HNPR-2022-17004</w:t>
      </w:r>
    </w:p>
    <w:p>
      <w:pPr>
        <w:spacing w:line="300" w:lineRule="atLeast"/>
        <w:ind w:firstLine="0" w:firstLineChars="0"/>
      </w:pPr>
    </w:p>
    <w:p>
      <w:pPr>
        <w:pStyle w:val="2"/>
        <w:spacing w:line="760" w:lineRule="exact"/>
        <w:rPr>
          <w:kern w:val="0"/>
        </w:rPr>
      </w:pPr>
      <w:r>
        <w:rPr>
          <w:rFonts w:hint="eastAsia" w:ascii="仿宋" w:eastAsia="仿宋"/>
          <w:sz w:val="32"/>
          <w:szCs w:val="32"/>
        </w:rPr>
        <w:t>湘农联〔20</w:t>
      </w:r>
      <w:r>
        <w:rPr>
          <w:rFonts w:ascii="仿宋" w:eastAsia="仿宋"/>
          <w:sz w:val="32"/>
          <w:szCs w:val="32"/>
        </w:rPr>
        <w:t>22</w:t>
      </w:r>
      <w:r>
        <w:rPr>
          <w:rFonts w:hint="eastAsia" w:ascii="仿宋" w:eastAsia="仿宋"/>
          <w:sz w:val="32"/>
          <w:szCs w:val="32"/>
        </w:rPr>
        <w:t>〕</w:t>
      </w:r>
      <w:r>
        <w:rPr>
          <w:rFonts w:ascii="仿宋" w:eastAsia="仿宋"/>
          <w:sz w:val="32"/>
          <w:szCs w:val="32"/>
        </w:rPr>
        <w:t>34</w:t>
      </w:r>
      <w:r>
        <w:rPr>
          <w:rFonts w:hint="eastAsia" w:ascii="仿宋" w:eastAsia="仿宋"/>
          <w:sz w:val="32"/>
          <w:szCs w:val="32"/>
        </w:rPr>
        <w:t>号</w:t>
      </w:r>
    </w:p>
    <w:p>
      <w:pPr>
        <w:pStyle w:val="2"/>
        <w:spacing w:line="760" w:lineRule="exact"/>
        <w:rPr>
          <w:kern w:val="0"/>
        </w:rPr>
      </w:pPr>
      <w:r>
        <w:rPr>
          <w:rFonts w:hint="eastAsia"/>
          <w:kern w:val="0"/>
        </w:rPr>
        <w:t>湖南省农业农村厅等四部门</w:t>
      </w:r>
    </w:p>
    <w:p>
      <w:pPr>
        <w:pStyle w:val="2"/>
        <w:spacing w:line="760" w:lineRule="exact"/>
        <w:rPr>
          <w:kern w:val="0"/>
        </w:rPr>
      </w:pPr>
      <w:r>
        <w:rPr>
          <w:kern w:val="0"/>
        </w:rPr>
        <w:t>关于进一步加大金融支持力度促进生猪</w:t>
      </w:r>
    </w:p>
    <w:p>
      <w:pPr>
        <w:pStyle w:val="2"/>
        <w:spacing w:line="760" w:lineRule="exact"/>
        <w:rPr>
          <w:kern w:val="0"/>
        </w:rPr>
      </w:pPr>
      <w:r>
        <w:rPr>
          <w:kern w:val="0"/>
        </w:rPr>
        <w:t>产业稳定发展的通知</w:t>
      </w:r>
    </w:p>
    <w:p>
      <w:pPr>
        <w:spacing w:line="600" w:lineRule="atLeast"/>
        <w:ind w:firstLine="640"/>
        <w:rPr>
          <w:kern w:val="0"/>
        </w:rPr>
      </w:pPr>
    </w:p>
    <w:p>
      <w:pPr>
        <w:spacing w:line="600" w:lineRule="atLeast"/>
        <w:ind w:firstLine="0" w:firstLineChars="0"/>
        <w:rPr>
          <w:kern w:val="0"/>
        </w:rPr>
      </w:pPr>
      <w:r>
        <w:rPr>
          <w:kern w:val="0"/>
        </w:rPr>
        <w:t>各市州农业农村局、财政局、金融办、各银保监分局，</w:t>
      </w:r>
      <w:r>
        <w:rPr>
          <w:rFonts w:hint="eastAsia"/>
          <w:kern w:val="0"/>
        </w:rPr>
        <w:t>各政策性银行湖南省分行、大型银行湖南省分行、股份制银行长沙分行、城市商业银行及长沙分行，民营银行，长沙地区的农村中小金融机构，</w:t>
      </w:r>
      <w:r>
        <w:rPr>
          <w:kern w:val="0"/>
        </w:rPr>
        <w:t>各财产保险公司湖南分公司：</w:t>
      </w:r>
    </w:p>
    <w:p>
      <w:pPr>
        <w:spacing w:line="600" w:lineRule="atLeast"/>
        <w:ind w:firstLine="640"/>
        <w:rPr>
          <w:kern w:val="0"/>
        </w:rPr>
      </w:pPr>
      <w:r>
        <w:rPr>
          <w:kern w:val="0"/>
        </w:rPr>
        <w:t>为贯彻落实党中央、国务院和省委、省政府决策部署，推动金融保险支持政策落实落地，进一步加大生猪产业信贷投放力度，促进我省生猪产业持续健康发展。现就有关事项通知如下。</w:t>
      </w:r>
    </w:p>
    <w:p>
      <w:pPr>
        <w:spacing w:line="600" w:lineRule="atLeast"/>
        <w:ind w:firstLine="640"/>
        <w:rPr>
          <w:kern w:val="0"/>
        </w:rPr>
      </w:pPr>
      <w:r>
        <w:rPr>
          <w:rFonts w:eastAsia="黑体"/>
          <w:kern w:val="0"/>
        </w:rPr>
        <w:t>一、切实提高思想认识。</w:t>
      </w:r>
      <w:r>
        <w:rPr>
          <w:kern w:val="0"/>
        </w:rPr>
        <w:t>猪肉是重要的民生产品，生猪是我省农业农村经济的重要支柱产业。抓好生猪稳产保供是贯彻落实习近平总书记强调的保障“初级产品”供应、稳定农业基本盘的重要任务，是贯彻落实中央1号文件、省委1号文件明确的稳定生猪生产长效性支持政策的重要内容。各部门、各金融机构要切实提高政治站位，增强服务意识，采取有力措施，加大信贷支持，支持生猪企业化解风险、做大做强，稳定生猪产业发展。</w:t>
      </w:r>
    </w:p>
    <w:p>
      <w:pPr>
        <w:spacing w:line="600" w:lineRule="atLeast"/>
        <w:ind w:firstLine="640"/>
        <w:rPr>
          <w:kern w:val="0"/>
        </w:rPr>
      </w:pPr>
      <w:r>
        <w:rPr>
          <w:rFonts w:eastAsia="黑体"/>
          <w:kern w:val="0"/>
        </w:rPr>
        <w:t>二、加大信贷支持力度。</w:t>
      </w:r>
      <w:r>
        <w:rPr>
          <w:kern w:val="0"/>
        </w:rPr>
        <w:t>各银行机构要健全生猪产业贷款尽职免责和激励约束机制，进一步扩大信贷规模，加大信贷投放力度。对符合授信条件但暂时遇到经营困难的生猪养殖场户、屠宰加工企业，不得盲目限贷、抽贷、断贷；对</w:t>
      </w:r>
      <w:r>
        <w:rPr>
          <w:rFonts w:hint="eastAsia"/>
          <w:kern w:val="0"/>
        </w:rPr>
        <w:t>符合条件的到期贷款</w:t>
      </w:r>
      <w:r>
        <w:rPr>
          <w:kern w:val="0"/>
        </w:rPr>
        <w:t>给予无还本续贷支持；</w:t>
      </w:r>
      <w:r>
        <w:rPr>
          <w:rFonts w:hint="eastAsia"/>
          <w:kern w:val="0"/>
        </w:rPr>
        <w:t>支持</w:t>
      </w:r>
      <w:r>
        <w:rPr>
          <w:kern w:val="0"/>
        </w:rPr>
        <w:t>对省级以上农业产业化龙头企业、以“公司+农户”模式生产经营的生猪企业、挂牌国家级、省级生猪产能调控基地的生猪养殖企业予</w:t>
      </w:r>
      <w:r>
        <w:rPr>
          <w:rFonts w:hint="eastAsia"/>
          <w:kern w:val="0"/>
        </w:rPr>
        <w:t>以</w:t>
      </w:r>
      <w:r>
        <w:rPr>
          <w:kern w:val="0"/>
        </w:rPr>
        <w:t>信贷支持上的政策倾斜，因“猪周期”导致还款困难的，不盲目下调主体评级，在原授信基础上不额外增加授信要求。支持将符合农业发展银行职能定位和政策性业务标准的生猪养殖相关贷款按程序纳入政策性业务范围。</w:t>
      </w:r>
    </w:p>
    <w:p>
      <w:pPr>
        <w:spacing w:line="600" w:lineRule="atLeast"/>
        <w:ind w:firstLine="640"/>
        <w:rPr>
          <w:kern w:val="0"/>
        </w:rPr>
      </w:pPr>
      <w:r>
        <w:rPr>
          <w:rFonts w:eastAsia="黑体"/>
          <w:kern w:val="0"/>
        </w:rPr>
        <w:t>三、创新信贷服务模式。</w:t>
      </w:r>
      <w:r>
        <w:rPr>
          <w:kern w:val="0"/>
        </w:rPr>
        <w:t>积极推进信贷保险联动、信贷检疫联动，建立健全有关部门、金融机构、保险机构的信息共享机制。加快推广土地经营权、养殖圈舍、大型养殖机械、生猪活体等抵押贷款，更好满足生猪产业融资需求。充分发挥生猪产业龙头企业“以大带小”力量，创新“公司+农户”信贷投放机制，解决中小规模养殖场户的融资担保问题。鼓励安排生猪产业贷款专项信贷计划，在信贷资金投向、投量、期限、利率等方面予以倾斜，在受理、调查、审批和发放各环节予以优先，在要素齐全条件下，简化审批流程，确保信贷资金早到位、早使用、早受益。</w:t>
      </w:r>
      <w:r>
        <w:t>鼓励各地建立养殖圈舍、大型养殖机械、生猪活体等生猪养殖行业特色交易平台，促进特色资产在行业内有效流转，增加资产的流动性和变现性。</w:t>
      </w:r>
      <w:r>
        <w:rPr>
          <w:rFonts w:hint="eastAsia"/>
        </w:rPr>
        <w:t>加强保险与信贷、担保等金融工具联动，</w:t>
      </w:r>
      <w:r>
        <w:t>发挥保险增信功能，提高养殖企业（场、户）信用等级。</w:t>
      </w:r>
    </w:p>
    <w:p>
      <w:pPr>
        <w:spacing w:line="600" w:lineRule="atLeast"/>
        <w:ind w:firstLine="640"/>
        <w:rPr>
          <w:kern w:val="0"/>
        </w:rPr>
      </w:pPr>
      <w:r>
        <w:rPr>
          <w:rFonts w:eastAsia="黑体"/>
          <w:kern w:val="0"/>
        </w:rPr>
        <w:t>四、加大贴息担保支持。</w:t>
      </w:r>
      <w:r>
        <w:rPr>
          <w:kern w:val="0"/>
        </w:rPr>
        <w:t>将符合农业农村新型经营主体的生猪养殖、屠宰、加工、饲料、兽药</w:t>
      </w:r>
      <w:r>
        <w:rPr>
          <w:rFonts w:hint="eastAsia"/>
          <w:kern w:val="0"/>
        </w:rPr>
        <w:t>等生产</w:t>
      </w:r>
      <w:r>
        <w:rPr>
          <w:kern w:val="0"/>
        </w:rPr>
        <w:t>企业，全面纳入贷款贴息支持范围。县级人民政府可按规定统筹有关涉农资金，加大对生猪养殖贷款的贴息支持力度，适当提高贴息比例。农业信贷担保机构对符合担保条件的种猪场、规模猪场提供的信贷担保项目，可按规定享受担保费用补助和业务奖补政策。</w:t>
      </w:r>
    </w:p>
    <w:p>
      <w:pPr>
        <w:spacing w:line="600" w:lineRule="atLeast"/>
        <w:ind w:firstLine="640"/>
        <w:rPr>
          <w:rFonts w:hint="eastAsia"/>
        </w:rPr>
      </w:pPr>
      <w:r>
        <w:rPr>
          <w:rFonts w:eastAsia="黑体"/>
          <w:kern w:val="0"/>
          <w:szCs w:val="32"/>
        </w:rPr>
        <w:t>五、完善生猪政策性保险。</w:t>
      </w:r>
      <w:r>
        <w:t>深入推进生猪养殖保险，按照“优先规模户、兼顾小农户”的原则，能繁母猪、规模场育肥猪政策性保险做到“愿保尽保”，稳步扩大生猪保险覆盖面。丰富生猪保险体系，鼓励发展地方特色型和商业补充型生猪保险，鼓励保险公司合规办理生猪收入保险、生猪饲料价格保险等业务。扩大生猪价格“保险+期货”试点范围，开展病死猪无害化处理和保险联动机制建设试点，进一步提升保障水平、降低养殖风险。</w:t>
      </w:r>
    </w:p>
    <w:p>
      <w:pPr>
        <w:ind w:firstLine="640"/>
        <w:rPr>
          <w:rFonts w:eastAsia="仿宋"/>
          <w:kern w:val="0"/>
        </w:rPr>
      </w:pPr>
      <w:r>
        <w:rPr>
          <w:rFonts w:hint="eastAsia"/>
        </w:rPr>
        <w:t>本政策措施自发布之日起施行，有效期5年。</w:t>
      </w:r>
    </w:p>
    <w:p>
      <w:pPr>
        <w:ind w:firstLine="640"/>
      </w:pPr>
      <w:r>
        <w:t xml:space="preserve"> </w:t>
      </w:r>
    </w:p>
    <w:p>
      <w:pPr>
        <w:ind w:firstLine="640"/>
        <w:rPr>
          <w:kern w:val="44"/>
        </w:rPr>
      </w:pPr>
      <w:r>
        <w:rPr>
          <w:kern w:val="44"/>
        </w:rPr>
        <w:t xml:space="preserve"> </w:t>
      </w:r>
    </w:p>
    <w:p>
      <w:pPr>
        <w:ind w:firstLine="640"/>
        <w:rPr>
          <w:kern w:val="44"/>
        </w:rPr>
      </w:pPr>
    </w:p>
    <w:p>
      <w:pPr>
        <w:ind w:firstLine="640"/>
        <w:rPr>
          <w:spacing w:val="20"/>
          <w:w w:val="98"/>
        </w:rPr>
      </w:pPr>
      <w:r>
        <w:rPr>
          <w:kern w:val="0"/>
        </w:rPr>
        <w:t>湖南省农业农村厅</w:t>
      </w:r>
      <w:r>
        <w:rPr>
          <w:w w:val="98"/>
        </w:rPr>
        <w:t xml:space="preserve">              </w:t>
      </w:r>
      <w:r>
        <w:rPr>
          <w:kern w:val="0"/>
        </w:rPr>
        <w:t xml:space="preserve"> 湖南省财政厅</w:t>
      </w:r>
    </w:p>
    <w:p>
      <w:pPr>
        <w:ind w:firstLine="640"/>
      </w:pPr>
    </w:p>
    <w:p>
      <w:pPr>
        <w:ind w:firstLine="640"/>
        <w:rPr>
          <w:rFonts w:hint="eastAsia"/>
        </w:rPr>
      </w:pPr>
    </w:p>
    <w:p>
      <w:pPr>
        <w:ind w:firstLine="640"/>
      </w:pPr>
    </w:p>
    <w:p>
      <w:pPr>
        <w:ind w:firstLine="640"/>
      </w:pPr>
    </w:p>
    <w:p>
      <w:pPr>
        <w:pStyle w:val="6"/>
        <w:ind w:firstLine="0" w:firstLineChars="0"/>
        <w:rPr>
          <w:kern w:val="0"/>
        </w:rPr>
      </w:pPr>
      <w:r>
        <w:rPr>
          <w:kern w:val="0"/>
        </w:rPr>
        <w:t xml:space="preserve">湖南省地方金融监督管理局     </w:t>
      </w:r>
      <w:r>
        <w:rPr>
          <w:spacing w:val="16"/>
          <w:kern w:val="0"/>
        </w:rPr>
        <w:t>中国银保监会湖南监管</w:t>
      </w:r>
      <w:r>
        <w:rPr>
          <w:kern w:val="0"/>
        </w:rPr>
        <w:t>局</w:t>
      </w:r>
    </w:p>
    <w:p>
      <w:pPr>
        <w:ind w:firstLine="5312" w:firstLineChars="1660"/>
      </w:pPr>
      <w:r>
        <w:rPr>
          <w:bCs/>
          <w:szCs w:val="32"/>
        </w:rPr>
        <w:t>2022年4月2</w:t>
      </w:r>
      <w:r>
        <w:rPr>
          <w:rFonts w:hint="eastAsia"/>
          <w:bCs/>
          <w:szCs w:val="32"/>
        </w:rPr>
        <w:t>9</w:t>
      </w:r>
      <w:r>
        <w:rPr>
          <w:bCs/>
          <w:szCs w:val="32"/>
        </w:rPr>
        <w:t>日</w:t>
      </w:r>
    </w:p>
    <w:p>
      <w:pPr>
        <w:ind w:firstLine="640"/>
      </w:pPr>
    </w:p>
    <w:p>
      <w:pPr>
        <w:ind w:firstLine="640"/>
      </w:pPr>
    </w:p>
    <w:p>
      <w:pPr>
        <w:ind w:firstLine="640"/>
      </w:pPr>
    </w:p>
    <w:p>
      <w:pPr>
        <w:ind w:firstLine="640"/>
      </w:pPr>
    </w:p>
    <w:p>
      <w:pPr>
        <w:ind w:firstLine="640"/>
      </w:pPr>
    </w:p>
    <w:p>
      <w:pPr>
        <w:spacing w:line="100" w:lineRule="exact"/>
        <w:ind w:firstLine="0" w:firstLineChars="0"/>
        <w:rPr>
          <w:rFonts w:eastAsia="黑体"/>
          <w:sz w:val="28"/>
          <w:szCs w:val="28"/>
        </w:rPr>
      </w:pPr>
    </w:p>
    <w:p>
      <w:pPr>
        <w:spacing w:line="100" w:lineRule="exact"/>
        <w:ind w:firstLine="0" w:firstLineChars="0"/>
        <w:rPr>
          <w:rFonts w:eastAsia="黑体"/>
          <w:sz w:val="28"/>
          <w:szCs w:val="28"/>
        </w:rPr>
      </w:pPr>
    </w:p>
    <w:p>
      <w:pPr>
        <w:spacing w:line="100" w:lineRule="exact"/>
        <w:ind w:firstLine="0" w:firstLineChars="0"/>
        <w:rPr>
          <w:rFonts w:eastAsia="黑体"/>
          <w:sz w:val="28"/>
          <w:szCs w:val="28"/>
        </w:rPr>
      </w:pPr>
    </w:p>
    <w:p>
      <w:pPr>
        <w:spacing w:line="100" w:lineRule="exact"/>
        <w:ind w:firstLine="0" w:firstLineChars="0"/>
        <w:rPr>
          <w:rFonts w:eastAsia="黑体"/>
          <w:sz w:val="28"/>
          <w:szCs w:val="28"/>
        </w:rPr>
      </w:pPr>
    </w:p>
    <w:p>
      <w:pPr>
        <w:spacing w:line="100" w:lineRule="exact"/>
        <w:ind w:firstLine="0" w:firstLineChars="0"/>
        <w:rPr>
          <w:rFonts w:eastAsia="黑体"/>
          <w:sz w:val="28"/>
          <w:szCs w:val="28"/>
        </w:rPr>
      </w:pPr>
    </w:p>
    <w:p>
      <w:pPr>
        <w:spacing w:line="100" w:lineRule="exact"/>
        <w:ind w:firstLine="0" w:firstLineChars="0"/>
        <w:rPr>
          <w:rFonts w:eastAsia="黑体"/>
          <w:sz w:val="28"/>
          <w:szCs w:val="28"/>
        </w:rPr>
      </w:pPr>
    </w:p>
    <w:p>
      <w:pPr>
        <w:spacing w:line="100" w:lineRule="exact"/>
        <w:ind w:firstLine="0" w:firstLineChars="0"/>
        <w:rPr>
          <w:rFonts w:eastAsia="黑体"/>
          <w:sz w:val="28"/>
          <w:szCs w:val="28"/>
        </w:rPr>
      </w:pPr>
    </w:p>
    <w:p>
      <w:pPr>
        <w:spacing w:line="100" w:lineRule="exact"/>
        <w:ind w:firstLine="0" w:firstLineChars="0"/>
        <w:rPr>
          <w:rFonts w:eastAsia="黑体"/>
          <w:sz w:val="28"/>
          <w:szCs w:val="28"/>
        </w:rPr>
      </w:pPr>
    </w:p>
    <w:p>
      <w:pPr>
        <w:spacing w:line="100" w:lineRule="exact"/>
        <w:ind w:firstLine="0" w:firstLineChars="0"/>
        <w:rPr>
          <w:rFonts w:eastAsia="黑体"/>
          <w:sz w:val="28"/>
          <w:szCs w:val="28"/>
        </w:rPr>
      </w:pPr>
    </w:p>
    <w:p>
      <w:pPr>
        <w:spacing w:line="100" w:lineRule="exact"/>
        <w:ind w:firstLine="0" w:firstLineChars="0"/>
        <w:rPr>
          <w:rFonts w:eastAsia="黑体"/>
          <w:sz w:val="28"/>
          <w:szCs w:val="28"/>
        </w:rPr>
      </w:pPr>
    </w:p>
    <w:p>
      <w:pPr>
        <w:spacing w:line="100" w:lineRule="exact"/>
        <w:ind w:firstLine="0" w:firstLineChars="0"/>
        <w:rPr>
          <w:rFonts w:eastAsia="黑体"/>
          <w:sz w:val="28"/>
          <w:szCs w:val="28"/>
        </w:rPr>
      </w:pPr>
    </w:p>
    <w:p>
      <w:pPr>
        <w:spacing w:line="520" w:lineRule="exact"/>
        <w:ind w:firstLine="0" w:firstLineChars="0"/>
        <w:rPr>
          <w:szCs w:val="32"/>
        </w:rPr>
      </w:pPr>
      <w:r>
        <w:rPr>
          <w:rFonts w:eastAsia="黑体"/>
          <w:sz w:val="28"/>
          <w:szCs w:val="28"/>
        </w:rPr>
        <w:t>信息公开选项：</w:t>
      </w:r>
      <w:r>
        <w:rPr>
          <w:rFonts w:eastAsia="方正小标宋简体"/>
          <w:sz w:val="28"/>
          <w:szCs w:val="28"/>
        </w:rPr>
        <w:t>公开</w:t>
      </w:r>
    </w:p>
    <w:p>
      <w:pPr>
        <w:spacing w:line="520" w:lineRule="exact"/>
        <w:ind w:firstLine="280" w:firstLineChars="100"/>
      </w:pPr>
      <w:r>
        <w:rPr>
          <w:color w:val="000000"/>
          <w:sz w:val="28"/>
          <w:szCs w:val="28"/>
          <w:lang/>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27305</wp:posOffset>
                </wp:positionV>
                <wp:extent cx="5615940" cy="0"/>
                <wp:effectExtent l="0" t="0" r="0" b="0"/>
                <wp:wrapNone/>
                <wp:docPr id="1" name="直线 34"/>
                <wp:cNvGraphicFramePr/>
                <a:graphic xmlns:a="http://schemas.openxmlformats.org/drawingml/2006/main">
                  <a:graphicData uri="http://schemas.microsoft.com/office/word/2010/wordprocessingShape">
                    <wps:wsp>
                      <wps:cNvSp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34" o:spid="_x0000_s1026" o:spt="20" style="position:absolute;left:0pt;margin-left:-0.3pt;margin-top:2.15pt;height:0pt;width:442.2pt;z-index:251659264;mso-width-relative:page;mso-height-relative:page;" filled="f" stroked="t" coordsize="21600,21600" o:gfxdata="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eoWe1QAA&#10;AAUBAAAPAAAAAAAAAAEAIAAAACIAAABkcnMvZG93bnJldi54bWxQSwECFAAUAAAACACHTuJA6lz1&#10;xOgBAADcAwAADgAAAAAAAAABACAAAAAkAQAAZHJzL2Uyb0RvYy54bWxQSwUGAAAAAAYABgBZAQAA&#10;fgUAAAAA&#10;">
                <v:fill on="f" focussize="0,0"/>
                <v:stroke weight="0.35pt" color="#000000" joinstyle="round"/>
                <v:imagedata o:title=""/>
                <o:lock v:ext="edit" aspectratio="f"/>
              </v:line>
            </w:pict>
          </mc:Fallback>
        </mc:AlternateContent>
      </w:r>
      <w:r>
        <w:rPr>
          <w:color w:val="000000"/>
          <w:sz w:val="28"/>
          <w:szCs w:val="28"/>
          <w:lang/>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386715</wp:posOffset>
                </wp:positionV>
                <wp:extent cx="5615940" cy="0"/>
                <wp:effectExtent l="0" t="0" r="0" b="0"/>
                <wp:wrapNone/>
                <wp:docPr id="2" name="直线 35"/>
                <wp:cNvGraphicFramePr/>
                <a:graphic xmlns:a="http://schemas.openxmlformats.org/drawingml/2006/main">
                  <a:graphicData uri="http://schemas.microsoft.com/office/word/2010/wordprocessingShape">
                    <wps:wsp>
                      <wps:cNvSp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35" o:spid="_x0000_s1026" o:spt="20" style="position:absolute;left:0pt;margin-left:0pt;margin-top:30.45pt;height:0pt;width:442.2pt;z-index:251660288;mso-width-relative:page;mso-height-relative:page;" filled="f" stroked="t" coordsize="21600,21600" o:gfxdata="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mGZvvW&#10;AAAABgEAAA8AAAAAAAAAAQAgAAAAIgAAAGRycy9kb3ducmV2LnhtbFBLAQIUABQAAAAIAIdO4kDc&#10;5pFQ6QEAANwDAAAOAAAAAAAAAAEAIAAAACUBAABkcnMvZTJvRG9jLnhtbFBLBQYAAAAABgAGAFkB&#10;AACABQAAAAA=&#10;">
                <v:fill on="f" focussize="0,0"/>
                <v:stroke weight="0.35pt" color="#000000" joinstyle="round"/>
                <v:imagedata o:title=""/>
                <o:lock v:ext="edit" aspectratio="f"/>
              </v:line>
            </w:pict>
          </mc:Fallback>
        </mc:AlternateContent>
      </w:r>
      <w:r>
        <w:rPr>
          <w:color w:val="000000"/>
          <w:sz w:val="28"/>
          <w:szCs w:val="28"/>
          <w:lang/>
        </w:rPr>
        <w:t>湖南省农业农村厅办公室                  2022年4月2</w:t>
      </w:r>
      <w:r>
        <w:rPr>
          <w:rFonts w:hint="eastAsia"/>
          <w:color w:val="000000"/>
          <w:sz w:val="28"/>
          <w:szCs w:val="28"/>
          <w:lang/>
        </w:rPr>
        <w:t>9</w:t>
      </w:r>
      <w:r>
        <w:rPr>
          <w:color w:val="000000"/>
          <w:sz w:val="28"/>
          <w:szCs w:val="28"/>
          <w:lang/>
        </w:rPr>
        <w:t>日印发</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88" w:gutter="0"/>
      <w:cols w:space="425" w:num="1"/>
      <w:docGrid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560"/>
      <w:jc w:val="right"/>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r>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hyphenationZone w:val="360"/>
  <w:evenAndOddHeaders w:val="1"/>
  <w:drawingGridHorizontalSpacing w:val="160"/>
  <w:drawingGridVerticalSpacing w:val="579"/>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ED1"/>
    <w:rsid w:val="00006C32"/>
    <w:rsid w:val="00007908"/>
    <w:rsid w:val="00007930"/>
    <w:rsid w:val="00015384"/>
    <w:rsid w:val="00026A2A"/>
    <w:rsid w:val="000357C4"/>
    <w:rsid w:val="00036F5F"/>
    <w:rsid w:val="00057849"/>
    <w:rsid w:val="0009001B"/>
    <w:rsid w:val="000A4161"/>
    <w:rsid w:val="000C0B9F"/>
    <w:rsid w:val="000D3ADA"/>
    <w:rsid w:val="000D7E84"/>
    <w:rsid w:val="000E2A6E"/>
    <w:rsid w:val="000F65AD"/>
    <w:rsid w:val="000F75DA"/>
    <w:rsid w:val="00100547"/>
    <w:rsid w:val="00110E2F"/>
    <w:rsid w:val="0012569B"/>
    <w:rsid w:val="00135B52"/>
    <w:rsid w:val="00136317"/>
    <w:rsid w:val="00137536"/>
    <w:rsid w:val="001377BA"/>
    <w:rsid w:val="00141407"/>
    <w:rsid w:val="001434CB"/>
    <w:rsid w:val="00152CBC"/>
    <w:rsid w:val="00154AFE"/>
    <w:rsid w:val="0015554F"/>
    <w:rsid w:val="001631E3"/>
    <w:rsid w:val="001B01BD"/>
    <w:rsid w:val="001B5254"/>
    <w:rsid w:val="001D487E"/>
    <w:rsid w:val="001F128B"/>
    <w:rsid w:val="001F7324"/>
    <w:rsid w:val="001F7E44"/>
    <w:rsid w:val="0020637D"/>
    <w:rsid w:val="0022371B"/>
    <w:rsid w:val="0023788E"/>
    <w:rsid w:val="00237E8F"/>
    <w:rsid w:val="00251ED1"/>
    <w:rsid w:val="002743E6"/>
    <w:rsid w:val="0028258E"/>
    <w:rsid w:val="002873F4"/>
    <w:rsid w:val="002A0915"/>
    <w:rsid w:val="002C2BE9"/>
    <w:rsid w:val="002D5F5D"/>
    <w:rsid w:val="002E02FE"/>
    <w:rsid w:val="002E2656"/>
    <w:rsid w:val="003326BD"/>
    <w:rsid w:val="003356D6"/>
    <w:rsid w:val="0036402B"/>
    <w:rsid w:val="00366BAD"/>
    <w:rsid w:val="00380160"/>
    <w:rsid w:val="00383C45"/>
    <w:rsid w:val="00390B5C"/>
    <w:rsid w:val="003B61D2"/>
    <w:rsid w:val="003B6F33"/>
    <w:rsid w:val="003C2A71"/>
    <w:rsid w:val="003D1A2E"/>
    <w:rsid w:val="003E6E7A"/>
    <w:rsid w:val="003F6AF4"/>
    <w:rsid w:val="00416403"/>
    <w:rsid w:val="0042011E"/>
    <w:rsid w:val="00433F75"/>
    <w:rsid w:val="00453CC2"/>
    <w:rsid w:val="00457133"/>
    <w:rsid w:val="0048169E"/>
    <w:rsid w:val="0048606E"/>
    <w:rsid w:val="00490C4F"/>
    <w:rsid w:val="00495846"/>
    <w:rsid w:val="004A4F35"/>
    <w:rsid w:val="004B4FE9"/>
    <w:rsid w:val="004C2184"/>
    <w:rsid w:val="004C5413"/>
    <w:rsid w:val="004D0131"/>
    <w:rsid w:val="004E6FE0"/>
    <w:rsid w:val="004F36C2"/>
    <w:rsid w:val="0050070A"/>
    <w:rsid w:val="005023BE"/>
    <w:rsid w:val="005110C5"/>
    <w:rsid w:val="00527AFA"/>
    <w:rsid w:val="005406AF"/>
    <w:rsid w:val="00543109"/>
    <w:rsid w:val="005513D6"/>
    <w:rsid w:val="00574D30"/>
    <w:rsid w:val="005B16E7"/>
    <w:rsid w:val="005B249C"/>
    <w:rsid w:val="005B2D51"/>
    <w:rsid w:val="005C00DA"/>
    <w:rsid w:val="005D697B"/>
    <w:rsid w:val="005E320E"/>
    <w:rsid w:val="005F3FF1"/>
    <w:rsid w:val="005F5909"/>
    <w:rsid w:val="00620A06"/>
    <w:rsid w:val="006225F3"/>
    <w:rsid w:val="00651BE5"/>
    <w:rsid w:val="006874D6"/>
    <w:rsid w:val="0069343F"/>
    <w:rsid w:val="00696FFA"/>
    <w:rsid w:val="006A58D5"/>
    <w:rsid w:val="006A5D35"/>
    <w:rsid w:val="006B2A1B"/>
    <w:rsid w:val="006C1E2E"/>
    <w:rsid w:val="006D180D"/>
    <w:rsid w:val="006D3289"/>
    <w:rsid w:val="006E5060"/>
    <w:rsid w:val="006E5C7E"/>
    <w:rsid w:val="006F63B1"/>
    <w:rsid w:val="00702354"/>
    <w:rsid w:val="00706782"/>
    <w:rsid w:val="00711091"/>
    <w:rsid w:val="00721622"/>
    <w:rsid w:val="00725418"/>
    <w:rsid w:val="007328CB"/>
    <w:rsid w:val="0073790C"/>
    <w:rsid w:val="0075390B"/>
    <w:rsid w:val="00753FFD"/>
    <w:rsid w:val="007568E8"/>
    <w:rsid w:val="007871E1"/>
    <w:rsid w:val="007934A6"/>
    <w:rsid w:val="007A1092"/>
    <w:rsid w:val="007A4D76"/>
    <w:rsid w:val="007A5355"/>
    <w:rsid w:val="007B1497"/>
    <w:rsid w:val="007C7113"/>
    <w:rsid w:val="007D02AB"/>
    <w:rsid w:val="007D3A6D"/>
    <w:rsid w:val="007E39B1"/>
    <w:rsid w:val="0080406F"/>
    <w:rsid w:val="00812925"/>
    <w:rsid w:val="00820BE2"/>
    <w:rsid w:val="008213BF"/>
    <w:rsid w:val="00821DD4"/>
    <w:rsid w:val="00824B52"/>
    <w:rsid w:val="00835EA0"/>
    <w:rsid w:val="008413A8"/>
    <w:rsid w:val="008623AE"/>
    <w:rsid w:val="0087469D"/>
    <w:rsid w:val="008756A5"/>
    <w:rsid w:val="0088162C"/>
    <w:rsid w:val="00897B46"/>
    <w:rsid w:val="008A18F4"/>
    <w:rsid w:val="008B2EAC"/>
    <w:rsid w:val="008B6A32"/>
    <w:rsid w:val="008C17DA"/>
    <w:rsid w:val="008C619D"/>
    <w:rsid w:val="008D0FC0"/>
    <w:rsid w:val="008D32D2"/>
    <w:rsid w:val="008D418C"/>
    <w:rsid w:val="008E7182"/>
    <w:rsid w:val="008F579D"/>
    <w:rsid w:val="00901CF8"/>
    <w:rsid w:val="00920DD7"/>
    <w:rsid w:val="0094793F"/>
    <w:rsid w:val="00975CE7"/>
    <w:rsid w:val="00977FED"/>
    <w:rsid w:val="009935AF"/>
    <w:rsid w:val="009935C7"/>
    <w:rsid w:val="009A6FFC"/>
    <w:rsid w:val="009E07E8"/>
    <w:rsid w:val="009F168E"/>
    <w:rsid w:val="009F1928"/>
    <w:rsid w:val="00A01C13"/>
    <w:rsid w:val="00A23531"/>
    <w:rsid w:val="00A31182"/>
    <w:rsid w:val="00A6012A"/>
    <w:rsid w:val="00A60E00"/>
    <w:rsid w:val="00A650ED"/>
    <w:rsid w:val="00A67F3B"/>
    <w:rsid w:val="00A70CA8"/>
    <w:rsid w:val="00A826EB"/>
    <w:rsid w:val="00A92460"/>
    <w:rsid w:val="00A95740"/>
    <w:rsid w:val="00A9794D"/>
    <w:rsid w:val="00AC54F9"/>
    <w:rsid w:val="00AD3EE8"/>
    <w:rsid w:val="00AD4BBF"/>
    <w:rsid w:val="00AE253A"/>
    <w:rsid w:val="00B02E3A"/>
    <w:rsid w:val="00B0529F"/>
    <w:rsid w:val="00B10150"/>
    <w:rsid w:val="00B11137"/>
    <w:rsid w:val="00B139AA"/>
    <w:rsid w:val="00B142D4"/>
    <w:rsid w:val="00B23AFB"/>
    <w:rsid w:val="00B23B84"/>
    <w:rsid w:val="00B32D4B"/>
    <w:rsid w:val="00B37628"/>
    <w:rsid w:val="00B45824"/>
    <w:rsid w:val="00B45DEE"/>
    <w:rsid w:val="00B51627"/>
    <w:rsid w:val="00B54BBB"/>
    <w:rsid w:val="00B700E5"/>
    <w:rsid w:val="00B76D1A"/>
    <w:rsid w:val="00B8517D"/>
    <w:rsid w:val="00BA0EB5"/>
    <w:rsid w:val="00BA1694"/>
    <w:rsid w:val="00BA7C79"/>
    <w:rsid w:val="00BB1ABF"/>
    <w:rsid w:val="00BB3DE4"/>
    <w:rsid w:val="00BB65B3"/>
    <w:rsid w:val="00BD741D"/>
    <w:rsid w:val="00BE376F"/>
    <w:rsid w:val="00BF022D"/>
    <w:rsid w:val="00C05AAA"/>
    <w:rsid w:val="00C07722"/>
    <w:rsid w:val="00C2394D"/>
    <w:rsid w:val="00C66523"/>
    <w:rsid w:val="00C73CAE"/>
    <w:rsid w:val="00C86A8F"/>
    <w:rsid w:val="00C975DF"/>
    <w:rsid w:val="00CA54C3"/>
    <w:rsid w:val="00CC2C40"/>
    <w:rsid w:val="00CC6D71"/>
    <w:rsid w:val="00CD10A8"/>
    <w:rsid w:val="00CD47FD"/>
    <w:rsid w:val="00D20223"/>
    <w:rsid w:val="00D258C0"/>
    <w:rsid w:val="00D36596"/>
    <w:rsid w:val="00D46088"/>
    <w:rsid w:val="00D92ECD"/>
    <w:rsid w:val="00DA0A3D"/>
    <w:rsid w:val="00DB1D7E"/>
    <w:rsid w:val="00DB20E7"/>
    <w:rsid w:val="00DB4ABF"/>
    <w:rsid w:val="00DC36B6"/>
    <w:rsid w:val="00DC37CA"/>
    <w:rsid w:val="00DE0051"/>
    <w:rsid w:val="00DE4A7A"/>
    <w:rsid w:val="00DF0156"/>
    <w:rsid w:val="00DF1B80"/>
    <w:rsid w:val="00E00497"/>
    <w:rsid w:val="00E12F6F"/>
    <w:rsid w:val="00E1324C"/>
    <w:rsid w:val="00E3159F"/>
    <w:rsid w:val="00E35410"/>
    <w:rsid w:val="00E373AB"/>
    <w:rsid w:val="00E45A24"/>
    <w:rsid w:val="00E5564F"/>
    <w:rsid w:val="00E67FF3"/>
    <w:rsid w:val="00E80EB8"/>
    <w:rsid w:val="00E922AC"/>
    <w:rsid w:val="00E95FB7"/>
    <w:rsid w:val="00EB13FB"/>
    <w:rsid w:val="00EB73DF"/>
    <w:rsid w:val="00EC7DD2"/>
    <w:rsid w:val="00EF3047"/>
    <w:rsid w:val="00EF36D4"/>
    <w:rsid w:val="00F0471F"/>
    <w:rsid w:val="00F143F0"/>
    <w:rsid w:val="00F450ED"/>
    <w:rsid w:val="00F509BB"/>
    <w:rsid w:val="00F567D6"/>
    <w:rsid w:val="00F75FD2"/>
    <w:rsid w:val="00F8471D"/>
    <w:rsid w:val="00F93740"/>
    <w:rsid w:val="00F97870"/>
    <w:rsid w:val="00FB550D"/>
    <w:rsid w:val="00FC4DD3"/>
    <w:rsid w:val="00FE430D"/>
    <w:rsid w:val="00FE71C3"/>
    <w:rsid w:val="00FF1E10"/>
    <w:rsid w:val="00FF2183"/>
    <w:rsid w:val="00FF5905"/>
    <w:rsid w:val="16B670F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eastAsia="仿宋_GB2312"/>
      <w:kern w:val="2"/>
      <w:sz w:val="32"/>
      <w:szCs w:val="24"/>
      <w:lang w:val="en-US" w:eastAsia="zh-CN" w:bidi="ar-SA"/>
    </w:rPr>
  </w:style>
  <w:style w:type="paragraph" w:styleId="2">
    <w:name w:val="heading 1"/>
    <w:basedOn w:val="1"/>
    <w:next w:val="1"/>
    <w:qFormat/>
    <w:uiPriority w:val="0"/>
    <w:pPr>
      <w:keepNext/>
      <w:keepLines/>
      <w:spacing w:line="700" w:lineRule="exact"/>
      <w:ind w:firstLine="0" w:firstLineChars="0"/>
      <w:jc w:val="center"/>
      <w:outlineLvl w:val="0"/>
    </w:pPr>
    <w:rPr>
      <w:rFonts w:eastAsia="方正小标宋简体"/>
      <w:bCs/>
      <w:kern w:val="44"/>
      <w:sz w:val="44"/>
      <w:szCs w:val="44"/>
    </w:rPr>
  </w:style>
  <w:style w:type="paragraph" w:styleId="3">
    <w:name w:val="heading 2"/>
    <w:basedOn w:val="1"/>
    <w:next w:val="1"/>
    <w:link w:val="25"/>
    <w:qFormat/>
    <w:uiPriority w:val="0"/>
    <w:pPr>
      <w:keepNext/>
      <w:keepLines/>
      <w:ind w:firstLine="200" w:firstLineChars="200"/>
      <w:outlineLvl w:val="1"/>
    </w:pPr>
    <w:rPr>
      <w:rFonts w:eastAsia="黑体"/>
      <w:bCs/>
      <w:szCs w:val="32"/>
    </w:rPr>
  </w:style>
  <w:style w:type="paragraph" w:styleId="4">
    <w:name w:val="heading 3"/>
    <w:basedOn w:val="1"/>
    <w:next w:val="1"/>
    <w:link w:val="23"/>
    <w:qFormat/>
    <w:uiPriority w:val="0"/>
    <w:pPr>
      <w:keepNext/>
      <w:keepLines/>
      <w:outlineLvl w:val="2"/>
    </w:pPr>
    <w:rPr>
      <w:rFonts w:eastAsia="楷体_GB2312"/>
      <w:b/>
      <w:bCs/>
      <w:szCs w:val="32"/>
    </w:rPr>
  </w:style>
  <w:style w:type="paragraph" w:styleId="5">
    <w:name w:val="heading 4"/>
    <w:basedOn w:val="1"/>
    <w:next w:val="1"/>
    <w:link w:val="26"/>
    <w:qFormat/>
    <w:uiPriority w:val="0"/>
    <w:pPr>
      <w:outlineLvl w:val="3"/>
    </w:pPr>
    <w:rPr>
      <w:bCs/>
      <w:szCs w:val="28"/>
    </w:rPr>
  </w:style>
  <w:style w:type="character" w:default="1" w:styleId="15">
    <w:name w:val="Default Paragraph Font"/>
    <w:semiHidden/>
    <w:uiPriority w:val="0"/>
  </w:style>
  <w:style w:type="table" w:default="1" w:styleId="13">
    <w:name w:val="Normal Table"/>
    <w:semiHidden/>
    <w:uiPriority w:val="0"/>
    <w:tblPr>
      <w:tblStyle w:val="13"/>
      <w:tblCellMar>
        <w:top w:w="0" w:type="dxa"/>
        <w:left w:w="108" w:type="dxa"/>
        <w:bottom w:w="0" w:type="dxa"/>
        <w:right w:w="108" w:type="dxa"/>
      </w:tblCellMar>
    </w:tblPr>
    <w:trPr>
      <w:wBefore w:w="0" w:type="dxa"/>
    </w:trPr>
  </w:style>
  <w:style w:type="paragraph" w:styleId="6">
    <w:name w:val="Normal Indent"/>
    <w:basedOn w:val="1"/>
    <w:uiPriority w:val="0"/>
    <w:pPr>
      <w:spacing w:line="590" w:lineRule="atLeast"/>
      <w:ind w:firstLine="420"/>
    </w:pPr>
  </w:style>
  <w:style w:type="paragraph" w:styleId="7">
    <w:name w:val="Body Text 3"/>
    <w:basedOn w:val="1"/>
    <w:uiPriority w:val="0"/>
    <w:pPr>
      <w:spacing w:after="120"/>
    </w:pPr>
    <w:rPr>
      <w:sz w:val="16"/>
      <w:szCs w:val="16"/>
    </w:rPr>
  </w:style>
  <w:style w:type="paragraph" w:styleId="8">
    <w:name w:val="Date"/>
    <w:basedOn w:val="1"/>
    <w:next w:val="1"/>
    <w:uiPriority w:val="0"/>
    <w:pPr>
      <w:ind w:left="100" w:leftChars="2500"/>
    </w:pPr>
  </w:style>
  <w:style w:type="paragraph" w:styleId="9">
    <w:name w:val="Body Text Indent 2"/>
    <w:basedOn w:val="1"/>
    <w:uiPriority w:val="0"/>
    <w:pPr>
      <w:adjustRightInd/>
      <w:snapToGrid/>
      <w:spacing w:line="240" w:lineRule="auto"/>
      <w:ind w:firstLine="420"/>
    </w:pPr>
    <w:rPr>
      <w:rFonts w:ascii="仿宋_GB2312"/>
      <w:color w:val="FF6600"/>
      <w:sz w:val="21"/>
    </w:rPr>
  </w:style>
  <w:style w:type="paragraph" w:styleId="10">
    <w:name w:val="Balloon Text"/>
    <w:basedOn w:val="1"/>
    <w:link w:val="22"/>
    <w:semiHidden/>
    <w:uiPriority w:val="0"/>
    <w:pPr>
      <w:adjustRightInd/>
      <w:snapToGrid/>
      <w:spacing w:line="240" w:lineRule="auto"/>
      <w:ind w:firstLine="0" w:firstLineChars="0"/>
    </w:pPr>
    <w:rPr>
      <w:rFonts w:eastAsia="宋体"/>
      <w:sz w:val="18"/>
      <w:szCs w:val="18"/>
    </w:rPr>
  </w:style>
  <w:style w:type="paragraph" w:styleId="11">
    <w:name w:val="footer"/>
    <w:basedOn w:val="1"/>
    <w:link w:val="18"/>
    <w:uiPriority w:val="99"/>
    <w:pPr>
      <w:tabs>
        <w:tab w:val="center" w:pos="4153"/>
        <w:tab w:val="right" w:pos="8306"/>
      </w:tabs>
      <w:snapToGrid w:val="0"/>
      <w:spacing w:line="240" w:lineRule="atLeast"/>
      <w:jc w:val="left"/>
    </w:pPr>
    <w:rPr>
      <w:sz w:val="18"/>
      <w:szCs w:val="18"/>
    </w:rPr>
  </w:style>
  <w:style w:type="paragraph" w:styleId="12">
    <w:name w:val="header"/>
    <w:basedOn w:val="1"/>
    <w:link w:val="19"/>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14">
    <w:name w:val="Table Grid"/>
    <w:basedOn w:val="13"/>
    <w:uiPriority w:val="0"/>
    <w:pPr>
      <w:widowControl w:val="0"/>
      <w:adjustRightInd w:val="0"/>
      <w:snapToGrid w:val="0"/>
      <w:spacing w:line="590" w:lineRule="atLeast"/>
      <w:ind w:firstLine="200" w:firstLineChars="20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uiPriority w:val="0"/>
  </w:style>
  <w:style w:type="character" w:styleId="17">
    <w:name w:val="Hyperlink"/>
    <w:unhideWhenUsed/>
    <w:uiPriority w:val="99"/>
    <w:rPr>
      <w:color w:val="0000FF"/>
      <w:u w:val="single"/>
    </w:rPr>
  </w:style>
  <w:style w:type="character" w:customStyle="1" w:styleId="18">
    <w:name w:val="页脚 Char"/>
    <w:link w:val="11"/>
    <w:uiPriority w:val="99"/>
    <w:rPr>
      <w:rFonts w:eastAsia="仿宋_GB2312"/>
      <w:kern w:val="2"/>
      <w:sz w:val="18"/>
      <w:szCs w:val="18"/>
      <w:lang w:val="en-US" w:eastAsia="zh-CN" w:bidi="ar-SA"/>
    </w:rPr>
  </w:style>
  <w:style w:type="character" w:customStyle="1" w:styleId="19">
    <w:name w:val="页眉 Char"/>
    <w:link w:val="12"/>
    <w:semiHidden/>
    <w:uiPriority w:val="0"/>
    <w:rPr>
      <w:rFonts w:eastAsia="仿宋_GB2312"/>
      <w:kern w:val="2"/>
      <w:sz w:val="18"/>
      <w:szCs w:val="18"/>
      <w:lang w:val="en-US" w:eastAsia="zh-CN" w:bidi="ar-SA"/>
    </w:rPr>
  </w:style>
  <w:style w:type="paragraph" w:customStyle="1" w:styleId="20">
    <w:name w:val="表头"/>
    <w:basedOn w:val="1"/>
    <w:uiPriority w:val="0"/>
    <w:pPr>
      <w:spacing w:before="80" w:after="80" w:line="280" w:lineRule="atLeast"/>
      <w:ind w:firstLine="0" w:firstLineChars="0"/>
      <w:jc w:val="center"/>
    </w:pPr>
    <w:rPr>
      <w:rFonts w:eastAsia="黑体" w:cs="宋体"/>
      <w:sz w:val="24"/>
    </w:rPr>
  </w:style>
  <w:style w:type="paragraph" w:customStyle="1" w:styleId="21">
    <w:name w:val="表内文字"/>
    <w:basedOn w:val="1"/>
    <w:uiPriority w:val="0"/>
    <w:pPr>
      <w:spacing w:before="60" w:after="60" w:line="280" w:lineRule="atLeast"/>
      <w:ind w:firstLine="0" w:firstLineChars="0"/>
    </w:pPr>
    <w:rPr>
      <w:sz w:val="24"/>
    </w:rPr>
  </w:style>
  <w:style w:type="character" w:customStyle="1" w:styleId="22">
    <w:name w:val="批注框文本 Char"/>
    <w:link w:val="10"/>
    <w:semiHidden/>
    <w:uiPriority w:val="0"/>
    <w:rPr>
      <w:rFonts w:eastAsia="宋体"/>
      <w:kern w:val="2"/>
      <w:sz w:val="18"/>
      <w:szCs w:val="18"/>
      <w:lang w:val="en-US" w:eastAsia="zh-CN" w:bidi="ar-SA"/>
    </w:rPr>
  </w:style>
  <w:style w:type="character" w:customStyle="1" w:styleId="23">
    <w:name w:val="标题 3 Char"/>
    <w:link w:val="4"/>
    <w:uiPriority w:val="0"/>
    <w:rPr>
      <w:rFonts w:eastAsia="楷体_GB2312"/>
      <w:b/>
      <w:bCs/>
      <w:kern w:val="2"/>
      <w:sz w:val="32"/>
      <w:szCs w:val="32"/>
      <w:lang w:val="en-US" w:eastAsia="zh-CN" w:bidi="ar-SA"/>
    </w:rPr>
  </w:style>
  <w:style w:type="paragraph" w:customStyle="1" w:styleId="24">
    <w:name w:val="p0"/>
    <w:basedOn w:val="1"/>
    <w:uiPriority w:val="0"/>
    <w:pPr>
      <w:widowControl/>
      <w:adjustRightInd/>
      <w:snapToGrid/>
      <w:spacing w:line="240" w:lineRule="auto"/>
      <w:ind w:firstLine="0" w:firstLineChars="0"/>
    </w:pPr>
    <w:rPr>
      <w:rFonts w:eastAsia="宋体"/>
      <w:kern w:val="0"/>
      <w:sz w:val="21"/>
      <w:szCs w:val="21"/>
    </w:rPr>
  </w:style>
  <w:style w:type="character" w:customStyle="1" w:styleId="25">
    <w:name w:val="标题 2 Char"/>
    <w:link w:val="3"/>
    <w:uiPriority w:val="0"/>
    <w:rPr>
      <w:rFonts w:eastAsia="黑体"/>
      <w:bCs/>
      <w:kern w:val="2"/>
      <w:sz w:val="32"/>
      <w:szCs w:val="32"/>
      <w:lang w:val="en-US" w:eastAsia="zh-CN" w:bidi="ar-SA"/>
    </w:rPr>
  </w:style>
  <w:style w:type="character" w:customStyle="1" w:styleId="26">
    <w:name w:val="标题 4 Char"/>
    <w:link w:val="5"/>
    <w:uiPriority w:val="0"/>
    <w:rPr>
      <w:rFonts w:eastAsia="仿宋_GB2312"/>
      <w:bCs/>
      <w:kern w:val="2"/>
      <w:sz w:val="32"/>
      <w:szCs w:val="28"/>
      <w:lang w:val="en-US" w:eastAsia="zh-CN" w:bidi="ar-SA"/>
    </w:rPr>
  </w:style>
  <w:style w:type="paragraph" w:customStyle="1" w:styleId="27">
    <w:name w:val="List Paragraph"/>
    <w:basedOn w:val="1"/>
    <w:uiPriority w:val="0"/>
    <w:pPr>
      <w:adjustRightInd/>
      <w:snapToGrid/>
      <w:spacing w:line="240" w:lineRule="auto"/>
      <w:ind w:firstLine="420"/>
    </w:pPr>
    <w:rPr>
      <w:rFonts w:ascii="Calibri" w:hAnsi="Calibri" w:eastAsia="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1500</Words>
  <Characters>1526</Characters>
  <Lines>11</Lines>
  <Paragraphs>3</Paragraphs>
  <TotalTime>0</TotalTime>
  <ScaleCrop>false</ScaleCrop>
  <LinksUpToDate>false</LinksUpToDate>
  <CharactersWithSpaces>1566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2022-09-16T07:49:00Z</dcterms:created>
  <dc:creator>walkinnet</dc:creator>
  <cp:lastModifiedBy>万全鹏</cp:lastModifiedBy>
  <cp:lastPrinted>2022-04-27T08:44:00Z</cp:lastPrinted>
  <dcterms:modified xsi:type="dcterms:W3CDTF">2022-11-09T01:40:12Z</dcterms:modified>
  <dc:title>湘农业函〔2014〕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4B24DE858FB1452988869B6AB103E3B5</vt:lpwstr>
  </property>
</Properties>
</file>