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rPr>
      </w:pPr>
      <w:r>
        <w:rPr>
          <w:rFonts w:hint="eastAsia"/>
        </w:rPr>
        <w:t>HNPR-2022-17008</w:t>
      </w:r>
    </w:p>
    <w:p>
      <w:pPr>
        <w:ind w:firstLine="0" w:firstLineChars="0"/>
        <w:rPr>
          <w:rFonts w:hint="eastAsia"/>
        </w:rPr>
      </w:pPr>
    </w:p>
    <w:p>
      <w:pPr>
        <w:ind w:firstLine="0" w:firstLineChars="0"/>
      </w:pPr>
    </w:p>
    <w:p>
      <w:pPr>
        <w:ind w:firstLine="600"/>
        <w:rPr>
          <w:rFonts w:eastAsia="宋体"/>
          <w:sz w:val="30"/>
          <w:szCs w:val="30"/>
        </w:rPr>
      </w:pPr>
    </w:p>
    <w:p>
      <w:pPr>
        <w:pStyle w:val="2"/>
      </w:pPr>
      <w:r>
        <w:t>湖南省农业农村厅  湖南省财政厅</w:t>
      </w:r>
    </w:p>
    <w:p>
      <w:pPr>
        <w:pStyle w:val="2"/>
      </w:pPr>
      <w:r>
        <w:t>关于印发《湖南省优势特色产业集群项目</w:t>
      </w:r>
    </w:p>
    <w:p>
      <w:pPr>
        <w:pStyle w:val="2"/>
      </w:pPr>
      <w:r>
        <w:t>管理暂行办法》的通知</w:t>
      </w:r>
    </w:p>
    <w:p>
      <w:pPr>
        <w:ind w:firstLine="640"/>
      </w:pPr>
    </w:p>
    <w:p>
      <w:pPr>
        <w:ind w:firstLine="640"/>
        <w:jc w:val="center"/>
      </w:pPr>
      <w:r>
        <w:rPr>
          <w:color w:val="000000"/>
          <w:szCs w:val="32"/>
        </w:rPr>
        <w:t>湘农联〔2022〕81号</w:t>
      </w:r>
    </w:p>
    <w:p>
      <w:pPr>
        <w:spacing w:line="600" w:lineRule="atLeast"/>
        <w:ind w:firstLine="0" w:firstLineChars="0"/>
      </w:pPr>
    </w:p>
    <w:p>
      <w:pPr>
        <w:spacing w:line="600" w:lineRule="atLeast"/>
        <w:ind w:firstLine="0" w:firstLineChars="0"/>
      </w:pPr>
      <w:r>
        <w:t>各市州、县市区农业农村局、财政局，省级有关项目承担单位：</w:t>
      </w:r>
    </w:p>
    <w:p>
      <w:pPr>
        <w:spacing w:line="600" w:lineRule="atLeast"/>
        <w:ind w:firstLine="640"/>
      </w:pPr>
      <w:r>
        <w:t>根据农业农村部、财政部关于农业优势特色产业集群建设有关要求，为有序推进产业集群建设，进一步规范程序、落实责任、强化监管，结合我省实际，我们制定了《湖南省优势特色产业集群项目管理暂行办法》，现印发给你们，请遵照执行。</w:t>
      </w:r>
    </w:p>
    <w:p>
      <w:pPr>
        <w:ind w:firstLine="640"/>
      </w:pPr>
    </w:p>
    <w:p>
      <w:pPr>
        <w:ind w:firstLine="640"/>
      </w:pPr>
    </w:p>
    <w:p>
      <w:pPr>
        <w:pStyle w:val="5"/>
        <w:ind w:firstLine="720"/>
      </w:pPr>
      <w:r>
        <w:rPr>
          <w:spacing w:val="20"/>
          <w:szCs w:val="32"/>
        </w:rPr>
        <w:t>湖南省农业农村厅</w:t>
      </w:r>
      <w:r>
        <w:t xml:space="preserve">            </w:t>
      </w:r>
      <w:r>
        <w:rPr>
          <w:spacing w:val="30"/>
          <w:szCs w:val="32"/>
        </w:rPr>
        <w:t>湖南省财政厅</w:t>
      </w:r>
    </w:p>
    <w:p>
      <w:pPr>
        <w:pStyle w:val="5"/>
        <w:ind w:firstLine="601" w:firstLineChars="188"/>
      </w:pPr>
      <w:r>
        <w:t xml:space="preserve">                              2022年8月29日</w:t>
      </w:r>
    </w:p>
    <w:p>
      <w:pPr>
        <w:spacing w:line="400" w:lineRule="atLeast"/>
        <w:ind w:firstLine="640"/>
      </w:pPr>
      <w:r>
        <w:br w:type="page"/>
      </w:r>
    </w:p>
    <w:p>
      <w:pPr>
        <w:pStyle w:val="2"/>
      </w:pPr>
      <w:r>
        <w:t>湖南省优势特色产业集群项目管理暂行办法</w:t>
      </w:r>
    </w:p>
    <w:p>
      <w:pPr>
        <w:ind w:firstLine="640"/>
      </w:pPr>
    </w:p>
    <w:p>
      <w:pPr>
        <w:ind w:firstLine="0" w:firstLineChars="0"/>
        <w:jc w:val="center"/>
        <w:rPr>
          <w:rFonts w:eastAsia="黑体"/>
          <w:bCs/>
        </w:rPr>
      </w:pPr>
      <w:r>
        <w:rPr>
          <w:rFonts w:eastAsia="黑体"/>
          <w:bCs/>
        </w:rPr>
        <w:t>第一章  总 则</w:t>
      </w:r>
    </w:p>
    <w:p>
      <w:pPr>
        <w:ind w:firstLine="640"/>
      </w:pPr>
      <w:r>
        <w:rPr>
          <w:rStyle w:val="19"/>
        </w:rPr>
        <w:t>第一条</w:t>
      </w:r>
      <w:r>
        <w:t xml:space="preserve">  为加强和规范优势特色产业集群项目（以下简称项目）管理，提高资金使用效益，根据《财政部 农业农村部关于修订农业相关转移支付资金管理办法的通知》</w:t>
      </w:r>
      <w:r>
        <w:rPr>
          <w:rFonts w:hint="eastAsia"/>
        </w:rPr>
        <w:t>（</w:t>
      </w:r>
      <w:r>
        <w:t>财农〔2022〕25号</w:t>
      </w:r>
      <w:r>
        <w:rPr>
          <w:rFonts w:hint="eastAsia"/>
        </w:rPr>
        <w:t>）</w:t>
      </w:r>
      <w:r>
        <w:t>、《农业农村部</w:t>
      </w:r>
      <w:r>
        <w:rPr>
          <w:rFonts w:hint="eastAsia"/>
        </w:rPr>
        <w:t>办公厅</w:t>
      </w:r>
      <w:r>
        <w:t xml:space="preserve"> 财政部</w:t>
      </w:r>
      <w:r>
        <w:rPr>
          <w:rFonts w:hint="eastAsia"/>
        </w:rPr>
        <w:t>办公厅</w:t>
      </w:r>
      <w:r>
        <w:t>关于开展优势特色产业集群建设的通知》(农办计财〔2020〕7号)等有关文件规定，结合我省实际，制定</w:t>
      </w:r>
      <w:r>
        <w:rPr>
          <w:rFonts w:hint="eastAsia"/>
        </w:rPr>
        <w:t>本暂行办法</w:t>
      </w:r>
      <w:r>
        <w:t>。</w:t>
      </w:r>
    </w:p>
    <w:p>
      <w:pPr>
        <w:ind w:firstLine="640"/>
      </w:pPr>
      <w:r>
        <w:rPr>
          <w:rStyle w:val="19"/>
        </w:rPr>
        <w:t>第二条</w:t>
      </w:r>
      <w:r>
        <w:t xml:space="preserve">  </w:t>
      </w:r>
      <w:r>
        <w:rPr>
          <w:rFonts w:hint="eastAsia"/>
        </w:rPr>
        <w:t>本暂行办法</w:t>
      </w:r>
      <w:r>
        <w:t>适用于农业农村部、财政部批复的优势特色产业集群项目建设管理。</w:t>
      </w:r>
    </w:p>
    <w:p>
      <w:pPr>
        <w:ind w:firstLine="640"/>
      </w:pPr>
      <w:r>
        <w:rPr>
          <w:rStyle w:val="19"/>
        </w:rPr>
        <w:t>第三条</w:t>
      </w:r>
      <w:r>
        <w:rPr>
          <w:rFonts w:eastAsia="楷体"/>
        </w:rPr>
        <w:t xml:space="preserve">  </w:t>
      </w:r>
      <w:r>
        <w:t>项目建设实行省负总责，市州、县市区及省直相关单位抓落实的工作机制。</w:t>
      </w:r>
    </w:p>
    <w:p>
      <w:pPr>
        <w:ind w:firstLine="640"/>
      </w:pPr>
      <w:r>
        <w:rPr>
          <w:rStyle w:val="19"/>
        </w:rPr>
        <w:t>第四条</w:t>
      </w:r>
      <w:r>
        <w:t xml:space="preserve">  省级负责</w:t>
      </w:r>
      <w:r>
        <w:rPr>
          <w:lang w:val="en"/>
        </w:rPr>
        <w:t>确定产业方向和集群建设市州、县市区范围，指导和组织项目申报、</w:t>
      </w:r>
      <w:r>
        <w:t>编制省级建设方案，下达项目任务和补助资金，制定绩效目标，指导项目建设与管理；项目重大调整变更的审核批复；对市州和省直相关单位上报的建设方案进行程序性合规性审查；对项目进行定期调度、年度总结和全程管理；对已竣工验收的项目进行抽查。</w:t>
      </w:r>
    </w:p>
    <w:p>
      <w:pPr>
        <w:ind w:firstLine="640"/>
      </w:pPr>
      <w:r>
        <w:rPr>
          <w:rStyle w:val="19"/>
        </w:rPr>
        <w:t>第五条</w:t>
      </w:r>
      <w:r>
        <w:rPr>
          <w:rFonts w:eastAsia="楷体"/>
        </w:rPr>
        <w:t xml:space="preserve"> </w:t>
      </w:r>
      <w:r>
        <w:t xml:space="preserve"> 市州负责指导和组织</w:t>
      </w:r>
      <w:r>
        <w:rPr>
          <w:lang w:val="en"/>
        </w:rPr>
        <w:t>辖区内</w:t>
      </w:r>
      <w:r>
        <w:t>项目申报、项目实施督导指导、县级项目建设方案的审核批复；项目调整变更的审核上报或审核批复；开展定期调度、年度总结和全程管理；实施主体信用复核、项目竣工验收复核、资金使用监管、组织绩效考评及其他相关工作。</w:t>
      </w:r>
    </w:p>
    <w:p>
      <w:pPr>
        <w:ind w:firstLine="640"/>
      </w:pPr>
      <w:r>
        <w:rPr>
          <w:rStyle w:val="19"/>
        </w:rPr>
        <w:t>第六条</w:t>
      </w:r>
      <w:r>
        <w:rPr>
          <w:rFonts w:eastAsia="方正楷体_GBK"/>
        </w:rPr>
        <w:t xml:space="preserve"> </w:t>
      </w:r>
      <w:r>
        <w:t>县市区负责组织</w:t>
      </w:r>
      <w:r>
        <w:rPr>
          <w:lang w:val="en"/>
        </w:rPr>
        <w:t>辖区内</w:t>
      </w:r>
      <w:r>
        <w:t>项目申报、县级建设方案编制和</w:t>
      </w:r>
      <w:r>
        <w:rPr>
          <w:lang w:val="en"/>
        </w:rPr>
        <w:t>实施主体具体项目实施方案</w:t>
      </w:r>
      <w:r>
        <w:t>审核把关；实施主体信用核查、指导组织县域内项目实施、项目实施过程的统筹协调；开展定期调度、年度总结和全程管理；项目竣工验收、资金拨付、资金监管、绩效考评及其他相关工作。</w:t>
      </w:r>
    </w:p>
    <w:p>
      <w:pPr>
        <w:ind w:firstLine="640"/>
      </w:pPr>
      <w:r>
        <w:rPr>
          <w:rStyle w:val="19"/>
        </w:rPr>
        <w:t>第七条</w:t>
      </w:r>
      <w:r>
        <w:t xml:space="preserve">  各级农业农村部门主要负责建设方案编制和</w:t>
      </w:r>
      <w:r>
        <w:rPr>
          <w:lang w:val="en"/>
        </w:rPr>
        <w:t>实施主体具体项目实施方案</w:t>
      </w:r>
      <w:r>
        <w:t>审核把关、</w:t>
      </w:r>
      <w:r>
        <w:rPr>
          <w:lang w:val="en"/>
        </w:rPr>
        <w:t>指导</w:t>
      </w:r>
      <w:r>
        <w:t>组织项目实施和监督管理等，做好绩效管理具体工作；各级财政部门主要负责资金下达、资金审核拨付、资金使用监督以及项目绩效管理总体工作等。</w:t>
      </w:r>
    </w:p>
    <w:p>
      <w:pPr>
        <w:ind w:firstLine="640"/>
      </w:pPr>
    </w:p>
    <w:p>
      <w:pPr>
        <w:ind w:firstLine="0" w:firstLineChars="0"/>
        <w:jc w:val="center"/>
        <w:rPr>
          <w:rFonts w:eastAsia="黑体"/>
        </w:rPr>
      </w:pPr>
      <w:r>
        <w:rPr>
          <w:rFonts w:eastAsia="黑体"/>
        </w:rPr>
        <w:t>第二章  项目申报</w:t>
      </w:r>
    </w:p>
    <w:p>
      <w:pPr>
        <w:ind w:firstLine="640"/>
      </w:pPr>
      <w:r>
        <w:rPr>
          <w:rStyle w:val="19"/>
        </w:rPr>
        <w:t>第八条</w:t>
      </w:r>
      <w:r>
        <w:t xml:space="preserve">  省农业农村厅、省财政厅根据农业农村部、财政部年度项目申报安排，综合考虑全省优势特色千亿产业发展、产业区域布局、各地产业基础、工作情况等因素遴选主导产业，编制省级建设方案，明确建设思路、功能布局、覆盖区域、建设目标、建设任务等内容，报农业农村部、财政部。</w:t>
      </w:r>
    </w:p>
    <w:p>
      <w:pPr>
        <w:ind w:firstLine="640"/>
      </w:pPr>
      <w:r>
        <w:rPr>
          <w:rStyle w:val="19"/>
        </w:rPr>
        <w:t>第九条</w:t>
      </w:r>
      <w:r>
        <w:t xml:space="preserve">  省农业农村厅、省财政厅根据农业农村部、财政部关于延续项目的年度安排，编制年度续建方案，报农业农村部、财政部。</w:t>
      </w:r>
    </w:p>
    <w:p>
      <w:pPr>
        <w:ind w:firstLine="640"/>
      </w:pPr>
      <w:r>
        <w:rPr>
          <w:rStyle w:val="19"/>
        </w:rPr>
        <w:t>第十条</w:t>
      </w:r>
      <w:r>
        <w:t xml:space="preserve">  编制省级建设方案和年度续建方案时，应组织有关市州、县市区和省级相关单位开展具体项目申报，围绕产业集群项目总体布局和支持环节，采取组织专家评审会的方式，择优遴选具体项目。续建项目的年度续建方案，在省级建设方案基础上，按照“大稳定、小调整”的原则，结合上一年度项目实施情况综合编制。</w:t>
      </w:r>
    </w:p>
    <w:p>
      <w:pPr>
        <w:ind w:firstLine="640"/>
      </w:pPr>
      <w:r>
        <w:rPr>
          <w:rStyle w:val="19"/>
        </w:rPr>
        <w:t>第十一</w:t>
      </w:r>
      <w:r>
        <w:rPr>
          <w:rStyle w:val="20"/>
          <w:b w:val="0"/>
          <w:bCs w:val="0"/>
        </w:rPr>
        <w:t>条</w:t>
      </w:r>
      <w:r>
        <w:t xml:space="preserve">  有关市州、县市区及省级相关单位根据省级下发的申报通知和有关要求，申报拟纳入省级建设方案或年度续建方案的具体项目。</w:t>
      </w:r>
    </w:p>
    <w:p>
      <w:pPr>
        <w:ind w:firstLine="640"/>
      </w:pPr>
      <w:r>
        <w:t>申报项目时，以县为单位统筹编制县级建设方案并附各具体项目实施方案，由县级农业农村部门、财政部门联合行文上报，经市州农业农村局、财政局审核同意后联合行文报省农业农村厅、省财政厅；由市州直管的具体项目由市州农业农村局、财政局联合行文上报；由省</w:t>
      </w:r>
      <w:r>
        <w:rPr>
          <w:lang w:val="en"/>
        </w:rPr>
        <w:t>直</w:t>
      </w:r>
      <w:r>
        <w:t>相关单位承担的具体项目，直接报省农业农村厅、省财政厅。每个实施主体的具体项目，须单独编制项目实施方案，并作为市州、县市区两级建设方案的附件一并上报。</w:t>
      </w:r>
    </w:p>
    <w:p>
      <w:pPr>
        <w:ind w:firstLine="640"/>
      </w:pPr>
    </w:p>
    <w:p>
      <w:pPr>
        <w:ind w:firstLine="0" w:firstLineChars="0"/>
        <w:jc w:val="center"/>
        <w:rPr>
          <w:rFonts w:eastAsia="黑体"/>
        </w:rPr>
      </w:pPr>
      <w:r>
        <w:rPr>
          <w:rFonts w:eastAsia="黑体"/>
        </w:rPr>
        <w:t>第三章  项目实施管理</w:t>
      </w:r>
    </w:p>
    <w:p>
      <w:pPr>
        <w:ind w:firstLine="640"/>
      </w:pPr>
      <w:r>
        <w:rPr>
          <w:rStyle w:val="19"/>
        </w:rPr>
        <w:t>第十二条</w:t>
      </w:r>
      <w:r>
        <w:t xml:space="preserve">  省农业农村厅、省财政厅应根据部级专家审查意见，指导市州、县市区和省直相关单位修改完善建设方案，综合市州、县市区和省直相关单位修改完善情况，将修改完善后的省级建设方案或年度续建方案按要求上报农业农村部、财政部备案，并按程序联合下发有关市州、县市区和省直相关单位。</w:t>
      </w:r>
    </w:p>
    <w:p>
      <w:pPr>
        <w:ind w:firstLine="640"/>
      </w:pPr>
      <w:r>
        <w:rPr>
          <w:rStyle w:val="19"/>
        </w:rPr>
        <w:t>第十三条</w:t>
      </w:r>
      <w:r>
        <w:rPr>
          <w:rFonts w:eastAsia="楷体"/>
        </w:rPr>
        <w:t xml:space="preserve"> </w:t>
      </w:r>
      <w:r>
        <w:t xml:space="preserve"> 有关市州、县市区和省直相关实施单位应根据部级专家审查意见、省级专家审查意见和省级建设方案、续建方案，修改完善</w:t>
      </w:r>
      <w:r>
        <w:rPr>
          <w:lang w:val="en"/>
        </w:rPr>
        <w:t>建设</w:t>
      </w:r>
      <w:r>
        <w:t>方案（附具体项目实施方案）。县级农业农村部门牵头负责修改完善</w:t>
      </w:r>
      <w:r>
        <w:rPr>
          <w:lang w:val="en"/>
        </w:rPr>
        <w:t>县级建设</w:t>
      </w:r>
      <w:r>
        <w:t>方案，商同级财政部门同意后联合行文报市州农业农村局、财政局审核批复，批复后的</w:t>
      </w:r>
      <w:r>
        <w:rPr>
          <w:lang w:val="en"/>
        </w:rPr>
        <w:t>县级建设</w:t>
      </w:r>
      <w:r>
        <w:t>方案报省农业农村厅备案；市州直管的具体项目由市州农业农村局、财政局审核批复并报省农业农村厅备案；省直相关单位为项目承担单位的具体项目实施方案，直接报省农业农村厅备案。</w:t>
      </w:r>
    </w:p>
    <w:p>
      <w:pPr>
        <w:ind w:firstLine="640"/>
      </w:pPr>
      <w:r>
        <w:rPr>
          <w:rStyle w:val="19"/>
        </w:rPr>
        <w:t>第十四条</w:t>
      </w:r>
      <w:r>
        <w:t xml:space="preserve">  县级建设方案及具体项目实施方案应明确项目基本情况、项目单位基本情况、项目建设条件、建设内容、建设地点、技术方案、设备方案、进度安排、投资估算及资金筹措、中央财政资金的支持方式、支持范围、绩效目标等。已纳入省级建设方案但分年实施的具体项目，应分别说明该项目总体实施计划、分年度实施任务，其中延续支持的产业集群项目，还应说明已支持年度的建设任务完成情况。</w:t>
      </w:r>
    </w:p>
    <w:p>
      <w:pPr>
        <w:ind w:firstLine="640"/>
      </w:pPr>
      <w:r>
        <w:rPr>
          <w:rStyle w:val="19"/>
        </w:rPr>
        <w:t>第十五条</w:t>
      </w:r>
      <w:r>
        <w:t xml:space="preserve">  省农业农村厅定期调度产业集群项目建设进展。对建设进度严重滞后、建设内容和建设主体随意调整变更、绩效目标严重偏离的市州、县市区和省直有关单位，以约谈、通报、现场督办等方式进行督导，提出限期整改要求。对限期仍未整改到位的，根据问题性质情况商省财政厅收回已安排财政资金；同时，将整改情况作为下一年度项目和资金安排的重要参</w:t>
      </w:r>
      <w:r>
        <w:rPr>
          <w:lang w:val="en"/>
        </w:rPr>
        <w:t>考</w:t>
      </w:r>
      <w:r>
        <w:t>依据。</w:t>
      </w:r>
    </w:p>
    <w:p>
      <w:pPr>
        <w:ind w:firstLine="640"/>
      </w:pPr>
      <w:r>
        <w:rPr>
          <w:rStyle w:val="19"/>
        </w:rPr>
        <w:t>第十六条</w:t>
      </w:r>
      <w:r>
        <w:rPr>
          <w:rFonts w:eastAsia="楷体"/>
        </w:rPr>
        <w:t xml:space="preserve">  </w:t>
      </w:r>
      <w:r>
        <w:t>各市州、县市区及省直相关单位应当建立工作台账，及时调度各实施主体项目实施进展情况，定期上报产业集群项目建设进展。各市</w:t>
      </w:r>
      <w:r>
        <w:rPr>
          <w:lang w:val="en"/>
        </w:rPr>
        <w:t>州</w:t>
      </w:r>
      <w:r>
        <w:t>、县</w:t>
      </w:r>
      <w:r>
        <w:rPr>
          <w:lang w:val="en"/>
        </w:rPr>
        <w:t>市区</w:t>
      </w:r>
      <w:r>
        <w:t>及项目实施主体应加强产业集群项目后续建设，不断提高产业集群发展质量和效益，强化信息报送和跟踪评价，建立长效机制，拓展提升项目实施成果。</w:t>
      </w:r>
    </w:p>
    <w:p>
      <w:pPr>
        <w:ind w:firstLine="640"/>
      </w:pPr>
    </w:p>
    <w:p>
      <w:pPr>
        <w:ind w:firstLine="0" w:firstLineChars="0"/>
        <w:jc w:val="center"/>
        <w:rPr>
          <w:rFonts w:eastAsia="黑体"/>
        </w:rPr>
      </w:pPr>
      <w:r>
        <w:rPr>
          <w:rFonts w:eastAsia="黑体"/>
        </w:rPr>
        <w:t>第四章  项目调整变更</w:t>
      </w:r>
    </w:p>
    <w:p>
      <w:pPr>
        <w:ind w:firstLine="640"/>
      </w:pPr>
      <w:r>
        <w:rPr>
          <w:rStyle w:val="19"/>
        </w:rPr>
        <w:t>第十七条</w:t>
      </w:r>
      <w:r>
        <w:t xml:space="preserve">  项目实施市州、县市区和省直相关单位要组织各实施主体，按照省级建设方案和报省级备案的县级建设方案开展项目实施。省级建设方案和报省级备案的县级建设方案是项目实施、验收的主要依据，原则上不得进行调整变更。项目建设过程中确需进行调整变更的，应当充分论证并按权限、程序办理，经审批权限单位批复后实施。</w:t>
      </w:r>
    </w:p>
    <w:p>
      <w:pPr>
        <w:ind w:firstLine="640"/>
      </w:pPr>
      <w:r>
        <w:rPr>
          <w:rStyle w:val="19"/>
        </w:rPr>
        <w:t>第十八条</w:t>
      </w:r>
      <w:r>
        <w:t xml:space="preserve">  单个项目省级</w:t>
      </w:r>
      <w:r>
        <w:rPr>
          <w:lang w:val="en"/>
        </w:rPr>
        <w:t>及</w:t>
      </w:r>
      <w:r>
        <w:t>以上财政补助资金</w:t>
      </w:r>
      <w:r>
        <w:rPr>
          <w:lang w:val="en"/>
        </w:rPr>
        <w:t>调整额度</w:t>
      </w:r>
      <w:r>
        <w:t>100万元以下且不涉及调整变更实施主体的，由项目实施主体提出调整申请，县级农业农村部门</w:t>
      </w:r>
      <w:r>
        <w:rPr>
          <w:lang w:val="en"/>
        </w:rPr>
        <w:t>组织专家论证、</w:t>
      </w:r>
      <w:r>
        <w:t>集体研究后提出调整变更方案，商县级财政部门同意后</w:t>
      </w:r>
      <w:r>
        <w:rPr>
          <w:lang w:val="en"/>
        </w:rPr>
        <w:t>联合行文</w:t>
      </w:r>
      <w:r>
        <w:t>报市</w:t>
      </w:r>
      <w:r>
        <w:rPr>
          <w:lang w:val="en"/>
        </w:rPr>
        <w:t>州</w:t>
      </w:r>
      <w:r>
        <w:t>农业农村局</w:t>
      </w:r>
      <w:r>
        <w:rPr>
          <w:lang w:val="en"/>
        </w:rPr>
        <w:t>、财政局</w:t>
      </w:r>
      <w:r>
        <w:t>，市州农业农村局审核、商同级财政部门同意并批复后</w:t>
      </w:r>
      <w:r>
        <w:rPr>
          <w:lang w:val="en"/>
        </w:rPr>
        <w:t>方可</w:t>
      </w:r>
      <w:r>
        <w:t>实施</w:t>
      </w:r>
      <w:r>
        <w:rPr>
          <w:lang w:val="en"/>
        </w:rPr>
        <w:t>。</w:t>
      </w:r>
      <w:r>
        <w:t>调整变更批复</w:t>
      </w:r>
      <w:r>
        <w:rPr>
          <w:lang w:val="en"/>
        </w:rPr>
        <w:t>文件</w:t>
      </w:r>
      <w:r>
        <w:t>报省级备案。</w:t>
      </w:r>
    </w:p>
    <w:p>
      <w:pPr>
        <w:ind w:firstLine="640"/>
      </w:pPr>
      <w:r>
        <w:rPr>
          <w:rStyle w:val="19"/>
        </w:rPr>
        <w:t xml:space="preserve">第十九条 </w:t>
      </w:r>
      <w:r>
        <w:t xml:space="preserve"> 单个项目省级</w:t>
      </w:r>
      <w:r>
        <w:rPr>
          <w:lang w:val="en"/>
        </w:rPr>
        <w:t>及</w:t>
      </w:r>
      <w:r>
        <w:t>以上财政补助资金</w:t>
      </w:r>
      <w:r>
        <w:rPr>
          <w:lang w:val="en"/>
        </w:rPr>
        <w:t>调整额度</w:t>
      </w:r>
      <w:r>
        <w:t>100万元</w:t>
      </w:r>
      <w:r>
        <w:rPr>
          <w:lang w:val="en"/>
        </w:rPr>
        <w:t>（含）</w:t>
      </w:r>
      <w:r>
        <w:t>以上或涉及调整变更实施主体的，由项目实施主体提出调整申请，县级农业农村部门组织专家论证、集体研究后提出调整变更方案，商县级财政部门同意后</w:t>
      </w:r>
      <w:r>
        <w:rPr>
          <w:lang w:val="en"/>
        </w:rPr>
        <w:t>联合行文</w:t>
      </w:r>
      <w:r>
        <w:t>报市</w:t>
      </w:r>
      <w:r>
        <w:rPr>
          <w:lang w:val="en"/>
        </w:rPr>
        <w:t>州</w:t>
      </w:r>
      <w:r>
        <w:t>农业农村局</w:t>
      </w:r>
      <w:r>
        <w:rPr>
          <w:lang w:val="en"/>
        </w:rPr>
        <w:t>、财政局</w:t>
      </w:r>
      <w:r>
        <w:t>，市</w:t>
      </w:r>
      <w:r>
        <w:rPr>
          <w:lang w:val="en"/>
        </w:rPr>
        <w:t>州</w:t>
      </w:r>
      <w:r>
        <w:t>农业农村局</w:t>
      </w:r>
      <w:r>
        <w:rPr>
          <w:lang w:val="en"/>
        </w:rPr>
        <w:t>、财政局</w:t>
      </w:r>
      <w:r>
        <w:t>核查</w:t>
      </w:r>
      <w:r>
        <w:rPr>
          <w:lang w:val="en"/>
        </w:rPr>
        <w:t>同意后联合行文</w:t>
      </w:r>
      <w:r>
        <w:t>报省农业农村厅，省农业农村厅审核同意并批复后方可实施。</w:t>
      </w:r>
    </w:p>
    <w:p>
      <w:pPr>
        <w:ind w:firstLine="640"/>
      </w:pPr>
      <w:r>
        <w:rPr>
          <w:rStyle w:val="19"/>
        </w:rPr>
        <w:t>第二十条</w:t>
      </w:r>
      <w:r>
        <w:t xml:space="preserve">  项目调整变更申请文件应同时附报关于项目调整变更原因的详细说明材料、项目调整变更后的实施方案、集体研究的会议纪要和专家论证会议意见、项目调整变更涉及的经营主体等利益相关方的承诺函（项目调出方承诺放弃项目的承诺函，项目调入方承诺实施项目、足额投入自筹资金的承诺函）等。</w:t>
      </w:r>
    </w:p>
    <w:p>
      <w:pPr>
        <w:ind w:firstLine="640"/>
      </w:pPr>
      <w:r>
        <w:rPr>
          <w:rStyle w:val="19"/>
        </w:rPr>
        <w:t>第二十一条</w:t>
      </w:r>
      <w:r>
        <w:rPr>
          <w:rFonts w:eastAsia="楷体"/>
        </w:rPr>
        <w:t xml:space="preserve">  </w:t>
      </w:r>
      <w:r>
        <w:t>项目实施过程中，项目实施主体根据自身需求、市场变化等情况，在建设地点、建设方向、主要建设内容不变，总投资不减少的前提下，个别设备发生变化或个别工程量发生变动的，可以由项目实施主体提出书面申请，报县级农业农村局、财政局审核同意后实施。</w:t>
      </w:r>
    </w:p>
    <w:p>
      <w:pPr>
        <w:ind w:firstLine="640"/>
      </w:pPr>
      <w:r>
        <w:rPr>
          <w:rStyle w:val="19"/>
        </w:rPr>
        <w:t>第二十二条</w:t>
      </w:r>
      <w:r>
        <w:rPr>
          <w:rStyle w:val="20"/>
          <w:b w:val="0"/>
          <w:bCs w:val="0"/>
        </w:rPr>
        <w:t xml:space="preserve">  </w:t>
      </w:r>
      <w:r>
        <w:t>项目建设过程中确需进行调整变更的，调整变更后的项目建设期限</w:t>
      </w:r>
      <w:r>
        <w:rPr>
          <w:lang w:val="en"/>
        </w:rPr>
        <w:t>，</w:t>
      </w:r>
      <w:r>
        <w:t>可从县级提交调整变更申请文件之日起计算</w:t>
      </w:r>
      <w:r>
        <w:rPr>
          <w:lang w:val="en"/>
        </w:rPr>
        <w:t>。</w:t>
      </w:r>
      <w:r>
        <w:t>项目建设内容、建设地点、资金使用方向等均没有调整变更，仅调整变更实施主体的（即该具体项目整体调整变更为另一主体实施），调整变更前已完成的建设内容，可以视同调整变更后实施主体的相应建设内容。</w:t>
      </w:r>
    </w:p>
    <w:p>
      <w:pPr>
        <w:ind w:firstLine="640"/>
        <w:rPr>
          <w:rFonts w:hint="eastAsia"/>
        </w:rPr>
      </w:pPr>
      <w:r>
        <w:rPr>
          <w:rStyle w:val="19"/>
        </w:rPr>
        <w:t>第二十三条</w:t>
      </w:r>
      <w:r>
        <w:rPr>
          <w:rFonts w:eastAsia="楷体"/>
        </w:rPr>
        <w:t xml:space="preserve">  </w:t>
      </w:r>
      <w:r>
        <w:t>市州直管项目和省直有关单位实施的项目参照上述规定执行。</w:t>
      </w:r>
    </w:p>
    <w:p>
      <w:pPr>
        <w:ind w:firstLine="640"/>
      </w:pPr>
    </w:p>
    <w:p>
      <w:pPr>
        <w:ind w:firstLine="0" w:firstLineChars="0"/>
        <w:jc w:val="center"/>
        <w:rPr>
          <w:rFonts w:eastAsia="黑体"/>
        </w:rPr>
      </w:pPr>
      <w:r>
        <w:rPr>
          <w:rFonts w:eastAsia="黑体"/>
        </w:rPr>
        <w:t>第五章  项目验收和资金拨付</w:t>
      </w:r>
    </w:p>
    <w:p>
      <w:pPr>
        <w:ind w:firstLine="640"/>
        <w:rPr>
          <w:lang w:val="en"/>
        </w:rPr>
      </w:pPr>
      <w:r>
        <w:rPr>
          <w:rStyle w:val="19"/>
        </w:rPr>
        <w:t>第二十四条</w:t>
      </w:r>
      <w:r>
        <w:t xml:space="preserve">  产业集群项目验收工作由农业农村、财政部门共同组织，农业农村部门具体负责，实行县级自验、市州复核、省级抽查制度。县级应按照完工一个、验收一个的要求，及时对建设完成的具体项目进行验收，加快推进项目整体建设进度。县级验收完成后，应形成县级验收报告，并向市州申请复核验收。市州应及时组织开展项目验收复核，验收复核后综合市州本级具体项目和县级具体项目情况形成市州项目整体验收报告并报省农业农村厅、省财政厅。</w:t>
      </w:r>
      <w:r>
        <w:rPr>
          <w:lang w:val="en"/>
        </w:rPr>
        <w:t>市州、县市区两级在组织项目验收时，可以邀请第三方机构进行评估。</w:t>
      </w:r>
      <w:r>
        <w:t>市州本级具体项目由市州农业农村局、财政局组织项目验收，形成项目验收报告。</w:t>
      </w:r>
    </w:p>
    <w:p>
      <w:pPr>
        <w:ind w:firstLine="640"/>
      </w:pPr>
      <w:r>
        <w:rPr>
          <w:rStyle w:val="19"/>
        </w:rPr>
        <w:t>第二十五条</w:t>
      </w:r>
      <w:r>
        <w:t xml:space="preserve">  县级具体项目通过县级验收合格后，县级财政应及时足额拨付各级财政补助资金。在确保财政资金安全的前提下，可以采取中期验收、按进度拨付国省两级财政补助资金等方式。由行政单位或事业单位承担实施的</w:t>
      </w:r>
      <w:r>
        <w:rPr>
          <w:rFonts w:hint="eastAsia"/>
        </w:rPr>
        <w:t>具体</w:t>
      </w:r>
      <w:r>
        <w:t>项目，资金支付方式按照有关规定执行。</w:t>
      </w:r>
    </w:p>
    <w:p>
      <w:pPr>
        <w:ind w:firstLine="640"/>
      </w:pPr>
      <w:r>
        <w:rPr>
          <w:rStyle w:val="19"/>
        </w:rPr>
        <w:t>第二十六条</w:t>
      </w:r>
      <w:r>
        <w:t xml:space="preserve">  省本级具体项目由项目实施单位组织验收，形成验收报告报省农业农村厅、省财政厅。</w:t>
      </w:r>
    </w:p>
    <w:p>
      <w:pPr>
        <w:ind w:firstLine="640"/>
      </w:pPr>
      <w:r>
        <w:rPr>
          <w:rStyle w:val="19"/>
        </w:rPr>
        <w:t>第二十七条</w:t>
      </w:r>
      <w:r>
        <w:rPr>
          <w:rFonts w:eastAsia="楷体"/>
        </w:rPr>
        <w:t xml:space="preserve">  </w:t>
      </w:r>
      <w:r>
        <w:t>省农业农村厅、省财政厅应根据农业农村部、财政部部署安排或省级工作需要，制定绩效评价方案或项目抽查验收方案，适时组织开展绩效评价和项目抽查验收。</w:t>
      </w:r>
    </w:p>
    <w:p>
      <w:pPr>
        <w:ind w:firstLine="640"/>
      </w:pPr>
    </w:p>
    <w:p>
      <w:pPr>
        <w:ind w:firstLine="0" w:firstLineChars="0"/>
        <w:jc w:val="center"/>
        <w:rPr>
          <w:rFonts w:eastAsia="黑体"/>
          <w:color w:val="000000"/>
        </w:rPr>
      </w:pPr>
      <w:r>
        <w:rPr>
          <w:rFonts w:eastAsia="黑体"/>
          <w:color w:val="000000"/>
        </w:rPr>
        <w:t>第六章  其他</w:t>
      </w:r>
    </w:p>
    <w:p>
      <w:pPr>
        <w:ind w:firstLine="640"/>
      </w:pPr>
      <w:r>
        <w:rPr>
          <w:rStyle w:val="19"/>
        </w:rPr>
        <w:t>第二十八条</w:t>
      </w:r>
      <w:r>
        <w:t xml:space="preserve">  产业集群项目支持范围为农业农村部、财政部下达申报通知时起的新建项目和在建项目未开工部分。</w:t>
      </w:r>
    </w:p>
    <w:p>
      <w:pPr>
        <w:ind w:firstLine="640"/>
        <w:rPr>
          <w:rFonts w:eastAsia="楷体"/>
        </w:rPr>
      </w:pPr>
      <w:r>
        <w:rPr>
          <w:rStyle w:val="19"/>
        </w:rPr>
        <w:t xml:space="preserve">第二十九条 </w:t>
      </w:r>
      <w:r>
        <w:rPr>
          <w:rFonts w:eastAsia="楷体"/>
        </w:rPr>
        <w:t xml:space="preserve"> </w:t>
      </w:r>
      <w:r>
        <w:t>各市州、县市区、省级相关单位和项目实施单位应充分做好项目建设前期工作。对于前期工作进度快的具体项目，优先纳入省级建设方案或年度续建方案。</w:t>
      </w: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588" w:gutter="0"/>
          <w:cols w:space="720" w:num="1"/>
          <w:docGrid w:type="linesAndChars" w:linePitch="579" w:charSpace="0"/>
        </w:sectPr>
      </w:pPr>
      <w:r>
        <w:rPr>
          <w:rStyle w:val="19"/>
        </w:rPr>
        <w:t>第三十条</w:t>
      </w:r>
      <w:r>
        <w:t xml:space="preserve">  </w:t>
      </w:r>
      <w:r>
        <w:rPr>
          <w:rFonts w:hint="eastAsia"/>
        </w:rPr>
        <w:t>本暂行办法</w:t>
      </w:r>
      <w:r>
        <w:t>自印发之日起施行</w:t>
      </w:r>
      <w:r>
        <w:rPr>
          <w:rFonts w:hint="eastAsia"/>
        </w:rPr>
        <w:t>，有</w:t>
      </w:r>
      <w:bookmarkStart w:id="0" w:name="_GoBack"/>
      <w:bookmarkEnd w:id="0"/>
      <w:r>
        <w:rPr>
          <w:rFonts w:hint="eastAsia"/>
        </w:rPr>
        <w:t>效期2年</w:t>
      </w:r>
      <w:r>
        <w:t>。</w:t>
      </w:r>
    </w:p>
    <w:p>
      <w:pPr>
        <w:ind w:firstLine="640"/>
      </w:pPr>
      <w:r>
        <w:br w:type="page"/>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620" w:lineRule="exact"/>
        <w:ind w:firstLine="640"/>
        <w:rPr>
          <w:lang/>
        </w:rPr>
      </w:pPr>
    </w:p>
    <w:p>
      <w:pPr>
        <w:spacing w:line="620" w:lineRule="exact"/>
        <w:ind w:firstLine="640"/>
        <w:rPr>
          <w:lang/>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100" w:lineRule="exact"/>
        <w:ind w:firstLine="640"/>
        <w:rPr>
          <w:szCs w:val="32"/>
        </w:rPr>
      </w:pPr>
    </w:p>
    <w:p>
      <w:pPr>
        <w:spacing w:line="520" w:lineRule="exact"/>
        <w:ind w:firstLine="0" w:firstLineChars="0"/>
        <w:rPr>
          <w:szCs w:val="32"/>
        </w:rPr>
      </w:pPr>
      <w:r>
        <w:rPr>
          <w:rFonts w:eastAsia="黑体"/>
          <w:sz w:val="28"/>
          <w:szCs w:val="28"/>
        </w:rPr>
        <w:t>信息公开选项：</w:t>
      </w:r>
      <w:r>
        <w:rPr>
          <w:rFonts w:eastAsia="方正小标宋简体"/>
          <w:sz w:val="28"/>
          <w:szCs w:val="28"/>
        </w:rPr>
        <w:t>公开</w:t>
      </w:r>
    </w:p>
    <w:p>
      <w:pPr>
        <w:spacing w:line="520" w:lineRule="exact"/>
        <w:ind w:firstLine="280" w:firstLineChars="100"/>
        <w:rPr>
          <w:lang/>
        </w:rPr>
      </w:pPr>
      <w:r>
        <w:rPr>
          <w:color w:val="000000"/>
          <w:sz w:val="28"/>
          <w:szCs w:val="28"/>
          <w:lang/>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27305</wp:posOffset>
                </wp:positionV>
                <wp:extent cx="5615940" cy="0"/>
                <wp:effectExtent l="0" t="0" r="0" b="0"/>
                <wp:wrapNone/>
                <wp:docPr id="1" name="直线 52"/>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0.3pt;margin-top:2.15pt;height:0pt;width:442.2pt;z-index:251659264;mso-width-relative:page;mso-height-relative:page;" filled="f" stroked="t" coordsize="21600,21600" o:gfxdata="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oWe1QAA&#10;AAUBAAAPAAAAAAAAAAEAIAAAACIAAABkcnMvZG93bnJldi54bWxQSwECFAAUAAAACACHTuJAcIhB&#10;jegBAADcAwAADgAAAAAAAAABACAAAAAkAQAAZHJzL2Uyb0RvYy54bWxQSwUGAAAAAAYABgBZAQAA&#10;fgUAAAAA&#10;">
                <v:fill on="f" focussize="0,0"/>
                <v:stroke weight="0.35pt" color="#000000" joinstyle="round"/>
                <v:imagedata o:title=""/>
                <o:lock v:ext="edit" aspectratio="f"/>
              </v:line>
            </w:pict>
          </mc:Fallback>
        </mc:AlternateContent>
      </w:r>
      <w:r>
        <w:rPr>
          <w:color w:val="000000"/>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386715</wp:posOffset>
                </wp:positionV>
                <wp:extent cx="5615940" cy="0"/>
                <wp:effectExtent l="0" t="0" r="0" b="0"/>
                <wp:wrapNone/>
                <wp:docPr id="2" name="直线 53"/>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0pt;margin-top:30.45pt;height:0pt;width:442.2pt;z-index:251660288;mso-width-relative:page;mso-height-relative:page;" filled="f" stroked="t" coordsize="21600,21600" o:gfxdata="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GZvvW&#10;AAAABgEAAA8AAAAAAAAAAQAgAAAAIgAAAGRycy9kb3ducmV2LnhtbFBLAQIUABQAAAAIAIdO4kBG&#10;MiUZ6QEAANwDAAAOAAAAAAAAAAEAIAAAACUBAABkcnMvZTJvRG9jLnhtbFBLBQYAAAAABgAGAFkB&#10;AACABQAAAAA=&#10;">
                <v:fill on="f" focussize="0,0"/>
                <v:stroke weight="0.35pt" color="#000000" joinstyle="round"/>
                <v:imagedata o:title=""/>
                <o:lock v:ext="edit" aspectratio="f"/>
              </v:line>
            </w:pict>
          </mc:Fallback>
        </mc:AlternateContent>
      </w:r>
      <w:r>
        <w:rPr>
          <w:color w:val="000000"/>
          <w:sz w:val="28"/>
          <w:szCs w:val="28"/>
          <w:lang/>
        </w:rPr>
        <w:t>湖南省农业农村厅办公室                  2022年</w:t>
      </w:r>
      <w:r>
        <w:rPr>
          <w:rFonts w:hint="eastAsia"/>
          <w:color w:val="000000"/>
          <w:sz w:val="28"/>
          <w:szCs w:val="28"/>
          <w:lang/>
        </w:rPr>
        <w:t>9</w:t>
      </w:r>
      <w:r>
        <w:rPr>
          <w:color w:val="000000"/>
          <w:sz w:val="28"/>
          <w:szCs w:val="28"/>
          <w:lang/>
        </w:rPr>
        <w:t>月2</w:t>
      </w:r>
      <w:r>
        <w:rPr>
          <w:rFonts w:hint="eastAsia"/>
          <w:color w:val="000000"/>
          <w:sz w:val="28"/>
          <w:szCs w:val="28"/>
          <w:lang/>
        </w:rPr>
        <w:t>3</w:t>
      </w:r>
      <w:r>
        <w:rPr>
          <w:color w:val="000000"/>
          <w:sz w:val="28"/>
          <w:szCs w:val="28"/>
          <w:lang/>
        </w:rPr>
        <w:t>日印发</w:t>
      </w:r>
    </w:p>
    <w:sectPr>
      <w:footerReference r:id="rId11" w:type="default"/>
      <w:footerReference r:id="rId12" w:type="even"/>
      <w:pgSz w:w="11906" w:h="16838"/>
      <w:pgMar w:top="2098" w:right="1531" w:bottom="1985" w:left="1531"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right"/>
    </w:pPr>
    <w:r>
      <w:rPr>
        <w:rStyle w:val="17"/>
        <w:rFonts w:hint="eastAsia"/>
        <w:sz w:val="28"/>
        <w:szCs w:val="28"/>
      </w:rPr>
      <w:t>—</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lang/>
      </w:rPr>
      <w:t>9</w:t>
    </w:r>
    <w:r>
      <w:rPr>
        <w:rStyle w:val="17"/>
        <w:sz w:val="28"/>
        <w:szCs w:val="28"/>
      </w:rPr>
      <w:fldChar w:fldCharType="end"/>
    </w:r>
    <w:r>
      <w:rPr>
        <w:rStyle w:val="17"/>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w:rPr>
        <w:rStyle w:val="17"/>
        <w:rFonts w:hint="eastAsia"/>
        <w:sz w:val="28"/>
        <w:szCs w:val="28"/>
      </w:rPr>
      <w:t>—</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lang/>
      </w:rPr>
      <w:t>8</w:t>
    </w:r>
    <w:r>
      <w:rPr>
        <w:rStyle w:val="17"/>
        <w:sz w:val="28"/>
        <w:szCs w:val="28"/>
      </w:rPr>
      <w:fldChar w:fldCharType="end"/>
    </w:r>
    <w:r>
      <w:rPr>
        <w:rStyle w:val="17"/>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evenAndOddHeaders w:val="1"/>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D1"/>
    <w:rsid w:val="00006C32"/>
    <w:rsid w:val="000070BB"/>
    <w:rsid w:val="00007908"/>
    <w:rsid w:val="00007A2A"/>
    <w:rsid w:val="00011549"/>
    <w:rsid w:val="0001543F"/>
    <w:rsid w:val="00023A57"/>
    <w:rsid w:val="00031F73"/>
    <w:rsid w:val="0003712D"/>
    <w:rsid w:val="0004127B"/>
    <w:rsid w:val="000457E6"/>
    <w:rsid w:val="000460D7"/>
    <w:rsid w:val="00046E5D"/>
    <w:rsid w:val="00061E0A"/>
    <w:rsid w:val="00074A5A"/>
    <w:rsid w:val="00075610"/>
    <w:rsid w:val="00081764"/>
    <w:rsid w:val="00090311"/>
    <w:rsid w:val="00094945"/>
    <w:rsid w:val="000A32F7"/>
    <w:rsid w:val="000C1B41"/>
    <w:rsid w:val="000D6742"/>
    <w:rsid w:val="000D695F"/>
    <w:rsid w:val="000D7E84"/>
    <w:rsid w:val="000E4C41"/>
    <w:rsid w:val="000E5D63"/>
    <w:rsid w:val="0010709A"/>
    <w:rsid w:val="00122A9A"/>
    <w:rsid w:val="001268CD"/>
    <w:rsid w:val="00136317"/>
    <w:rsid w:val="00137536"/>
    <w:rsid w:val="001377BA"/>
    <w:rsid w:val="0015554F"/>
    <w:rsid w:val="001667C6"/>
    <w:rsid w:val="001863D9"/>
    <w:rsid w:val="0019261B"/>
    <w:rsid w:val="00195864"/>
    <w:rsid w:val="001B4A3E"/>
    <w:rsid w:val="001C22AE"/>
    <w:rsid w:val="001D0727"/>
    <w:rsid w:val="001D2116"/>
    <w:rsid w:val="001D4AFD"/>
    <w:rsid w:val="001E56FA"/>
    <w:rsid w:val="001F34A1"/>
    <w:rsid w:val="001F7E44"/>
    <w:rsid w:val="00203141"/>
    <w:rsid w:val="00203178"/>
    <w:rsid w:val="00204008"/>
    <w:rsid w:val="0020637D"/>
    <w:rsid w:val="00215AAE"/>
    <w:rsid w:val="00226497"/>
    <w:rsid w:val="00234A52"/>
    <w:rsid w:val="00242B1D"/>
    <w:rsid w:val="00247CFE"/>
    <w:rsid w:val="00251ED1"/>
    <w:rsid w:val="00256467"/>
    <w:rsid w:val="00293EAF"/>
    <w:rsid w:val="00293F32"/>
    <w:rsid w:val="002A3CA4"/>
    <w:rsid w:val="002C02DE"/>
    <w:rsid w:val="002C2BE9"/>
    <w:rsid w:val="002C3CA3"/>
    <w:rsid w:val="002D5F5D"/>
    <w:rsid w:val="002E37FF"/>
    <w:rsid w:val="002E5B78"/>
    <w:rsid w:val="002F4908"/>
    <w:rsid w:val="002F5464"/>
    <w:rsid w:val="00306C8D"/>
    <w:rsid w:val="00317186"/>
    <w:rsid w:val="00317EE2"/>
    <w:rsid w:val="00322361"/>
    <w:rsid w:val="003326BD"/>
    <w:rsid w:val="00340785"/>
    <w:rsid w:val="00346980"/>
    <w:rsid w:val="00354E3D"/>
    <w:rsid w:val="003627C3"/>
    <w:rsid w:val="00366EC5"/>
    <w:rsid w:val="003812E0"/>
    <w:rsid w:val="003837BF"/>
    <w:rsid w:val="003A225C"/>
    <w:rsid w:val="003B61D2"/>
    <w:rsid w:val="003B68C1"/>
    <w:rsid w:val="003C00A0"/>
    <w:rsid w:val="003C09BA"/>
    <w:rsid w:val="003D03FC"/>
    <w:rsid w:val="003D1A2E"/>
    <w:rsid w:val="003D383D"/>
    <w:rsid w:val="003D4160"/>
    <w:rsid w:val="003E6E7A"/>
    <w:rsid w:val="003F6070"/>
    <w:rsid w:val="003F6FAE"/>
    <w:rsid w:val="004022CC"/>
    <w:rsid w:val="004169B5"/>
    <w:rsid w:val="0042011E"/>
    <w:rsid w:val="0042601C"/>
    <w:rsid w:val="00427D75"/>
    <w:rsid w:val="00446069"/>
    <w:rsid w:val="00454265"/>
    <w:rsid w:val="00457133"/>
    <w:rsid w:val="004645D7"/>
    <w:rsid w:val="0048169E"/>
    <w:rsid w:val="004A0B6C"/>
    <w:rsid w:val="004A4F35"/>
    <w:rsid w:val="004A655E"/>
    <w:rsid w:val="004B4FE9"/>
    <w:rsid w:val="004C572F"/>
    <w:rsid w:val="004D0131"/>
    <w:rsid w:val="004E5DDE"/>
    <w:rsid w:val="004E6FE0"/>
    <w:rsid w:val="004F27E6"/>
    <w:rsid w:val="00501961"/>
    <w:rsid w:val="00520B7F"/>
    <w:rsid w:val="00527AFA"/>
    <w:rsid w:val="00533B48"/>
    <w:rsid w:val="005357A5"/>
    <w:rsid w:val="00547ADF"/>
    <w:rsid w:val="005513D6"/>
    <w:rsid w:val="005630F8"/>
    <w:rsid w:val="00590276"/>
    <w:rsid w:val="0059583B"/>
    <w:rsid w:val="005B16E7"/>
    <w:rsid w:val="005E38BA"/>
    <w:rsid w:val="005F2BBC"/>
    <w:rsid w:val="005F5909"/>
    <w:rsid w:val="006123FD"/>
    <w:rsid w:val="00620A06"/>
    <w:rsid w:val="006217F7"/>
    <w:rsid w:val="00623F5C"/>
    <w:rsid w:val="00635979"/>
    <w:rsid w:val="00642030"/>
    <w:rsid w:val="0064356C"/>
    <w:rsid w:val="00645DCA"/>
    <w:rsid w:val="00653670"/>
    <w:rsid w:val="00657753"/>
    <w:rsid w:val="00684ACE"/>
    <w:rsid w:val="006867BE"/>
    <w:rsid w:val="00687D51"/>
    <w:rsid w:val="00690E4B"/>
    <w:rsid w:val="0069343F"/>
    <w:rsid w:val="00696567"/>
    <w:rsid w:val="006B1A3C"/>
    <w:rsid w:val="006B2A1B"/>
    <w:rsid w:val="006C1C1F"/>
    <w:rsid w:val="006C1D72"/>
    <w:rsid w:val="006C1E2E"/>
    <w:rsid w:val="006C38AC"/>
    <w:rsid w:val="006C5097"/>
    <w:rsid w:val="006D180D"/>
    <w:rsid w:val="006D1CFF"/>
    <w:rsid w:val="006E5060"/>
    <w:rsid w:val="006E5C7E"/>
    <w:rsid w:val="00706782"/>
    <w:rsid w:val="00711091"/>
    <w:rsid w:val="007130C8"/>
    <w:rsid w:val="0071670D"/>
    <w:rsid w:val="00720FB2"/>
    <w:rsid w:val="00723B43"/>
    <w:rsid w:val="00731FD8"/>
    <w:rsid w:val="0073790C"/>
    <w:rsid w:val="0074608C"/>
    <w:rsid w:val="00751B16"/>
    <w:rsid w:val="0075390B"/>
    <w:rsid w:val="007568E8"/>
    <w:rsid w:val="00763741"/>
    <w:rsid w:val="00773DAA"/>
    <w:rsid w:val="00774014"/>
    <w:rsid w:val="00783D94"/>
    <w:rsid w:val="00785BDA"/>
    <w:rsid w:val="00791964"/>
    <w:rsid w:val="007A24C3"/>
    <w:rsid w:val="007A494E"/>
    <w:rsid w:val="007B541B"/>
    <w:rsid w:val="007B6D99"/>
    <w:rsid w:val="007C464B"/>
    <w:rsid w:val="007C652F"/>
    <w:rsid w:val="007D0D38"/>
    <w:rsid w:val="007F60A4"/>
    <w:rsid w:val="0080406F"/>
    <w:rsid w:val="00812925"/>
    <w:rsid w:val="0081409D"/>
    <w:rsid w:val="00821DD4"/>
    <w:rsid w:val="008413A8"/>
    <w:rsid w:val="008623AE"/>
    <w:rsid w:val="00871A8A"/>
    <w:rsid w:val="008801BC"/>
    <w:rsid w:val="0088026E"/>
    <w:rsid w:val="008849F7"/>
    <w:rsid w:val="00894C34"/>
    <w:rsid w:val="008B6A32"/>
    <w:rsid w:val="008C05DE"/>
    <w:rsid w:val="008C17DA"/>
    <w:rsid w:val="008C2769"/>
    <w:rsid w:val="008D7DA5"/>
    <w:rsid w:val="008E7182"/>
    <w:rsid w:val="008F21A2"/>
    <w:rsid w:val="008F5E38"/>
    <w:rsid w:val="008F7A7F"/>
    <w:rsid w:val="00901CF8"/>
    <w:rsid w:val="0090777C"/>
    <w:rsid w:val="009114CD"/>
    <w:rsid w:val="0093506A"/>
    <w:rsid w:val="009607C2"/>
    <w:rsid w:val="00964ADC"/>
    <w:rsid w:val="00971C15"/>
    <w:rsid w:val="0097301A"/>
    <w:rsid w:val="00975101"/>
    <w:rsid w:val="00977FED"/>
    <w:rsid w:val="00991342"/>
    <w:rsid w:val="009A23D6"/>
    <w:rsid w:val="009A5AD3"/>
    <w:rsid w:val="009A6FFC"/>
    <w:rsid w:val="009B1A13"/>
    <w:rsid w:val="009B5E18"/>
    <w:rsid w:val="009B6E9B"/>
    <w:rsid w:val="009C4BA5"/>
    <w:rsid w:val="009D40D2"/>
    <w:rsid w:val="009E492A"/>
    <w:rsid w:val="009F168E"/>
    <w:rsid w:val="00A00FAA"/>
    <w:rsid w:val="00A0323E"/>
    <w:rsid w:val="00A25CA1"/>
    <w:rsid w:val="00A27165"/>
    <w:rsid w:val="00A32391"/>
    <w:rsid w:val="00A35557"/>
    <w:rsid w:val="00A36FEC"/>
    <w:rsid w:val="00A44953"/>
    <w:rsid w:val="00A70CA8"/>
    <w:rsid w:val="00A75C4C"/>
    <w:rsid w:val="00A86E3A"/>
    <w:rsid w:val="00AA0F17"/>
    <w:rsid w:val="00AA1884"/>
    <w:rsid w:val="00AA65DD"/>
    <w:rsid w:val="00AA771C"/>
    <w:rsid w:val="00AB6476"/>
    <w:rsid w:val="00AD0CE3"/>
    <w:rsid w:val="00AD4BBF"/>
    <w:rsid w:val="00AD7358"/>
    <w:rsid w:val="00AE253A"/>
    <w:rsid w:val="00AF2506"/>
    <w:rsid w:val="00B01682"/>
    <w:rsid w:val="00B10150"/>
    <w:rsid w:val="00B10943"/>
    <w:rsid w:val="00B147B6"/>
    <w:rsid w:val="00B15CE7"/>
    <w:rsid w:val="00B21482"/>
    <w:rsid w:val="00B23B84"/>
    <w:rsid w:val="00B24AE3"/>
    <w:rsid w:val="00B317DB"/>
    <w:rsid w:val="00B4037B"/>
    <w:rsid w:val="00B4762E"/>
    <w:rsid w:val="00B54BBB"/>
    <w:rsid w:val="00B63B0F"/>
    <w:rsid w:val="00B673EA"/>
    <w:rsid w:val="00B718C5"/>
    <w:rsid w:val="00B8517D"/>
    <w:rsid w:val="00B94656"/>
    <w:rsid w:val="00BA7C79"/>
    <w:rsid w:val="00BB3DE4"/>
    <w:rsid w:val="00BB65B3"/>
    <w:rsid w:val="00BB6AD1"/>
    <w:rsid w:val="00BC4806"/>
    <w:rsid w:val="00BC597F"/>
    <w:rsid w:val="00BC697E"/>
    <w:rsid w:val="00BD6B0F"/>
    <w:rsid w:val="00BD741D"/>
    <w:rsid w:val="00BD7E03"/>
    <w:rsid w:val="00BE4314"/>
    <w:rsid w:val="00BF39B3"/>
    <w:rsid w:val="00BF3D58"/>
    <w:rsid w:val="00C044E5"/>
    <w:rsid w:val="00C073A0"/>
    <w:rsid w:val="00C1755D"/>
    <w:rsid w:val="00C41B1C"/>
    <w:rsid w:val="00C539BA"/>
    <w:rsid w:val="00C7197F"/>
    <w:rsid w:val="00C72600"/>
    <w:rsid w:val="00C73CAE"/>
    <w:rsid w:val="00C84896"/>
    <w:rsid w:val="00C85C6C"/>
    <w:rsid w:val="00C86A8F"/>
    <w:rsid w:val="00C975DF"/>
    <w:rsid w:val="00CA6D88"/>
    <w:rsid w:val="00CB081F"/>
    <w:rsid w:val="00CC3B15"/>
    <w:rsid w:val="00CC6502"/>
    <w:rsid w:val="00CC6D71"/>
    <w:rsid w:val="00CD4E23"/>
    <w:rsid w:val="00CF0AB6"/>
    <w:rsid w:val="00CF7FE3"/>
    <w:rsid w:val="00D05401"/>
    <w:rsid w:val="00D10CA4"/>
    <w:rsid w:val="00D117AE"/>
    <w:rsid w:val="00D20223"/>
    <w:rsid w:val="00D24718"/>
    <w:rsid w:val="00D24CA8"/>
    <w:rsid w:val="00D325E7"/>
    <w:rsid w:val="00D37554"/>
    <w:rsid w:val="00D643C9"/>
    <w:rsid w:val="00D66658"/>
    <w:rsid w:val="00D72F2F"/>
    <w:rsid w:val="00D76185"/>
    <w:rsid w:val="00D7641E"/>
    <w:rsid w:val="00D96068"/>
    <w:rsid w:val="00DC738B"/>
    <w:rsid w:val="00DD5443"/>
    <w:rsid w:val="00DF1B80"/>
    <w:rsid w:val="00DF2AA3"/>
    <w:rsid w:val="00DF67C5"/>
    <w:rsid w:val="00DF7149"/>
    <w:rsid w:val="00E03342"/>
    <w:rsid w:val="00E03ACE"/>
    <w:rsid w:val="00E045BD"/>
    <w:rsid w:val="00E06649"/>
    <w:rsid w:val="00E06D71"/>
    <w:rsid w:val="00E20D4A"/>
    <w:rsid w:val="00E21A36"/>
    <w:rsid w:val="00E26237"/>
    <w:rsid w:val="00E3159F"/>
    <w:rsid w:val="00E31D9C"/>
    <w:rsid w:val="00E36EE4"/>
    <w:rsid w:val="00E477FC"/>
    <w:rsid w:val="00E56355"/>
    <w:rsid w:val="00E60CDB"/>
    <w:rsid w:val="00E71650"/>
    <w:rsid w:val="00E720E8"/>
    <w:rsid w:val="00E73A06"/>
    <w:rsid w:val="00E845D7"/>
    <w:rsid w:val="00EB13FB"/>
    <w:rsid w:val="00EB18FE"/>
    <w:rsid w:val="00EB6BD2"/>
    <w:rsid w:val="00EB73DF"/>
    <w:rsid w:val="00EC3F7D"/>
    <w:rsid w:val="00EC7DD2"/>
    <w:rsid w:val="00ED2D9D"/>
    <w:rsid w:val="00ED4053"/>
    <w:rsid w:val="00EE4FC6"/>
    <w:rsid w:val="00EF0B1C"/>
    <w:rsid w:val="00EF3047"/>
    <w:rsid w:val="00EF5CF9"/>
    <w:rsid w:val="00F22B4A"/>
    <w:rsid w:val="00F22EBD"/>
    <w:rsid w:val="00F451CB"/>
    <w:rsid w:val="00F472A5"/>
    <w:rsid w:val="00F509BB"/>
    <w:rsid w:val="00F567D6"/>
    <w:rsid w:val="00F7403A"/>
    <w:rsid w:val="00F76780"/>
    <w:rsid w:val="00F7776B"/>
    <w:rsid w:val="00F8230A"/>
    <w:rsid w:val="00F86618"/>
    <w:rsid w:val="00F96F2F"/>
    <w:rsid w:val="00FA6FE8"/>
    <w:rsid w:val="00FB4C0B"/>
    <w:rsid w:val="00FC3452"/>
    <w:rsid w:val="00FC6789"/>
    <w:rsid w:val="00FE17A9"/>
    <w:rsid w:val="00FE59BB"/>
    <w:rsid w:val="00FE78AD"/>
    <w:rsid w:val="00FF0CA3"/>
    <w:rsid w:val="00FF105C"/>
    <w:rsid w:val="3532012A"/>
    <w:rsid w:val="3D8DA67F"/>
    <w:rsid w:val="5FFB809C"/>
    <w:rsid w:val="6F6F4C66"/>
    <w:rsid w:val="BFF3F8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link w:val="19"/>
    <w:qFormat/>
    <w:uiPriority w:val="0"/>
    <w:pPr>
      <w:keepNext/>
      <w:keepLines/>
      <w:outlineLvl w:val="1"/>
    </w:pPr>
    <w:rPr>
      <w:rFonts w:eastAsia="黑体"/>
      <w:bCs/>
      <w:szCs w:val="32"/>
    </w:rPr>
  </w:style>
  <w:style w:type="paragraph" w:styleId="4">
    <w:name w:val="heading 3"/>
    <w:basedOn w:val="1"/>
    <w:next w:val="1"/>
    <w:link w:val="20"/>
    <w:qFormat/>
    <w:uiPriority w:val="0"/>
    <w:pPr>
      <w:outlineLvl w:val="2"/>
    </w:pPr>
    <w:rPr>
      <w:rFonts w:eastAsia="楷体_GB2312"/>
      <w:b/>
      <w:bCs/>
      <w:szCs w:val="32"/>
    </w:rPr>
  </w:style>
  <w:style w:type="paragraph" w:styleId="5">
    <w:name w:val="heading 4"/>
    <w:basedOn w:val="1"/>
    <w:next w:val="1"/>
    <w:link w:val="21"/>
    <w:qFormat/>
    <w:uiPriority w:val="0"/>
    <w:pPr>
      <w:outlineLvl w:val="3"/>
    </w:pPr>
    <w:rPr>
      <w:bCs/>
      <w:szCs w:val="28"/>
    </w:rPr>
  </w:style>
  <w:style w:type="paragraph" w:styleId="6">
    <w:name w:val="heading 6"/>
    <w:basedOn w:val="1"/>
    <w:next w:val="1"/>
    <w:qFormat/>
    <w:uiPriority w:val="0"/>
    <w:pPr>
      <w:keepNext/>
      <w:keepLines/>
      <w:spacing w:before="240" w:after="64" w:line="320" w:lineRule="atLeast"/>
      <w:outlineLvl w:val="5"/>
    </w:pPr>
    <w:rPr>
      <w:rFonts w:ascii="Arial" w:hAnsi="Arial" w:eastAsia="黑体"/>
      <w:b/>
      <w:bCs/>
      <w:sz w:val="24"/>
    </w:rPr>
  </w:style>
  <w:style w:type="paragraph" w:styleId="7">
    <w:name w:val="heading 7"/>
    <w:basedOn w:val="1"/>
    <w:next w:val="1"/>
    <w:qFormat/>
    <w:uiPriority w:val="0"/>
    <w:pPr>
      <w:keepNext/>
      <w:keepLines/>
      <w:spacing w:before="240" w:after="64" w:line="320" w:lineRule="atLeast"/>
      <w:outlineLvl w:val="6"/>
    </w:pPr>
    <w:rPr>
      <w:b/>
      <w:bCs/>
      <w:sz w:val="24"/>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8">
    <w:name w:val="Body Text 3"/>
    <w:basedOn w:val="1"/>
    <w:uiPriority w:val="0"/>
    <w:pPr>
      <w:spacing w:after="120"/>
    </w:pPr>
    <w:rPr>
      <w:sz w:val="16"/>
      <w:szCs w:val="16"/>
    </w:rPr>
  </w:style>
  <w:style w:type="paragraph" w:styleId="9">
    <w:name w:val="Date"/>
    <w:basedOn w:val="1"/>
    <w:next w:val="1"/>
    <w:uiPriority w:val="0"/>
    <w:pPr>
      <w:ind w:left="100" w:leftChars="2500"/>
    </w:pPr>
  </w:style>
  <w:style w:type="paragraph" w:styleId="10">
    <w:name w:val="Body Text Indent 2"/>
    <w:basedOn w:val="1"/>
    <w:uiPriority w:val="0"/>
    <w:pPr>
      <w:adjustRightInd/>
      <w:snapToGrid/>
      <w:spacing w:line="240" w:lineRule="auto"/>
      <w:ind w:firstLine="420"/>
    </w:pPr>
    <w:rPr>
      <w:rFonts w:ascii="仿宋_GB2312"/>
      <w:color w:val="FF6600"/>
      <w:sz w:val="21"/>
    </w:rPr>
  </w:style>
  <w:style w:type="paragraph" w:styleId="11">
    <w:name w:val="Balloon Text"/>
    <w:basedOn w:val="1"/>
    <w:link w:val="22"/>
    <w:semiHidden/>
    <w:uiPriority w:val="0"/>
    <w:pPr>
      <w:adjustRightInd/>
      <w:snapToGrid/>
      <w:spacing w:line="240" w:lineRule="auto"/>
      <w:ind w:firstLine="0" w:firstLineChars="0"/>
    </w:pPr>
    <w:rPr>
      <w:rFonts w:eastAsia="宋体"/>
      <w:sz w:val="18"/>
      <w:szCs w:val="18"/>
    </w:rPr>
  </w:style>
  <w:style w:type="paragraph" w:styleId="12">
    <w:name w:val="footer"/>
    <w:basedOn w:val="1"/>
    <w:link w:val="23"/>
    <w:qFormat/>
    <w:uiPriority w:val="0"/>
    <w:pPr>
      <w:tabs>
        <w:tab w:val="center" w:pos="4153"/>
        <w:tab w:val="right" w:pos="8306"/>
      </w:tabs>
      <w:snapToGrid w:val="0"/>
      <w:spacing w:line="240" w:lineRule="atLeast"/>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5">
    <w:name w:val="Table Grid"/>
    <w:basedOn w:val="14"/>
    <w:uiPriority w:val="0"/>
    <w:pPr>
      <w:widowControl w:val="0"/>
      <w:adjustRightInd w:val="0"/>
      <w:snapToGrid w:val="0"/>
      <w:spacing w:line="590" w:lineRule="atLeast"/>
      <w:ind w:firstLine="200" w:firstLineChars="20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uiPriority w:val="0"/>
    <w:rPr>
      <w:color w:val="0000FF"/>
      <w:u w:val="single"/>
    </w:rPr>
  </w:style>
  <w:style w:type="character" w:customStyle="1" w:styleId="19">
    <w:name w:val="标题 2 字符"/>
    <w:link w:val="3"/>
    <w:uiPriority w:val="0"/>
    <w:rPr>
      <w:rFonts w:eastAsia="黑体"/>
      <w:bCs/>
      <w:kern w:val="2"/>
      <w:sz w:val="32"/>
      <w:szCs w:val="32"/>
      <w:lang w:val="en-US" w:eastAsia="zh-CN" w:bidi="ar-SA"/>
    </w:rPr>
  </w:style>
  <w:style w:type="character" w:customStyle="1" w:styleId="20">
    <w:name w:val="标题 3 字符"/>
    <w:link w:val="4"/>
    <w:qFormat/>
    <w:uiPriority w:val="0"/>
    <w:rPr>
      <w:rFonts w:eastAsia="楷体_GB2312"/>
      <w:b/>
      <w:bCs/>
      <w:kern w:val="2"/>
      <w:sz w:val="32"/>
      <w:szCs w:val="32"/>
      <w:lang w:val="en-US" w:eastAsia="zh-CN" w:bidi="ar-SA"/>
    </w:rPr>
  </w:style>
  <w:style w:type="character" w:customStyle="1" w:styleId="21">
    <w:name w:val="标题 4 字符"/>
    <w:link w:val="5"/>
    <w:uiPriority w:val="0"/>
    <w:rPr>
      <w:rFonts w:eastAsia="仿宋_GB2312"/>
      <w:bCs/>
      <w:kern w:val="2"/>
      <w:sz w:val="32"/>
      <w:szCs w:val="28"/>
      <w:lang w:val="en-US" w:eastAsia="zh-CN" w:bidi="ar-SA"/>
    </w:rPr>
  </w:style>
  <w:style w:type="character" w:customStyle="1" w:styleId="22">
    <w:name w:val="批注框文本 字符"/>
    <w:link w:val="11"/>
    <w:semiHidden/>
    <w:uiPriority w:val="0"/>
    <w:rPr>
      <w:rFonts w:eastAsia="宋体"/>
      <w:kern w:val="2"/>
      <w:sz w:val="18"/>
      <w:szCs w:val="18"/>
      <w:lang w:val="en-US" w:eastAsia="zh-CN" w:bidi="ar-SA"/>
    </w:rPr>
  </w:style>
  <w:style w:type="character" w:customStyle="1" w:styleId="23">
    <w:name w:val="页脚 字符"/>
    <w:link w:val="12"/>
    <w:uiPriority w:val="0"/>
    <w:rPr>
      <w:rFonts w:eastAsia="仿宋_GB2312"/>
      <w:kern w:val="2"/>
      <w:sz w:val="18"/>
      <w:szCs w:val="18"/>
      <w:lang w:val="en-US" w:eastAsia="zh-CN" w:bidi="ar-SA"/>
    </w:rPr>
  </w:style>
  <w:style w:type="character" w:customStyle="1" w:styleId="24">
    <w:name w:val="页眉 字符"/>
    <w:link w:val="13"/>
    <w:uiPriority w:val="99"/>
    <w:rPr>
      <w:rFonts w:eastAsia="仿宋_GB2312"/>
      <w:kern w:val="2"/>
      <w:sz w:val="18"/>
      <w:szCs w:val="18"/>
      <w:lang w:val="en-US" w:eastAsia="zh-CN" w:bidi="ar-SA"/>
    </w:rPr>
  </w:style>
  <w:style w:type="paragraph" w:customStyle="1" w:styleId="25">
    <w:name w:val="表头"/>
    <w:basedOn w:val="1"/>
    <w:uiPriority w:val="0"/>
    <w:pPr>
      <w:spacing w:before="80" w:after="80" w:line="280" w:lineRule="atLeast"/>
      <w:ind w:firstLine="0" w:firstLineChars="0"/>
      <w:jc w:val="center"/>
    </w:pPr>
    <w:rPr>
      <w:rFonts w:eastAsia="黑体" w:cs="宋体"/>
      <w:sz w:val="24"/>
    </w:rPr>
  </w:style>
  <w:style w:type="paragraph" w:customStyle="1" w:styleId="26">
    <w:name w:val="表内文字"/>
    <w:basedOn w:val="1"/>
    <w:uiPriority w:val="0"/>
    <w:pPr>
      <w:spacing w:before="60" w:after="60" w:line="280" w:lineRule="atLeast"/>
      <w:ind w:firstLine="0" w:firstLineChars="0"/>
    </w:pPr>
    <w:rPr>
      <w:sz w:val="24"/>
    </w:rPr>
  </w:style>
  <w:style w:type="paragraph" w:customStyle="1" w:styleId="27">
    <w:name w:val="p0"/>
    <w:basedOn w:val="1"/>
    <w:uiPriority w:val="0"/>
    <w:pPr>
      <w:widowControl/>
      <w:adjustRightInd/>
      <w:snapToGrid/>
      <w:spacing w:line="240" w:lineRule="auto"/>
      <w:ind w:firstLine="0" w:firstLineChars="0"/>
    </w:pPr>
    <w:rPr>
      <w:rFonts w:eastAsia="宋体"/>
      <w:kern w:val="0"/>
      <w:sz w:val="21"/>
      <w:szCs w:val="21"/>
    </w:rPr>
  </w:style>
  <w:style w:type="paragraph" w:customStyle="1" w:styleId="28">
    <w:name w:val="样式4"/>
    <w:basedOn w:val="1"/>
    <w:uiPriority w:val="0"/>
    <w:pPr>
      <w:adjustRightInd/>
      <w:snapToGrid/>
      <w:spacing w:line="600" w:lineRule="exact"/>
      <w:ind w:firstLine="640"/>
    </w:pPr>
    <w:rPr>
      <w:szCs w:val="32"/>
    </w:rPr>
  </w:style>
  <w:style w:type="character" w:customStyle="1" w:styleId="29">
    <w:name w:val=" Char Char4"/>
    <w:uiPriority w:val="0"/>
    <w:rPr>
      <w:rFonts w:eastAsia="黑体"/>
      <w:bCs/>
      <w:kern w:val="2"/>
      <w:sz w:val="32"/>
      <w:szCs w:val="32"/>
      <w:lang w:val="en-US" w:eastAsia="zh-CN" w:bidi="ar-SA"/>
    </w:rPr>
  </w:style>
  <w:style w:type="character" w:customStyle="1" w:styleId="30">
    <w:name w:val=" Char Char3"/>
    <w:uiPriority w:val="0"/>
    <w:rPr>
      <w:rFonts w:eastAsia="楷体_GB2312"/>
      <w:b/>
      <w:bCs/>
      <w:kern w:val="2"/>
      <w:sz w:val="32"/>
      <w:szCs w:val="32"/>
      <w:lang w:val="en-US" w:eastAsia="zh-CN" w:bidi="ar-SA"/>
    </w:rPr>
  </w:style>
  <w:style w:type="paragraph" w:customStyle="1" w:styleId="31">
    <w:name w:val="List Paragraph"/>
    <w:basedOn w:val="1"/>
    <w:uiPriority w:val="0"/>
    <w:pPr>
      <w:adjustRightInd/>
      <w:snapToGrid/>
      <w:spacing w:line="240" w:lineRule="auto"/>
      <w:ind w:firstLine="420"/>
    </w:pPr>
    <w:rPr>
      <w:rFonts w:ascii="Calibri" w:hAnsi="Calibri" w:eastAsia="宋体"/>
      <w:sz w:val="21"/>
      <w:szCs w:val="21"/>
    </w:rPr>
  </w:style>
  <w:style w:type="paragraph" w:customStyle="1" w:styleId="32">
    <w:name w:val="正文 A"/>
    <w:basedOn w:val="1"/>
    <w:uiPriority w:val="0"/>
    <w:pPr>
      <w:adjustRightInd/>
      <w:snapToGrid/>
      <w:spacing w:line="240" w:lineRule="auto"/>
      <w:ind w:firstLine="0" w:firstLineChars="0"/>
    </w:pPr>
    <w:rPr>
      <w:rFonts w:ascii="Arial Unicode MS" w:hAnsi="Arial Unicode MS" w:eastAsia="宋体" w:cs="Arial Unicode MS"/>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3988</Words>
  <Characters>4025</Characters>
  <Lines>30</Lines>
  <Paragraphs>8</Paragraphs>
  <TotalTime>8</TotalTime>
  <ScaleCrop>false</ScaleCrop>
  <LinksUpToDate>false</LinksUpToDate>
  <CharactersWithSpaces>4161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2022-09-30T04:43:00Z</dcterms:created>
  <dc:creator>walkinnet</dc:creator>
  <cp:lastModifiedBy>万全鹏</cp:lastModifiedBy>
  <cp:lastPrinted>2018-10-25T11:13:00Z</cp:lastPrinted>
  <dcterms:modified xsi:type="dcterms:W3CDTF">2022-11-01T07:36:26Z</dcterms:modified>
  <dc:title>湘农业函〔2014〕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631EE76273DC4354B2F80D51A144585E</vt:lpwstr>
  </property>
</Properties>
</file>