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shd w:val="clear" w:color="auto" w:fill="FFFFFF"/>
        <w:wordWrap/>
        <w:spacing w:before="0" w:beforeAutospacing="0" w:after="0" w:afterAutospacing="0"/>
        <w:ind w:left="0" w:leftChars="0" w:right="0" w:firstLine="0" w:firstLineChars="0"/>
        <w:jc w:val="left"/>
        <w:rPr>
          <w:sz w:val="32"/>
          <w:szCs w:val="32"/>
        </w:rPr>
      </w:pPr>
      <w:r>
        <w:rPr>
          <w:b w:val="0"/>
          <w:i w:val="0"/>
          <w:caps w:val="0"/>
          <w:color w:val="000000"/>
          <w:spacing w:val="0"/>
          <w:sz w:val="32"/>
          <w:szCs w:val="32"/>
          <w:shd w:val="clear" w:color="auto" w:fill="FFFFFF"/>
        </w:rPr>
        <w:t>HNPR-2022-17012</w:t>
      </w:r>
    </w:p>
    <w:p>
      <w:pPr>
        <w:pStyle w:val="2"/>
        <w:jc w:val="center"/>
        <w:rPr>
          <w:rFonts w:hint="eastAsia"/>
          <w:lang w:eastAsia="zh-CN"/>
        </w:rPr>
      </w:pPr>
    </w:p>
    <w:p>
      <w:pPr>
        <w:pStyle w:val="2"/>
        <w:jc w:val="center"/>
        <w:rPr>
          <w:rFonts w:hint="eastAsia"/>
          <w:lang w:val="en-US" w:eastAsia="zh-CN"/>
        </w:rPr>
      </w:pPr>
      <w:r>
        <w:rPr>
          <w:rFonts w:hint="eastAsia"/>
          <w:lang w:eastAsia="zh-CN"/>
        </w:rPr>
        <w:t>湖南省农业农村厅</w:t>
      </w:r>
      <w:r>
        <w:rPr>
          <w:rFonts w:hint="eastAsia"/>
          <w:lang w:val="en-US" w:eastAsia="zh-CN"/>
        </w:rPr>
        <w:t xml:space="preserve"> 湖南省发展和改革委员会</w:t>
      </w:r>
    </w:p>
    <w:p>
      <w:pPr>
        <w:ind w:left="0" w:leftChars="0" w:firstLine="0" w:firstLineChars="0"/>
        <w:jc w:val="center"/>
        <w:rPr>
          <w:rFonts w:hint="default" w:ascii="Times New Roman" w:hAnsi="Times New Roman" w:eastAsia="方正小标宋简体" w:cs="Times New Roman"/>
          <w:bCs/>
          <w:kern w:val="44"/>
          <w:sz w:val="44"/>
          <w:szCs w:val="44"/>
          <w:lang w:val="en-US" w:eastAsia="zh-CN" w:bidi="ar-SA"/>
        </w:rPr>
      </w:pPr>
      <w:r>
        <w:rPr>
          <w:rFonts w:hint="eastAsia" w:ascii="Times New Roman" w:hAnsi="Times New Roman" w:eastAsia="方正小标宋简体" w:cs="Times New Roman"/>
          <w:bCs/>
          <w:kern w:val="44"/>
          <w:sz w:val="44"/>
          <w:szCs w:val="44"/>
          <w:lang w:val="en-US" w:eastAsia="zh-CN" w:bidi="ar-SA"/>
        </w:rPr>
        <w:t>湖南省财政厅 湖南省自然资源厅</w:t>
      </w:r>
    </w:p>
    <w:p>
      <w:pPr>
        <w:pStyle w:val="2"/>
        <w:rPr>
          <w:rFonts w:hint="eastAsia"/>
        </w:rPr>
      </w:pPr>
      <w:r>
        <w:rPr>
          <w:rFonts w:hint="eastAsia"/>
        </w:rPr>
        <w:t>关于印发《全省高标准农田建设投贷联动等</w:t>
      </w:r>
    </w:p>
    <w:p>
      <w:pPr>
        <w:pStyle w:val="2"/>
        <w:rPr>
          <w:rFonts w:hint="eastAsia"/>
        </w:rPr>
      </w:pPr>
      <w:r>
        <w:rPr>
          <w:rFonts w:hint="eastAsia"/>
        </w:rPr>
        <w:t>投融资创新实施意见》的通知</w:t>
      </w:r>
    </w:p>
    <w:p>
      <w:pPr>
        <w:rPr>
          <w:rFonts w:hint="eastAsia"/>
        </w:rPr>
      </w:pPr>
    </w:p>
    <w:p>
      <w:pPr>
        <w:spacing w:after="120"/>
        <w:ind w:firstLine="0" w:firstLineChars="0"/>
        <w:jc w:val="center"/>
      </w:pPr>
      <w:r>
        <w:rPr>
          <w:rFonts w:ascii="Times New Roman" w:hAnsi="Times New Roman" w:cs="Times New Roman"/>
          <w:color w:val="000000"/>
          <w:szCs w:val="32"/>
        </w:rPr>
        <w:t>湘农联〔202</w:t>
      </w:r>
      <w:r>
        <w:rPr>
          <w:rFonts w:hint="eastAsia" w:ascii="Times New Roman" w:hAnsi="Times New Roman" w:cs="Times New Roman"/>
          <w:color w:val="000000"/>
          <w:szCs w:val="32"/>
        </w:rPr>
        <w:t>2</w:t>
      </w:r>
      <w:r>
        <w:rPr>
          <w:rFonts w:ascii="Times New Roman" w:hAnsi="Times New Roman" w:cs="Times New Roman"/>
          <w:color w:val="000000"/>
          <w:szCs w:val="32"/>
        </w:rPr>
        <w:t>〕</w:t>
      </w:r>
      <w:r>
        <w:rPr>
          <w:rFonts w:hint="eastAsia" w:ascii="Times New Roman" w:hAnsi="Times New Roman" w:cs="Times New Roman"/>
          <w:color w:val="000000"/>
          <w:szCs w:val="32"/>
        </w:rPr>
        <w:t>109</w:t>
      </w:r>
      <w:r>
        <w:rPr>
          <w:rFonts w:ascii="Times New Roman" w:hAnsi="Times New Roman" w:cs="Times New Roman"/>
          <w:color w:val="000000"/>
          <w:szCs w:val="32"/>
        </w:rPr>
        <w:t>号</w:t>
      </w:r>
    </w:p>
    <w:p>
      <w:pPr>
        <w:ind w:firstLine="640"/>
      </w:pPr>
    </w:p>
    <w:p>
      <w:pPr>
        <w:ind w:firstLine="0" w:firstLineChars="0"/>
      </w:pPr>
      <w:r>
        <w:rPr>
          <w:rFonts w:hint="eastAsia"/>
        </w:rPr>
        <w:t>各市州、县市区农业农村局、发展改革委（局）、财政局、自然资源主管部门：</w:t>
      </w:r>
    </w:p>
    <w:p>
      <w:pPr>
        <w:ind w:firstLine="640"/>
      </w:pPr>
      <w:r>
        <w:rPr>
          <w:rFonts w:hint="eastAsia"/>
        </w:rPr>
        <w:t>为充分利用全国扩内需的政策机遇，引入社会资本开展高标准农田建设，进一步提升高标准农田建设投资标准，现将《全省高标准农田建设投贷联动等投融资创新实施意见》印发给你们，请认真贯彻执行。</w:t>
      </w:r>
    </w:p>
    <w:p>
      <w:pPr>
        <w:ind w:firstLine="640"/>
      </w:pPr>
      <w:r>
        <w:rPr>
          <w:rFonts w:hint="eastAsia"/>
        </w:rPr>
        <w:t>附件：全省高标准农田建设投贷联动等投融资创新实施意见</w:t>
      </w:r>
    </w:p>
    <w:p>
      <w:pPr>
        <w:pStyle w:val="5"/>
        <w:ind w:left="0" w:leftChars="0" w:firstLine="0" w:firstLineChars="0"/>
        <w:rPr>
          <w:rFonts w:ascii="仿宋_GB2312" w:hAnsi="仿宋_GB2312" w:cs="仿宋_GB2312"/>
          <w:szCs w:val="32"/>
        </w:rPr>
      </w:pPr>
    </w:p>
    <w:p>
      <w:pPr>
        <w:pStyle w:val="5"/>
        <w:ind w:firstLine="640"/>
      </w:pPr>
      <w:r>
        <w:rPr>
          <w:rFonts w:hint="eastAsia" w:ascii="仿宋_GB2312" w:hAnsi="仿宋_GB2312" w:cs="仿宋_GB2312"/>
          <w:szCs w:val="32"/>
        </w:rPr>
        <w:t>湖南省农业农村厅          湖南省发展和改革委员会</w:t>
      </w:r>
    </w:p>
    <w:p>
      <w:pPr>
        <w:pStyle w:val="5"/>
        <w:ind w:firstLine="640"/>
        <w:rPr>
          <w:rFonts w:ascii="仿宋_GB2312" w:hAnsi="仿宋_GB2312" w:cs="仿宋_GB2312"/>
          <w:szCs w:val="32"/>
        </w:rPr>
      </w:pPr>
      <w:r>
        <w:rPr>
          <w:rFonts w:hint="eastAsia" w:ascii="仿宋_GB2312" w:hAnsi="仿宋_GB2312" w:cs="仿宋_GB2312"/>
          <w:szCs w:val="32"/>
        </w:rPr>
        <w:t>湖 南 省 财 政 厅            湖南省自然资源厅</w:t>
      </w:r>
    </w:p>
    <w:p>
      <w:pPr>
        <w:ind w:firstLine="5280" w:firstLineChars="1650"/>
        <w:rPr>
          <w:bCs/>
          <w:szCs w:val="32"/>
        </w:rPr>
      </w:pPr>
      <w:r>
        <w:rPr>
          <w:bCs/>
          <w:szCs w:val="32"/>
        </w:rPr>
        <w:t>202</w:t>
      </w:r>
      <w:r>
        <w:rPr>
          <w:rFonts w:hint="eastAsia"/>
          <w:bCs/>
          <w:szCs w:val="32"/>
        </w:rPr>
        <w:t>2</w:t>
      </w:r>
      <w:r>
        <w:rPr>
          <w:bCs/>
          <w:szCs w:val="32"/>
        </w:rPr>
        <w:t>年</w:t>
      </w:r>
      <w:r>
        <w:rPr>
          <w:rFonts w:hint="eastAsia"/>
          <w:bCs/>
          <w:szCs w:val="32"/>
        </w:rPr>
        <w:t>11</w:t>
      </w:r>
      <w:r>
        <w:rPr>
          <w:bCs/>
          <w:szCs w:val="32"/>
        </w:rPr>
        <w:t>月</w:t>
      </w:r>
      <w:r>
        <w:rPr>
          <w:rFonts w:hint="eastAsia"/>
          <w:bCs/>
          <w:szCs w:val="32"/>
        </w:rPr>
        <w:t>15</w:t>
      </w:r>
      <w:r>
        <w:rPr>
          <w:bCs/>
          <w:szCs w:val="32"/>
        </w:rPr>
        <w:t>日</w:t>
      </w:r>
    </w:p>
    <w:p>
      <w:pPr>
        <w:pStyle w:val="3"/>
        <w:ind w:firstLine="0" w:firstLineChars="0"/>
      </w:pPr>
      <w:r>
        <w:br w:type="page"/>
      </w:r>
      <w:r>
        <w:rPr>
          <w:rFonts w:hint="eastAsia"/>
        </w:rPr>
        <w:t>附件</w:t>
      </w:r>
    </w:p>
    <w:p>
      <w:pPr>
        <w:ind w:firstLine="640"/>
      </w:pPr>
    </w:p>
    <w:p>
      <w:pPr>
        <w:pStyle w:val="2"/>
        <w:rPr>
          <w:rFonts w:hint="eastAsia"/>
        </w:rPr>
      </w:pPr>
      <w:r>
        <w:rPr>
          <w:rFonts w:hint="eastAsia"/>
        </w:rPr>
        <w:t>全省高标准农田建设投贷联动等</w:t>
      </w:r>
    </w:p>
    <w:p>
      <w:pPr>
        <w:pStyle w:val="2"/>
      </w:pPr>
      <w:r>
        <w:rPr>
          <w:rFonts w:hint="eastAsia"/>
        </w:rPr>
        <w:t>投融资创新实施意见</w:t>
      </w:r>
    </w:p>
    <w:p>
      <w:pPr>
        <w:spacing w:line="590" w:lineRule="atLeast"/>
        <w:ind w:firstLine="640"/>
      </w:pPr>
    </w:p>
    <w:p>
      <w:pPr>
        <w:spacing w:line="590" w:lineRule="atLeast"/>
        <w:ind w:firstLine="640"/>
      </w:pPr>
      <w:r>
        <w:rPr>
          <w:rFonts w:hint="eastAsia"/>
        </w:rPr>
        <w:t>为充分利用全国扩内需的政策机遇，进一步提升高标准农田建设投资标准，提高建设质量和综合效益，筑牢粮食安全根基，</w:t>
      </w:r>
      <w:r>
        <w:t>根据《国务院办公厅关于切实加强高标准农田建设提升国家粮食安全保障能力的意见》（国办发〔2019〕50号），</w:t>
      </w:r>
      <w:r>
        <w:rPr>
          <w:rFonts w:hint="eastAsia"/>
        </w:rPr>
        <w:t>现就全省高标准农田建设投贷联动等投融资创新提出如下实施意见。</w:t>
      </w:r>
    </w:p>
    <w:p>
      <w:pPr>
        <w:pStyle w:val="3"/>
        <w:keepNext w:val="0"/>
        <w:keepLines w:val="0"/>
        <w:spacing w:line="590" w:lineRule="atLeast"/>
        <w:ind w:firstLine="640"/>
      </w:pPr>
      <w:r>
        <w:rPr>
          <w:rFonts w:hint="eastAsia"/>
        </w:rPr>
        <w:t>一、指导思想</w:t>
      </w:r>
    </w:p>
    <w:p>
      <w:pPr>
        <w:spacing w:line="590" w:lineRule="atLeast"/>
        <w:ind w:firstLine="640"/>
      </w:pPr>
      <w:r>
        <w:rPr>
          <w:rFonts w:hint="eastAsia"/>
        </w:rPr>
        <w:t>以习近平新时代中国特色社会主义思想为指导，全面贯彻党的二十大及省第十二次党代会精神，认真落实“三高四新”战略定位和使命任务，按照政府主导、市场运作，创新融资、多元投入，统筹推进、突破瓶颈，做强平台、数字支撑，稳定流转、促进增收，坚守底线、政策支持的原则，完善政策体系，强化工作保障，支持各类市场主体投资参与高标准农田建设，形成多元投入格局，提高投资标准和建设效益。</w:t>
      </w:r>
    </w:p>
    <w:p>
      <w:pPr>
        <w:pStyle w:val="3"/>
        <w:keepNext w:val="0"/>
        <w:keepLines w:val="0"/>
        <w:spacing w:line="590" w:lineRule="atLeast"/>
        <w:ind w:firstLine="640"/>
      </w:pPr>
      <w:r>
        <w:rPr>
          <w:rFonts w:hint="eastAsia"/>
        </w:rPr>
        <w:t>二、工作目标</w:t>
      </w:r>
    </w:p>
    <w:p>
      <w:pPr>
        <w:spacing w:line="600" w:lineRule="atLeast"/>
        <w:ind w:firstLine="640"/>
      </w:pPr>
      <w:r>
        <w:rPr>
          <w:rFonts w:hint="eastAsia"/>
        </w:rPr>
        <w:t>通过高标准农田建设投融资创新，构建财政投入、主体自筹和金融资本参与的多元化投入机制，按照《高标准农田建设通则》（GB/T30600）和《湖南省地方标准：高标准农田建设》(DB43/T 876.1～10) ，因地制宜实施“小田改大田”，开展耕地地力提升，配套灌排设施、田间道路、配套林网、输配电设施及科技措施，确保亩均投资标准达到3000元以上，全面提高高标准农田建设投资标准和建设质量，2022年完成50万亩，争取完成100万亩；2023-2025年每年完成100万亩以上，每年结合国家下达的任务和实际情况予以适当调整。</w:t>
      </w:r>
    </w:p>
    <w:p>
      <w:pPr>
        <w:pStyle w:val="3"/>
        <w:keepNext w:val="0"/>
        <w:keepLines w:val="0"/>
        <w:spacing w:line="600" w:lineRule="atLeast"/>
        <w:ind w:firstLine="640"/>
      </w:pPr>
      <w:r>
        <w:rPr>
          <w:rFonts w:hint="eastAsia"/>
        </w:rPr>
        <w:t>三、实施要求</w:t>
      </w:r>
    </w:p>
    <w:p>
      <w:pPr>
        <w:spacing w:line="600" w:lineRule="atLeast"/>
        <w:ind w:firstLine="643"/>
        <w:rPr>
          <w:rStyle w:val="20"/>
          <w:rFonts w:ascii="仿宋_GB2312" w:hAnsi="仿宋_GB2312" w:cs="仿宋_GB2312"/>
        </w:rPr>
      </w:pPr>
      <w:r>
        <w:rPr>
          <w:rStyle w:val="20"/>
          <w:rFonts w:hint="eastAsia" w:ascii="楷体_GB2312" w:hAnsi="楷体_GB2312" w:cs="楷体_GB2312"/>
        </w:rPr>
        <w:t>（一）推进土地流转。</w:t>
      </w:r>
      <w:r>
        <w:rPr>
          <w:rFonts w:hint="eastAsia"/>
          <w:bCs/>
        </w:rPr>
        <w:t>鼓励</w:t>
      </w:r>
      <w:r>
        <w:rPr>
          <w:rFonts w:hint="eastAsia"/>
        </w:rPr>
        <w:t>各地依托国有企业、民营企业、集体经济组织、合作经济组织、家庭农场、专业大户等市场主体（以下简称“市场主体”）和土地流转机构加强土地集中流转，利用农村产权交易平台等数字平台开展农田流转交易，推广农田数字化改革，为市场主体参与高标准农田建设统一实施和规模化经营打好基础。</w:t>
      </w:r>
    </w:p>
    <w:p>
      <w:pPr>
        <w:spacing w:line="600" w:lineRule="atLeast"/>
        <w:ind w:firstLine="643"/>
      </w:pPr>
      <w:r>
        <w:rPr>
          <w:rStyle w:val="20"/>
          <w:rFonts w:hint="eastAsia" w:ascii="楷体_GB2312" w:hAnsi="楷体_GB2312" w:cs="楷体_GB2312"/>
        </w:rPr>
        <w:t>（二）择优选择主体。</w:t>
      </w:r>
      <w:r>
        <w:rPr>
          <w:rFonts w:hint="eastAsia"/>
        </w:rPr>
        <w:t>有意向引进市场主体投资参与高标准农田建设的县市区，要依法依规择优选择市场主体开展融资和进行项目实施。支持市场主体通过合作、入股等形式组成项目联合体分工进行项目融资和实施项目。鼓励社会组织、团体、乡友乡贤、农户等参与项目融资和实施。</w:t>
      </w:r>
    </w:p>
    <w:p>
      <w:pPr>
        <w:spacing w:line="600" w:lineRule="atLeast"/>
        <w:ind w:firstLine="643"/>
      </w:pPr>
      <w:r>
        <w:rPr>
          <w:rStyle w:val="20"/>
          <w:rFonts w:hint="eastAsia" w:ascii="楷体_GB2312" w:hAnsi="楷体_GB2312" w:cs="楷体_GB2312"/>
        </w:rPr>
        <w:t>（三）加快项目立项。</w:t>
      </w:r>
      <w:r>
        <w:rPr>
          <w:rFonts w:hint="eastAsia"/>
        </w:rPr>
        <w:t>经农业农村部门对拟建项目区、建设内容等审核确认符合立项条件的高标准农田建设投融资项目，报同级人民政府审批同意。</w:t>
      </w:r>
      <w:r>
        <w:rPr>
          <w:rFonts w:hint="eastAsia"/>
          <w:lang w:eastAsia="zh-CN"/>
        </w:rPr>
        <w:t>各级</w:t>
      </w:r>
      <w:r>
        <w:rPr>
          <w:rFonts w:hint="eastAsia"/>
        </w:rPr>
        <w:t>发展改革部门要简化程序，做好项目立项工作。涉及新增耕地数量、水田规模、粮食产能指标的，要按照自然资源部门要求，加强补充耕地项目选址论证。项目初步设计经市农业农村局评审批复后及时报省农业农村厅备案。省农业农村厅根据各地申报情况和国家下达的任务，做好任务分解并及时下达到有关县市区。</w:t>
      </w:r>
    </w:p>
    <w:p>
      <w:pPr>
        <w:spacing w:line="600" w:lineRule="atLeast"/>
        <w:ind w:firstLine="643"/>
      </w:pPr>
      <w:r>
        <w:rPr>
          <w:rStyle w:val="20"/>
          <w:rFonts w:hint="eastAsia" w:ascii="楷体_GB2312" w:hAnsi="楷体_GB2312" w:cs="楷体_GB2312"/>
        </w:rPr>
        <w:t>（四）多元筹措资金。</w:t>
      </w:r>
      <w:r>
        <w:rPr>
          <w:rFonts w:hint="eastAsia"/>
          <w:bCs/>
        </w:rPr>
        <w:t>在不新增政府隐性债务的前提下，按照资金跟着项目走的原则，财政补助资金依据项目任务由省财政直接下达到有关县市区。</w:t>
      </w:r>
      <w:r>
        <w:rPr>
          <w:rFonts w:hint="eastAsia"/>
        </w:rPr>
        <w:t>以项目为依托，通过国有企业统筹、地方企业和经营主体自筹、多主体联合筹措等多元方式利用自有资金或以农田改造后带来的产能增加收益、租金溢价收益等市场化经营收益作为还本付息来源或以农田经营权等作抵押向金融机构贷款筹措相应配套资金，不得承诺以财政补助资金作为还款来源，相关协议内容不得包含财政兜底补助以及违规担保条款。</w:t>
      </w:r>
    </w:p>
    <w:p>
      <w:pPr>
        <w:spacing w:line="600" w:lineRule="atLeast"/>
        <w:ind w:firstLine="643"/>
      </w:pPr>
      <w:r>
        <w:rPr>
          <w:rStyle w:val="20"/>
          <w:rFonts w:hint="eastAsia" w:ascii="楷体_GB2312" w:hAnsi="楷体_GB2312" w:cs="楷体_GB2312"/>
          <w:bCs w:val="0"/>
        </w:rPr>
        <w:t>（五）规范项目实施。</w:t>
      </w:r>
      <w:r>
        <w:rPr>
          <w:rFonts w:hint="eastAsia" w:ascii="Times New Roman" w:hAnsi="Times New Roman" w:cs="Times New Roman"/>
        </w:rPr>
        <w:t>项目</w:t>
      </w:r>
      <w:r>
        <w:rPr>
          <w:rFonts w:hint="eastAsia"/>
        </w:rPr>
        <w:t>实施主体应按照《</w:t>
      </w:r>
      <w:r>
        <w:rPr>
          <w:rFonts w:hint="eastAsia"/>
          <w:lang w:eastAsia="zh-CN"/>
        </w:rPr>
        <w:t>中华人民共和国</w:t>
      </w:r>
      <w:r>
        <w:rPr>
          <w:rFonts w:hint="eastAsia"/>
        </w:rPr>
        <w:t>招标投标法》《</w:t>
      </w:r>
      <w:r>
        <w:rPr>
          <w:rFonts w:hint="eastAsia"/>
          <w:lang w:eastAsia="zh-CN"/>
        </w:rPr>
        <w:t>中华人民共和国</w:t>
      </w:r>
      <w:r>
        <w:rPr>
          <w:rFonts w:hint="eastAsia"/>
        </w:rPr>
        <w:t>政府采购</w:t>
      </w:r>
      <w:bookmarkStart w:id="0" w:name="_GoBack"/>
      <w:bookmarkEnd w:id="0"/>
      <w:r>
        <w:rPr>
          <w:rFonts w:hint="eastAsia"/>
        </w:rPr>
        <w:t>法》等有关规定，预算经财政评审后，选择具有相应资质的专业机构承担高标准农田建设项目施工等，</w:t>
      </w:r>
      <w:r>
        <w:rPr>
          <w:rFonts w:hint="eastAsia"/>
          <w:bCs/>
        </w:rPr>
        <w:t>对具备条件的新型经营主体或农村集体经济组织可简化操作程序，按有关规定自主组织实施农田建设项目。对具备条件的项目，积极采取以工代赈方式实施。</w:t>
      </w:r>
      <w:r>
        <w:rPr>
          <w:rFonts w:hint="eastAsia"/>
        </w:rPr>
        <w:t>项目建设必须严格按照批复的建设内容、投资规模和定额标准、相关技术规范和质量标准组织实施，规范建立项目台账，完整反映“先建后补”项目建设和投资完成情况。不得擅自改变或调整项目设计方案、建设内容、建设规模。不得降低建设标准、减少投资。</w:t>
      </w:r>
    </w:p>
    <w:p>
      <w:pPr>
        <w:spacing w:line="600" w:lineRule="atLeast"/>
        <w:ind w:firstLine="643"/>
      </w:pPr>
      <w:r>
        <w:rPr>
          <w:rStyle w:val="20"/>
          <w:rFonts w:hint="eastAsia" w:ascii="楷体_GB2312" w:hAnsi="楷体_GB2312" w:cs="楷体_GB2312"/>
        </w:rPr>
        <w:t>（六）及时验收确认。</w:t>
      </w:r>
      <w:r>
        <w:rPr>
          <w:rFonts w:hint="eastAsia"/>
          <w:bCs/>
        </w:rPr>
        <w:t>项目完工后，农业农村部门组织有关部门和单位</w:t>
      </w:r>
      <w:r>
        <w:rPr>
          <w:rFonts w:hint="eastAsia"/>
        </w:rPr>
        <w:t>及时完成项目竣工验收和落实后期管护责任。加强新增耕地后期保护利用，坚决杜绝新增耕地抛荒和“非农化”。实施主体应另行安排不少于5年的后期管护资金纳入项目预算，按年度及管护落实情况分批拨付给新增耕地种植户，专项用于后期管护，农业农村部门应会同自然资源部门加强监督和检查。所在地自然资源和农业农村部门要按照《自然资源部办公厅关于进一步加强补充耕地项目管理严格新增耕地核实认定的通知》（自然资办发〔2022〕36号）等文件要求加快推进指标确认、报备入库等工作，确保新增耕地在自然资源部耕地占补平衡动态监管系统能够成功报备入库，形成耕地指标。</w:t>
      </w:r>
    </w:p>
    <w:p>
      <w:pPr>
        <w:spacing w:line="600" w:lineRule="atLeast"/>
        <w:ind w:firstLine="643"/>
      </w:pPr>
      <w:r>
        <w:rPr>
          <w:rStyle w:val="20"/>
          <w:rFonts w:hint="eastAsia" w:ascii="楷体_GB2312" w:hAnsi="楷体_GB2312" w:cs="楷体_GB2312"/>
        </w:rPr>
        <w:t>（七）加快收益变现。</w:t>
      </w:r>
      <w:r>
        <w:rPr>
          <w:rFonts w:hint="eastAsia"/>
          <w:bCs/>
        </w:rPr>
        <w:t>新增指标形成并报备入库后，县市区人民政府应及时提出交易申请，由省自然资源厅进行资格审查及成交后的划转。</w:t>
      </w:r>
      <w:r>
        <w:rPr>
          <w:rFonts w:hint="eastAsia"/>
        </w:rPr>
        <w:t>支持高标准农田建设新增耕地指标跨县域、市域协议交易，</w:t>
      </w:r>
      <w:r>
        <w:rPr>
          <w:rFonts w:hint="eastAsia"/>
          <w:color w:val="000000"/>
        </w:rPr>
        <w:t>探索建立新增耕地和产能指标收储机制。交易完成后，各地应及时按协议兑付奖补奖金。</w:t>
      </w:r>
      <w:r>
        <w:rPr>
          <w:rFonts w:hint="eastAsia"/>
        </w:rPr>
        <w:t>各项目收益（不含财政奖补）由实施主体统筹，优先用于支付项目费用和偿还项目贷款。</w:t>
      </w:r>
    </w:p>
    <w:p>
      <w:pPr>
        <w:spacing w:line="600" w:lineRule="atLeast"/>
        <w:ind w:firstLine="643"/>
        <w:rPr>
          <w:rStyle w:val="20"/>
          <w:rFonts w:ascii="仿宋_GB2312" w:hAnsi="仿宋_GB2312" w:cs="仿宋_GB2312"/>
          <w:bCs w:val="0"/>
        </w:rPr>
      </w:pPr>
      <w:r>
        <w:rPr>
          <w:rStyle w:val="20"/>
          <w:rFonts w:hint="eastAsia" w:ascii="楷体_GB2312" w:hAnsi="楷体_GB2312" w:cs="楷体_GB2312"/>
          <w:bCs w:val="0"/>
        </w:rPr>
        <w:t>（八）兑现财政补助。</w:t>
      </w:r>
      <w:r>
        <w:rPr>
          <w:rFonts w:hint="eastAsia"/>
        </w:rPr>
        <w:t>对项目验收合格且亩均投资达到3000元及以上的（以审计或财政部门的结算审定金额为准），按照约定的金额和程序由县市区财政部门及时将财政补助资金拨付给实施主体。项目设计费、监理费及管理费由县农业农村部门按规定从财政补助资金中统筹考虑。</w:t>
      </w:r>
    </w:p>
    <w:p>
      <w:pPr>
        <w:spacing w:line="600" w:lineRule="atLeast"/>
        <w:ind w:firstLine="643"/>
      </w:pPr>
      <w:r>
        <w:rPr>
          <w:rStyle w:val="20"/>
          <w:rFonts w:hint="eastAsia" w:ascii="楷体_GB2312" w:hAnsi="楷体_GB2312" w:cs="楷体_GB2312"/>
          <w:bCs w:val="0"/>
        </w:rPr>
        <w:t>（九）稳定利益链接。</w:t>
      </w:r>
      <w:r>
        <w:rPr>
          <w:rFonts w:hint="eastAsia"/>
        </w:rPr>
        <w:t>建成后的高标准农田原则上用于粮食生产，鼓励结合粮食生产发展农业产业，增加建设效益。鼓励采取“土地流转+经营主体”“农民入股+企业经营+按股分红”“农民+合作社+龙头企业”等利益联结方式，通过流转出租经营权、自主经营或产业植入等途径获取收益，形成稳定利益共同体。</w:t>
      </w:r>
    </w:p>
    <w:p>
      <w:pPr>
        <w:pStyle w:val="3"/>
        <w:keepNext w:val="0"/>
        <w:keepLines w:val="0"/>
        <w:spacing w:line="600" w:lineRule="atLeast"/>
        <w:ind w:firstLine="640"/>
      </w:pPr>
      <w:r>
        <w:rPr>
          <w:rFonts w:hint="eastAsia"/>
        </w:rPr>
        <w:t>四、支持政策</w:t>
      </w:r>
    </w:p>
    <w:p>
      <w:pPr>
        <w:spacing w:line="600" w:lineRule="atLeast"/>
        <w:ind w:firstLine="640"/>
        <w:rPr>
          <w:rStyle w:val="20"/>
          <w:rFonts w:ascii="仿宋_GB2312" w:hAnsi="仿宋_GB2312" w:cs="仿宋_GB2312"/>
          <w:bCs w:val="0"/>
        </w:rPr>
      </w:pPr>
      <w:r>
        <w:rPr>
          <w:rFonts w:hint="eastAsia"/>
        </w:rPr>
        <w:t>总体按照“主体自筹、银行贷款、财政补助”的投贷联动模式进行，实施主体自筹资本金，银行提供中长期贷款，对亩均投资在3000元以上且验收合格的，按以下政策给予支持。</w:t>
      </w:r>
    </w:p>
    <w:p>
      <w:pPr>
        <w:spacing w:line="600" w:lineRule="atLeast"/>
        <w:ind w:firstLine="643"/>
        <w:rPr>
          <w:rFonts w:ascii="仿宋_GB2312"/>
        </w:rPr>
      </w:pPr>
      <w:r>
        <w:rPr>
          <w:rStyle w:val="20"/>
          <w:rFonts w:hint="eastAsia" w:ascii="楷体_GB2312" w:hAnsi="楷体_GB2312" w:cs="楷体_GB2312"/>
          <w:bCs w:val="0"/>
        </w:rPr>
        <w:t>（一）对实施主体予以先建后补。</w:t>
      </w:r>
      <w:r>
        <w:rPr>
          <w:rFonts w:hint="eastAsia"/>
          <w:bCs/>
        </w:rPr>
        <w:t>按照“先建后补”方式，对项目验收合格且达到要求的实施主</w:t>
      </w:r>
      <w:r>
        <w:rPr>
          <w:rFonts w:hint="eastAsia" w:ascii="仿宋_GB2312"/>
        </w:rPr>
        <w:t>体，按年度亩均财政投资标准给予补助。</w:t>
      </w:r>
    </w:p>
    <w:p>
      <w:pPr>
        <w:spacing w:line="600" w:lineRule="atLeast"/>
        <w:ind w:firstLine="643"/>
        <w:rPr>
          <w:spacing w:val="-6"/>
        </w:rPr>
      </w:pPr>
      <w:r>
        <w:rPr>
          <w:rStyle w:val="20"/>
          <w:rFonts w:hint="eastAsia" w:ascii="楷体_GB2312" w:hAnsi="楷体_GB2312" w:cs="楷体_GB2312"/>
          <w:bCs w:val="0"/>
        </w:rPr>
        <w:t>（二）给予金融支持。</w:t>
      </w:r>
      <w:r>
        <w:rPr>
          <w:rFonts w:hint="eastAsia"/>
        </w:rPr>
        <w:t>在确保不新增地方政府隐性债务的前提下，鼓励省内各金融机构支持高标准农田建设，优化信贷评审方式，积极开发适合的金融产品，支持实施主体以市场化经营收益（不包含财政补助资金）作为还本付息来源从金融机构贷款，鼓励</w:t>
      </w:r>
      <w:r>
        <w:rPr>
          <w:rFonts w:hint="eastAsia"/>
          <w:lang w:eastAsia="zh-CN"/>
        </w:rPr>
        <w:t>国家开发银行</w:t>
      </w:r>
      <w:r>
        <w:rPr>
          <w:rFonts w:hint="eastAsia"/>
        </w:rPr>
        <w:t>、</w:t>
      </w:r>
      <w:r>
        <w:rPr>
          <w:rFonts w:hint="eastAsia"/>
          <w:lang w:eastAsia="zh-CN"/>
        </w:rPr>
        <w:t>农业发展银行</w:t>
      </w:r>
      <w:r>
        <w:rPr>
          <w:rFonts w:hint="eastAsia"/>
        </w:rPr>
        <w:t>等银行按市场化原则为项目提供中长期资金和优惠利率支持。</w:t>
      </w:r>
      <w:r>
        <w:rPr>
          <w:rFonts w:hint="eastAsia"/>
          <w:spacing w:val="-6"/>
        </w:rPr>
        <w:t>符合条件的</w:t>
      </w:r>
      <w:r>
        <w:rPr>
          <w:rFonts w:hint="eastAsia"/>
        </w:rPr>
        <w:t>新型农业经营主体，可按照</w:t>
      </w:r>
      <w:r>
        <w:rPr>
          <w:rFonts w:hint="eastAsia"/>
          <w:lang w:eastAsia="zh-CN"/>
        </w:rPr>
        <w:t>相关规定</w:t>
      </w:r>
      <w:r>
        <w:rPr>
          <w:rFonts w:hint="eastAsia"/>
        </w:rPr>
        <w:t>给予优先</w:t>
      </w:r>
      <w:r>
        <w:rPr>
          <w:rFonts w:hint="eastAsia"/>
          <w:spacing w:val="-6"/>
        </w:rPr>
        <w:t>贴息支持。创新应收款质押模式，探索由担保公司提供补充担保。</w:t>
      </w:r>
    </w:p>
    <w:p>
      <w:pPr>
        <w:spacing w:line="600" w:lineRule="atLeast"/>
        <w:ind w:firstLine="643"/>
        <w:rPr>
          <w:spacing w:val="-6"/>
        </w:rPr>
      </w:pPr>
      <w:r>
        <w:rPr>
          <w:rStyle w:val="20"/>
          <w:rFonts w:hint="eastAsia" w:ascii="楷体_GB2312" w:hAnsi="楷体_GB2312" w:cs="楷体_GB2312"/>
          <w:bCs w:val="0"/>
        </w:rPr>
        <w:t>（三）给予高标准农田建设年度指标倾斜。</w:t>
      </w:r>
      <w:r>
        <w:rPr>
          <w:rFonts w:hint="eastAsia"/>
        </w:rPr>
        <w:t>对开展投融资创新的县市区，优先给予高标准农田建设投融资创新项目指标</w:t>
      </w:r>
      <w:r>
        <w:rPr>
          <w:rFonts w:hint="eastAsia"/>
          <w:spacing w:val="-6"/>
        </w:rPr>
        <w:t>。</w:t>
      </w:r>
    </w:p>
    <w:p>
      <w:pPr>
        <w:spacing w:line="600" w:lineRule="atLeast"/>
        <w:ind w:firstLine="643"/>
      </w:pPr>
      <w:r>
        <w:rPr>
          <w:rStyle w:val="20"/>
          <w:rFonts w:hint="eastAsia" w:ascii="楷体_GB2312" w:hAnsi="楷体_GB2312" w:cs="楷体_GB2312"/>
          <w:bCs w:val="0"/>
        </w:rPr>
        <w:t>（四）给予相关农业项目支持。</w:t>
      </w:r>
      <w:r>
        <w:rPr>
          <w:rFonts w:hint="eastAsia"/>
        </w:rPr>
        <w:t>积极发挥农业项目引导作用，统筹可用于农田基础设施建设的省级现代农业特色产业园、合作社、农业特色产业集群等农业项目支持，对实施投融资创新项目且符合申报农业项目条件的实施主体，省财政统筹可用于农田基础设施建设的有关农业项目资金给予倾斜支持，项目类型、支持金额及申报条件将根据每年政策情况另行制定。</w:t>
      </w:r>
    </w:p>
    <w:p>
      <w:pPr>
        <w:spacing w:line="600" w:lineRule="atLeast"/>
        <w:ind w:firstLine="643"/>
        <w:rPr>
          <w:spacing w:val="-6"/>
        </w:rPr>
      </w:pPr>
      <w:r>
        <w:rPr>
          <w:rStyle w:val="20"/>
          <w:rFonts w:hint="eastAsia" w:ascii="楷体_GB2312" w:hAnsi="楷体_GB2312" w:cs="楷体_GB2312"/>
          <w:bCs w:val="0"/>
        </w:rPr>
        <w:t>（五）优化新增耕地指标管理政策。</w:t>
      </w:r>
      <w:r>
        <w:rPr>
          <w:rFonts w:hint="eastAsia"/>
        </w:rPr>
        <w:t>在确保项目区内耕地数量不减少、质量有提升的基础上，支持将项目区内及周边适宜开发整治为耕地的未利用地、建设用地、油茶林以外的园地及其他农用地等开发整治为耕地。以项目为单位，新增耕地率在10%以内的不需作为开发项目单独重新选址立项。加大项目区标注“恢复属性”地类恢复耕地力度，用于补足项目区范围内因灌溉及排水设施、田间道路等工程建设占用的耕地，增加区域范围内耕地，其中“二调”为旱地的，新增水田规模指标可用于占补平衡。在高标准农田建设项目区内实现耕地数量占补平衡后，产生的新增耕地数量指标、水田规模指标和粮食产能指标收益，各地可按照不超过50%的比例奖补给</w:t>
      </w:r>
      <w:r>
        <w:rPr>
          <w:rFonts w:hint="eastAsia"/>
          <w:lang w:eastAsia="zh-CN"/>
        </w:rPr>
        <w:t>实施</w:t>
      </w:r>
      <w:r>
        <w:rPr>
          <w:rFonts w:hint="eastAsia"/>
        </w:rPr>
        <w:t>主体。对因所在县域内存在耕地指标欠账缺口而抵扣的指标，应该奖补给项目实施主体的部分，由当地对实施主体予以适当补助。积极加大省级统筹力度，优先将高标准农田建设新增耕地指标用于国省重大项目建设。</w:t>
      </w:r>
    </w:p>
    <w:p>
      <w:pPr>
        <w:spacing w:line="600" w:lineRule="atLeast"/>
        <w:ind w:firstLine="643"/>
      </w:pPr>
      <w:r>
        <w:rPr>
          <w:rStyle w:val="20"/>
          <w:rFonts w:hint="eastAsia" w:ascii="楷体_GB2312" w:hAnsi="楷体_GB2312" w:cs="楷体_GB2312"/>
          <w:bCs w:val="0"/>
        </w:rPr>
        <w:t>（六）其他支持政策。</w:t>
      </w:r>
      <w:r>
        <w:rPr>
          <w:rFonts w:hint="eastAsia"/>
        </w:rPr>
        <w:t>在确保稳定经营性收入的情况下，允许通过PPP等模式引入社会资本开展高标准农田建设。对有条件的地方，可以发行政府债券支持高标准农田建设。</w:t>
      </w:r>
    </w:p>
    <w:p>
      <w:pPr>
        <w:pStyle w:val="3"/>
        <w:keepNext w:val="0"/>
        <w:keepLines w:val="0"/>
        <w:spacing w:line="600" w:lineRule="atLeast"/>
        <w:ind w:firstLine="640"/>
      </w:pPr>
      <w:r>
        <w:rPr>
          <w:rFonts w:hint="eastAsia"/>
        </w:rPr>
        <w:t>五、保障机制</w:t>
      </w:r>
    </w:p>
    <w:p>
      <w:pPr>
        <w:spacing w:line="600" w:lineRule="atLeast"/>
        <w:ind w:firstLine="643"/>
      </w:pPr>
      <w:r>
        <w:rPr>
          <w:rStyle w:val="20"/>
          <w:rFonts w:hint="eastAsia" w:ascii="楷体_GB2312" w:hAnsi="楷体_GB2312" w:cs="楷体_GB2312"/>
          <w:bCs w:val="0"/>
        </w:rPr>
        <w:t>（一）加强组织领导。</w:t>
      </w:r>
      <w:r>
        <w:rPr>
          <w:rFonts w:hint="eastAsia"/>
        </w:rPr>
        <w:t>各级要强化组织领导，将高标准农田建设投融资创新列入重要议事日程，推动建立</w:t>
      </w:r>
      <w:r>
        <w:rPr>
          <w:rFonts w:hint="eastAsia"/>
          <w:spacing w:val="-6"/>
        </w:rPr>
        <w:t>日常议事</w:t>
      </w:r>
      <w:r>
        <w:rPr>
          <w:rFonts w:hint="eastAsia"/>
        </w:rPr>
        <w:t>协调机制，强化部门间协调配合，完善配套政策，细化操作程序，进一步规范项目组织实施、资金管理、投资收益分配等，</w:t>
      </w:r>
      <w:r>
        <w:rPr>
          <w:rFonts w:hint="eastAsia"/>
          <w:spacing w:val="-6"/>
        </w:rPr>
        <w:t>及时协调解决项目推进过程中的困难和问题</w:t>
      </w:r>
      <w:r>
        <w:rPr>
          <w:rFonts w:hint="eastAsia"/>
        </w:rPr>
        <w:t>。完善配套政策，细化操作程序，形成协同推进的工作合力。</w:t>
      </w:r>
    </w:p>
    <w:p>
      <w:pPr>
        <w:spacing w:line="600" w:lineRule="atLeast"/>
        <w:ind w:firstLine="643"/>
      </w:pPr>
      <w:r>
        <w:rPr>
          <w:rStyle w:val="20"/>
          <w:rFonts w:hint="eastAsia" w:ascii="楷体_GB2312" w:hAnsi="楷体_GB2312" w:cs="楷体_GB2312"/>
          <w:bCs w:val="0"/>
        </w:rPr>
        <w:t>（二）落实部门职责。</w:t>
      </w:r>
      <w:r>
        <w:rPr>
          <w:rFonts w:hint="eastAsia"/>
        </w:rPr>
        <w:t>各级发展改革、财政、自然资源、农业农村等部门要按照职能职责全力配合支持，形成协同推进的工作合力。乡镇、村组及市场主体等要加强土地流转，积极配合协助实施主体开展项目建设。</w:t>
      </w:r>
    </w:p>
    <w:p>
      <w:pPr>
        <w:spacing w:line="600" w:lineRule="atLeast"/>
        <w:ind w:firstLine="643"/>
      </w:pPr>
      <w:r>
        <w:rPr>
          <w:rStyle w:val="20"/>
          <w:rFonts w:hint="eastAsia" w:ascii="楷体_GB2312" w:hAnsi="楷体_GB2312" w:cs="楷体_GB2312"/>
          <w:bCs w:val="0"/>
        </w:rPr>
        <w:t>（三）强化示范引领。</w:t>
      </w:r>
      <w:r>
        <w:rPr>
          <w:rFonts w:hint="eastAsia"/>
        </w:rPr>
        <w:t>鼓励开展符合我省实际的高标准农田建设理论和方法等基础研究、关键技术研发和集成示范推广，探索路径清晰、回报稳定的可持续投资模式。</w:t>
      </w:r>
    </w:p>
    <w:p>
      <w:pPr>
        <w:spacing w:line="600" w:lineRule="atLeast"/>
        <w:ind w:firstLine="643"/>
      </w:pPr>
      <w:r>
        <w:rPr>
          <w:rStyle w:val="20"/>
          <w:rFonts w:hint="eastAsia" w:ascii="楷体_GB2312" w:hAnsi="楷体_GB2312" w:cs="楷体_GB2312"/>
          <w:bCs w:val="0"/>
        </w:rPr>
        <w:t>（四）营造良好氛围。</w:t>
      </w:r>
      <w:r>
        <w:rPr>
          <w:rFonts w:hint="eastAsia"/>
        </w:rPr>
        <w:t>建立激励机制，将高标准农田建设投融资创新工作成效作为激励、考核的重要因素。充分利用电视、广播、报纸、政府网站以及自媒体等平台，加强高标准农田建设投融资创新的政策解读、舆论引导和成效宣传，营造良好氛围。</w:t>
      </w:r>
    </w:p>
    <w:p>
      <w:pPr>
        <w:spacing w:line="600" w:lineRule="atLeast"/>
        <w:ind w:firstLine="640"/>
        <w:rPr>
          <w:spacing w:val="-6"/>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linePitch="579" w:charSpace="0"/>
        </w:sectPr>
      </w:pPr>
      <w:r>
        <w:rPr>
          <w:rFonts w:hint="eastAsia"/>
        </w:rPr>
        <w:t>本实施意见有效期为自印发之日起至2025年</w:t>
      </w:r>
      <w:r>
        <w:rPr>
          <w:rFonts w:hint="eastAsia"/>
          <w:lang w:val="en-US" w:eastAsia="zh-CN"/>
        </w:rPr>
        <w:t>12月31日</w:t>
      </w:r>
      <w:r>
        <w:rPr>
          <w:rFonts w:hint="eastAsia"/>
          <w:spacing w:val="-6"/>
        </w:rPr>
        <w:t>。</w:t>
      </w:r>
    </w:p>
    <w:p>
      <w:pPr>
        <w:ind w:firstLine="640"/>
        <w:rPr>
          <w:rFonts w:hint="eastAsia"/>
          <w:sz w:val="28"/>
          <w:szCs w:val="28"/>
        </w:rPr>
      </w:pPr>
      <w:r>
        <w:br w:type="page"/>
      </w: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hint="eastAsia" w:eastAsia="黑体"/>
          <w:sz w:val="28"/>
          <w:szCs w:val="28"/>
        </w:rPr>
      </w:pPr>
    </w:p>
    <w:p>
      <w:pPr>
        <w:spacing w:line="100" w:lineRule="exact"/>
        <w:ind w:firstLine="0" w:firstLineChars="0"/>
        <w:rPr>
          <w:rFonts w:hint="eastAsia" w:eastAsia="黑体"/>
          <w:sz w:val="28"/>
          <w:szCs w:val="28"/>
        </w:rPr>
      </w:pPr>
    </w:p>
    <w:p>
      <w:pPr>
        <w:spacing w:line="100" w:lineRule="exact"/>
        <w:ind w:firstLine="0" w:firstLineChars="0"/>
        <w:rPr>
          <w:rFonts w:hint="eastAsia"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520" w:lineRule="exact"/>
        <w:ind w:firstLine="0" w:firstLineChars="0"/>
        <w:rPr>
          <w:szCs w:val="32"/>
        </w:rPr>
      </w:pPr>
      <w:r>
        <w:rPr>
          <w:rFonts w:eastAsia="黑体"/>
          <w:sz w:val="28"/>
          <w:szCs w:val="28"/>
        </w:rPr>
        <w:t>信息公开选项：</w:t>
      </w:r>
      <w:r>
        <w:rPr>
          <w:rFonts w:eastAsia="方正小标宋简体"/>
          <w:sz w:val="28"/>
          <w:szCs w:val="28"/>
        </w:rPr>
        <w:t>公开</w:t>
      </w:r>
    </w:p>
    <w:p>
      <w:pPr>
        <w:spacing w:line="520" w:lineRule="exact"/>
        <w:ind w:firstLine="280" w:firstLineChars="100"/>
      </w:pPr>
      <w:r>
        <w:rPr>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27305</wp:posOffset>
                </wp:positionV>
                <wp:extent cx="5615940" cy="0"/>
                <wp:effectExtent l="0" t="0" r="0" b="0"/>
                <wp:wrapNone/>
                <wp:docPr id="1" name="直线 34"/>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0.3pt;margin-top:2.15pt;height:0pt;width:442.2pt;z-index:251659264;mso-width-relative:page;mso-height-relative:page;" filled="f" stroked="t" coordsize="21600,21600" o:gfxdata="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nqFntUA&#10;AAAFAQAADwAAAAAAAAABACAAAAAiAAAAZHJzL2Rvd25yZXYueG1sUEsBAhQAFAAAAAgAh07iQES3&#10;JSHpAQAA3AMAAA4AAAAAAAAAAQAgAAAAJAEAAGRycy9lMm9Eb2MueG1sUEsFBgAAAAAGAAYAWQEA&#10;AH8FAAAAAA==&#10;">
                <v:fill on="f" focussize="0,0"/>
                <v:stroke weight="0.35pt"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386715</wp:posOffset>
                </wp:positionV>
                <wp:extent cx="5615940" cy="0"/>
                <wp:effectExtent l="0" t="0" r="0" b="0"/>
                <wp:wrapNone/>
                <wp:docPr id="2" name="直线 35"/>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0pt;margin-top:30.45pt;height:0pt;width:442.2pt;z-index:251660288;mso-width-relative:page;mso-height-relative:page;" filled="f" stroked="t" coordsize="21600,21600" o:gfxdata="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GZvvW&#10;AAAABgEAAA8AAAAAAAAAAQAgAAAAIgAAAGRycy9kb3ducmV2LnhtbFBLAQIUABQAAAAIAIdO4kBy&#10;DUG16QEAANwDAAAOAAAAAAAAAAEAIAAAACUBAABkcnMvZTJvRG9jLnhtbFBLBQYAAAAABgAGAFkB&#10;AACABQAAAAA=&#10;">
                <v:fill on="f" focussize="0,0"/>
                <v:stroke weight="0.35pt" color="#000000" joinstyle="round"/>
                <v:imagedata o:title=""/>
                <o:lock v:ext="edit" aspectratio="f"/>
              </v:line>
            </w:pict>
          </mc:Fallback>
        </mc:AlternateContent>
      </w:r>
      <w:r>
        <w:rPr>
          <w:color w:val="000000"/>
          <w:sz w:val="28"/>
          <w:szCs w:val="28"/>
        </w:rPr>
        <w:t>湖南省农业农村厅办公室                 202</w:t>
      </w:r>
      <w:r>
        <w:rPr>
          <w:rFonts w:hint="eastAsia"/>
          <w:color w:val="000000"/>
          <w:sz w:val="28"/>
          <w:szCs w:val="28"/>
        </w:rPr>
        <w:t>2</w:t>
      </w:r>
      <w:r>
        <w:rPr>
          <w:color w:val="000000"/>
          <w:sz w:val="28"/>
          <w:szCs w:val="28"/>
        </w:rPr>
        <w:t>年</w:t>
      </w:r>
      <w:r>
        <w:rPr>
          <w:rFonts w:hint="eastAsia"/>
          <w:color w:val="000000"/>
          <w:sz w:val="28"/>
          <w:szCs w:val="28"/>
        </w:rPr>
        <w:t>11</w:t>
      </w:r>
      <w:r>
        <w:rPr>
          <w:color w:val="000000"/>
          <w:sz w:val="28"/>
          <w:szCs w:val="28"/>
        </w:rPr>
        <w:t>月</w:t>
      </w:r>
      <w:r>
        <w:rPr>
          <w:rFonts w:hint="eastAsia"/>
          <w:color w:val="000000"/>
          <w:sz w:val="28"/>
          <w:szCs w:val="28"/>
          <w:lang w:val="en-US" w:eastAsia="zh-CN"/>
        </w:rPr>
        <w:t>23</w:t>
      </w:r>
      <w:r>
        <w:rPr>
          <w:color w:val="000000"/>
          <w:sz w:val="28"/>
          <w:szCs w:val="28"/>
        </w:rPr>
        <w:t>日印发</w:t>
      </w:r>
    </w:p>
    <w:sectPr>
      <w:footerReference r:id="rId11" w:type="default"/>
      <w:footerReference r:id="rId12" w:type="even"/>
      <w:pgSz w:w="11906" w:h="16838"/>
      <w:pgMar w:top="2098" w:right="1474" w:bottom="1985" w:left="1588" w:header="851" w:footer="1588" w:gutter="0"/>
      <w:cols w:space="720" w:num="1"/>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A7F4E2-9549-4763-902B-44D19742D2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4BB38736-4F76-4560-B1DC-0619EAFA6C15}"/>
  </w:font>
  <w:font w:name="方正小标宋简体">
    <w:panose1 w:val="02000000000000000000"/>
    <w:charset w:val="86"/>
    <w:family w:val="script"/>
    <w:pitch w:val="default"/>
    <w:sig w:usb0="00000001" w:usb1="08000000" w:usb2="00000000" w:usb3="00000000" w:csb0="00040000" w:csb1="00000000"/>
    <w:embedRegular r:id="rId3" w:fontKey="{7A5AB0DC-A2B5-4D69-8600-B97F7290D17F}"/>
  </w:font>
  <w:font w:name="楷体_GB2312">
    <w:altName w:val="楷体"/>
    <w:panose1 w:val="02010609030101010101"/>
    <w:charset w:val="86"/>
    <w:family w:val="modern"/>
    <w:pitch w:val="default"/>
    <w:sig w:usb0="00000000" w:usb1="00000000" w:usb2="00000000" w:usb3="00000000" w:csb0="00040000" w:csb1="00000000"/>
    <w:embedRegular r:id="rId4" w:fontKey="{EDDEECD8-4459-48B3-8172-145301BA14F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evenAndOddHeaders w:val="1"/>
  <w:drawingGridHorizontalSpacing w:val="160"/>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6C32"/>
    <w:rsid w:val="00007908"/>
    <w:rsid w:val="00007930"/>
    <w:rsid w:val="00015384"/>
    <w:rsid w:val="00026A2A"/>
    <w:rsid w:val="000357C4"/>
    <w:rsid w:val="00036F5F"/>
    <w:rsid w:val="00057849"/>
    <w:rsid w:val="0009001B"/>
    <w:rsid w:val="000A4161"/>
    <w:rsid w:val="000C0B9F"/>
    <w:rsid w:val="000D3ADA"/>
    <w:rsid w:val="000D7E84"/>
    <w:rsid w:val="000E2A6E"/>
    <w:rsid w:val="000F65AD"/>
    <w:rsid w:val="000F75DA"/>
    <w:rsid w:val="00100547"/>
    <w:rsid w:val="00110E2F"/>
    <w:rsid w:val="0012569B"/>
    <w:rsid w:val="00135B52"/>
    <w:rsid w:val="00136317"/>
    <w:rsid w:val="00137536"/>
    <w:rsid w:val="001377BA"/>
    <w:rsid w:val="00141407"/>
    <w:rsid w:val="001434CB"/>
    <w:rsid w:val="00152CBC"/>
    <w:rsid w:val="00154AFE"/>
    <w:rsid w:val="0015554F"/>
    <w:rsid w:val="001631E3"/>
    <w:rsid w:val="001B01BD"/>
    <w:rsid w:val="001B5254"/>
    <w:rsid w:val="001D487E"/>
    <w:rsid w:val="001F128B"/>
    <w:rsid w:val="001F7324"/>
    <w:rsid w:val="001F7E44"/>
    <w:rsid w:val="0020637D"/>
    <w:rsid w:val="0022371B"/>
    <w:rsid w:val="0023788E"/>
    <w:rsid w:val="00237E8F"/>
    <w:rsid w:val="00250240"/>
    <w:rsid w:val="00251ED1"/>
    <w:rsid w:val="00273349"/>
    <w:rsid w:val="002743E6"/>
    <w:rsid w:val="0028258E"/>
    <w:rsid w:val="002849F0"/>
    <w:rsid w:val="002873F4"/>
    <w:rsid w:val="002A0915"/>
    <w:rsid w:val="002C2BE9"/>
    <w:rsid w:val="002D5F5D"/>
    <w:rsid w:val="002E2656"/>
    <w:rsid w:val="003326BD"/>
    <w:rsid w:val="003356D6"/>
    <w:rsid w:val="0036402B"/>
    <w:rsid w:val="00366BAD"/>
    <w:rsid w:val="00380160"/>
    <w:rsid w:val="00383C45"/>
    <w:rsid w:val="00390B5C"/>
    <w:rsid w:val="003B61D2"/>
    <w:rsid w:val="003B6F33"/>
    <w:rsid w:val="003C2A71"/>
    <w:rsid w:val="003D1A2E"/>
    <w:rsid w:val="003E6E7A"/>
    <w:rsid w:val="003F6AF4"/>
    <w:rsid w:val="00416403"/>
    <w:rsid w:val="0042011E"/>
    <w:rsid w:val="00433F75"/>
    <w:rsid w:val="00453CC2"/>
    <w:rsid w:val="00457133"/>
    <w:rsid w:val="0048169E"/>
    <w:rsid w:val="0048606E"/>
    <w:rsid w:val="00490C4F"/>
    <w:rsid w:val="004A4F35"/>
    <w:rsid w:val="004B4FE9"/>
    <w:rsid w:val="004C2184"/>
    <w:rsid w:val="004D0131"/>
    <w:rsid w:val="004E6FE0"/>
    <w:rsid w:val="004F36C2"/>
    <w:rsid w:val="0050070A"/>
    <w:rsid w:val="005023BE"/>
    <w:rsid w:val="005110C5"/>
    <w:rsid w:val="00527AFA"/>
    <w:rsid w:val="005406AF"/>
    <w:rsid w:val="00543109"/>
    <w:rsid w:val="005513D6"/>
    <w:rsid w:val="00574D30"/>
    <w:rsid w:val="005B16E7"/>
    <w:rsid w:val="005B249C"/>
    <w:rsid w:val="005B2D51"/>
    <w:rsid w:val="005C00DA"/>
    <w:rsid w:val="005D697B"/>
    <w:rsid w:val="005E320E"/>
    <w:rsid w:val="005F3FF1"/>
    <w:rsid w:val="005F5909"/>
    <w:rsid w:val="00620A06"/>
    <w:rsid w:val="006225F3"/>
    <w:rsid w:val="00651BE5"/>
    <w:rsid w:val="006874D6"/>
    <w:rsid w:val="0069343F"/>
    <w:rsid w:val="00696FFA"/>
    <w:rsid w:val="006A58D5"/>
    <w:rsid w:val="006A5D35"/>
    <w:rsid w:val="006B2A1B"/>
    <w:rsid w:val="006C1E2E"/>
    <w:rsid w:val="006D180D"/>
    <w:rsid w:val="006D3289"/>
    <w:rsid w:val="006E2662"/>
    <w:rsid w:val="006E5060"/>
    <w:rsid w:val="006E5C7E"/>
    <w:rsid w:val="006F63B1"/>
    <w:rsid w:val="00702354"/>
    <w:rsid w:val="00706782"/>
    <w:rsid w:val="00711091"/>
    <w:rsid w:val="00721622"/>
    <w:rsid w:val="00725418"/>
    <w:rsid w:val="007328CB"/>
    <w:rsid w:val="0073790C"/>
    <w:rsid w:val="0075390B"/>
    <w:rsid w:val="00753FFD"/>
    <w:rsid w:val="007568E8"/>
    <w:rsid w:val="007871E1"/>
    <w:rsid w:val="007934A6"/>
    <w:rsid w:val="007A4D76"/>
    <w:rsid w:val="007A5355"/>
    <w:rsid w:val="007B1497"/>
    <w:rsid w:val="007C7113"/>
    <w:rsid w:val="007D02AB"/>
    <w:rsid w:val="007D3A6D"/>
    <w:rsid w:val="007E39B1"/>
    <w:rsid w:val="0080406F"/>
    <w:rsid w:val="00812925"/>
    <w:rsid w:val="00820BE2"/>
    <w:rsid w:val="008213BF"/>
    <w:rsid w:val="00821DD4"/>
    <w:rsid w:val="00824B52"/>
    <w:rsid w:val="00835EA0"/>
    <w:rsid w:val="008413A8"/>
    <w:rsid w:val="008623AE"/>
    <w:rsid w:val="0087469D"/>
    <w:rsid w:val="008756A5"/>
    <w:rsid w:val="0088162C"/>
    <w:rsid w:val="00897B46"/>
    <w:rsid w:val="008A18F4"/>
    <w:rsid w:val="008B2EAC"/>
    <w:rsid w:val="008B6A32"/>
    <w:rsid w:val="008C17DA"/>
    <w:rsid w:val="008C619D"/>
    <w:rsid w:val="008D0FC0"/>
    <w:rsid w:val="008D32D2"/>
    <w:rsid w:val="008D418C"/>
    <w:rsid w:val="008E7182"/>
    <w:rsid w:val="008F579D"/>
    <w:rsid w:val="00901CF8"/>
    <w:rsid w:val="00920DD7"/>
    <w:rsid w:val="00977FED"/>
    <w:rsid w:val="009935AF"/>
    <w:rsid w:val="009935C7"/>
    <w:rsid w:val="009A6FFC"/>
    <w:rsid w:val="009E07E8"/>
    <w:rsid w:val="009F168E"/>
    <w:rsid w:val="009F1928"/>
    <w:rsid w:val="00A01C13"/>
    <w:rsid w:val="00A23531"/>
    <w:rsid w:val="00A31182"/>
    <w:rsid w:val="00A6012A"/>
    <w:rsid w:val="00A67F3B"/>
    <w:rsid w:val="00A70CA8"/>
    <w:rsid w:val="00A826EB"/>
    <w:rsid w:val="00A92460"/>
    <w:rsid w:val="00AC54F9"/>
    <w:rsid w:val="00AD3EE8"/>
    <w:rsid w:val="00AD4BBF"/>
    <w:rsid w:val="00AE253A"/>
    <w:rsid w:val="00B02E3A"/>
    <w:rsid w:val="00B0529F"/>
    <w:rsid w:val="00B10150"/>
    <w:rsid w:val="00B11137"/>
    <w:rsid w:val="00B139AA"/>
    <w:rsid w:val="00B142D4"/>
    <w:rsid w:val="00B23AFB"/>
    <w:rsid w:val="00B23B84"/>
    <w:rsid w:val="00B32D4B"/>
    <w:rsid w:val="00B37628"/>
    <w:rsid w:val="00B45824"/>
    <w:rsid w:val="00B45DEE"/>
    <w:rsid w:val="00B51627"/>
    <w:rsid w:val="00B54BBB"/>
    <w:rsid w:val="00B700E5"/>
    <w:rsid w:val="00B76D1A"/>
    <w:rsid w:val="00B8517D"/>
    <w:rsid w:val="00BA0EB5"/>
    <w:rsid w:val="00BA1694"/>
    <w:rsid w:val="00BA7C79"/>
    <w:rsid w:val="00BB1ABF"/>
    <w:rsid w:val="00BB3DE4"/>
    <w:rsid w:val="00BB65B3"/>
    <w:rsid w:val="00BD6F8F"/>
    <w:rsid w:val="00BD741D"/>
    <w:rsid w:val="00BE376F"/>
    <w:rsid w:val="00BF022D"/>
    <w:rsid w:val="00C05AAA"/>
    <w:rsid w:val="00C07722"/>
    <w:rsid w:val="00C2394D"/>
    <w:rsid w:val="00C66523"/>
    <w:rsid w:val="00C73CAE"/>
    <w:rsid w:val="00C86A8F"/>
    <w:rsid w:val="00C975DF"/>
    <w:rsid w:val="00CA54C3"/>
    <w:rsid w:val="00CC2C40"/>
    <w:rsid w:val="00CC6D71"/>
    <w:rsid w:val="00CD10A8"/>
    <w:rsid w:val="00CD47FD"/>
    <w:rsid w:val="00D20223"/>
    <w:rsid w:val="00D258C0"/>
    <w:rsid w:val="00D46088"/>
    <w:rsid w:val="00D92ECD"/>
    <w:rsid w:val="00DA0A3D"/>
    <w:rsid w:val="00DB1D7E"/>
    <w:rsid w:val="00DB20E7"/>
    <w:rsid w:val="00DB4ABF"/>
    <w:rsid w:val="00DC36B6"/>
    <w:rsid w:val="00DC37CA"/>
    <w:rsid w:val="00DE0051"/>
    <w:rsid w:val="00DE4A7A"/>
    <w:rsid w:val="00DF0156"/>
    <w:rsid w:val="00DF1B80"/>
    <w:rsid w:val="00E00497"/>
    <w:rsid w:val="00E1324C"/>
    <w:rsid w:val="00E3159F"/>
    <w:rsid w:val="00E35410"/>
    <w:rsid w:val="00E373AB"/>
    <w:rsid w:val="00E67FF3"/>
    <w:rsid w:val="00E80EB8"/>
    <w:rsid w:val="00E922AC"/>
    <w:rsid w:val="00E95FB7"/>
    <w:rsid w:val="00EB13FB"/>
    <w:rsid w:val="00EB73DF"/>
    <w:rsid w:val="00EC7DD2"/>
    <w:rsid w:val="00EF3047"/>
    <w:rsid w:val="00EF36D4"/>
    <w:rsid w:val="00F0471F"/>
    <w:rsid w:val="00F143F0"/>
    <w:rsid w:val="00F22AE7"/>
    <w:rsid w:val="00F450ED"/>
    <w:rsid w:val="00F509BB"/>
    <w:rsid w:val="00F567D6"/>
    <w:rsid w:val="00F75FD2"/>
    <w:rsid w:val="00F8471D"/>
    <w:rsid w:val="00F93740"/>
    <w:rsid w:val="00F97870"/>
    <w:rsid w:val="00FB550D"/>
    <w:rsid w:val="00FC4DD3"/>
    <w:rsid w:val="00FE430D"/>
    <w:rsid w:val="00FE71C3"/>
    <w:rsid w:val="00FF1E10"/>
    <w:rsid w:val="00FF5905"/>
    <w:rsid w:val="11FD7152"/>
    <w:rsid w:val="1EEDF724"/>
    <w:rsid w:val="2E6F2B5A"/>
    <w:rsid w:val="4BFFAFA8"/>
    <w:rsid w:val="4E5FD604"/>
    <w:rsid w:val="6DD10EF6"/>
    <w:rsid w:val="A17DDF22"/>
    <w:rsid w:val="E2EF72F7"/>
    <w:rsid w:val="EFBF017D"/>
    <w:rsid w:val="F3F4C81D"/>
    <w:rsid w:val="FFBD7BD9"/>
    <w:rsid w:val="FFFF59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黑体"/>
      <w:bCs/>
      <w:szCs w:val="32"/>
    </w:rPr>
  </w:style>
  <w:style w:type="paragraph" w:styleId="4">
    <w:name w:val="heading 3"/>
    <w:basedOn w:val="1"/>
    <w:next w:val="1"/>
    <w:link w:val="20"/>
    <w:qFormat/>
    <w:uiPriority w:val="0"/>
    <w:pPr>
      <w:keepNext/>
      <w:keepLines/>
      <w:outlineLvl w:val="2"/>
    </w:pPr>
    <w:rPr>
      <w:rFonts w:eastAsia="楷体_GB2312"/>
      <w:b/>
      <w:bCs/>
      <w:szCs w:val="32"/>
    </w:rPr>
  </w:style>
  <w:style w:type="paragraph" w:styleId="5">
    <w:name w:val="heading 4"/>
    <w:basedOn w:val="1"/>
    <w:next w:val="1"/>
    <w:link w:val="21"/>
    <w:qFormat/>
    <w:uiPriority w:val="0"/>
    <w:pPr>
      <w:outlineLvl w:val="3"/>
    </w:pPr>
    <w:rPr>
      <w:bCs/>
      <w:szCs w:val="28"/>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6">
    <w:name w:val="Body Text 3"/>
    <w:basedOn w:val="1"/>
    <w:uiPriority w:val="0"/>
    <w:pPr>
      <w:spacing w:after="120"/>
    </w:pPr>
    <w:rPr>
      <w:sz w:val="16"/>
      <w:szCs w:val="16"/>
    </w:rPr>
  </w:style>
  <w:style w:type="paragraph" w:styleId="7">
    <w:name w:val="Date"/>
    <w:basedOn w:val="1"/>
    <w:next w:val="1"/>
    <w:uiPriority w:val="0"/>
    <w:pPr>
      <w:ind w:left="100" w:leftChars="2500"/>
    </w:pPr>
  </w:style>
  <w:style w:type="paragraph" w:styleId="8">
    <w:name w:val="Body Text Indent 2"/>
    <w:basedOn w:val="1"/>
    <w:uiPriority w:val="0"/>
    <w:pPr>
      <w:adjustRightInd/>
      <w:snapToGrid/>
      <w:spacing w:line="240" w:lineRule="auto"/>
      <w:ind w:firstLine="420"/>
    </w:pPr>
    <w:rPr>
      <w:rFonts w:ascii="仿宋_GB2312"/>
      <w:color w:val="FF6600"/>
      <w:sz w:val="21"/>
    </w:rPr>
  </w:style>
  <w:style w:type="paragraph" w:styleId="9">
    <w:name w:val="Balloon Text"/>
    <w:basedOn w:val="1"/>
    <w:link w:val="22"/>
    <w:semiHidden/>
    <w:uiPriority w:val="0"/>
    <w:pPr>
      <w:adjustRightInd/>
      <w:snapToGrid/>
      <w:spacing w:line="240" w:lineRule="auto"/>
      <w:ind w:firstLine="0" w:firstLineChars="0"/>
    </w:pPr>
    <w:rPr>
      <w:rFonts w:eastAsia="宋体"/>
      <w:sz w:val="18"/>
      <w:szCs w:val="18"/>
    </w:rPr>
  </w:style>
  <w:style w:type="paragraph" w:styleId="10">
    <w:name w:val="footer"/>
    <w:basedOn w:val="1"/>
    <w:link w:val="23"/>
    <w:uiPriority w:val="99"/>
    <w:pPr>
      <w:tabs>
        <w:tab w:val="center" w:pos="4153"/>
        <w:tab w:val="right" w:pos="8306"/>
      </w:tabs>
      <w:snapToGrid w:val="0"/>
      <w:spacing w:line="240" w:lineRule="atLeast"/>
      <w:jc w:val="left"/>
    </w:pPr>
    <w:rPr>
      <w:sz w:val="18"/>
      <w:szCs w:val="18"/>
    </w:rPr>
  </w:style>
  <w:style w:type="paragraph" w:styleId="11">
    <w:name w:val="header"/>
    <w:basedOn w:val="1"/>
    <w:link w:val="24"/>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styleId="18">
    <w:name w:val="Hyperlink"/>
    <w:basedOn w:val="16"/>
    <w:unhideWhenUsed/>
    <w:qFormat/>
    <w:uiPriority w:val="99"/>
    <w:rPr>
      <w:color w:val="0000FF"/>
      <w:u w:val="single"/>
    </w:rPr>
  </w:style>
  <w:style w:type="character" w:customStyle="1" w:styleId="19">
    <w:name w:val="标题 2 Char"/>
    <w:basedOn w:val="16"/>
    <w:link w:val="3"/>
    <w:qFormat/>
    <w:uiPriority w:val="0"/>
    <w:rPr>
      <w:rFonts w:eastAsia="黑体"/>
      <w:bCs/>
      <w:kern w:val="2"/>
      <w:sz w:val="32"/>
      <w:szCs w:val="32"/>
      <w:lang w:val="en-US" w:eastAsia="zh-CN" w:bidi="ar-SA"/>
    </w:rPr>
  </w:style>
  <w:style w:type="character" w:customStyle="1" w:styleId="20">
    <w:name w:val="标题 3 Char"/>
    <w:basedOn w:val="16"/>
    <w:link w:val="4"/>
    <w:qFormat/>
    <w:uiPriority w:val="0"/>
    <w:rPr>
      <w:rFonts w:eastAsia="楷体_GB2312"/>
      <w:b/>
      <w:bCs/>
      <w:kern w:val="2"/>
      <w:sz w:val="32"/>
      <w:szCs w:val="32"/>
      <w:lang w:val="en-US" w:eastAsia="zh-CN" w:bidi="ar-SA"/>
    </w:rPr>
  </w:style>
  <w:style w:type="character" w:customStyle="1" w:styleId="21">
    <w:name w:val="标题 4 Char"/>
    <w:basedOn w:val="16"/>
    <w:link w:val="5"/>
    <w:qFormat/>
    <w:uiPriority w:val="0"/>
    <w:rPr>
      <w:rFonts w:eastAsia="仿宋_GB2312"/>
      <w:bCs/>
      <w:kern w:val="2"/>
      <w:sz w:val="32"/>
      <w:szCs w:val="28"/>
      <w:lang w:val="en-US" w:eastAsia="zh-CN" w:bidi="ar-SA"/>
    </w:rPr>
  </w:style>
  <w:style w:type="character" w:customStyle="1" w:styleId="22">
    <w:name w:val="批注框文本 Char"/>
    <w:basedOn w:val="16"/>
    <w:link w:val="9"/>
    <w:semiHidden/>
    <w:qFormat/>
    <w:uiPriority w:val="0"/>
    <w:rPr>
      <w:rFonts w:eastAsia="宋体"/>
      <w:kern w:val="2"/>
      <w:sz w:val="18"/>
      <w:szCs w:val="18"/>
      <w:lang w:val="en-US" w:eastAsia="zh-CN" w:bidi="ar-SA"/>
    </w:rPr>
  </w:style>
  <w:style w:type="character" w:customStyle="1" w:styleId="23">
    <w:name w:val="页脚 Char"/>
    <w:basedOn w:val="16"/>
    <w:link w:val="10"/>
    <w:qFormat/>
    <w:uiPriority w:val="99"/>
    <w:rPr>
      <w:rFonts w:eastAsia="仿宋_GB2312"/>
      <w:kern w:val="2"/>
      <w:sz w:val="18"/>
      <w:szCs w:val="18"/>
      <w:lang w:val="en-US" w:eastAsia="zh-CN" w:bidi="ar-SA"/>
    </w:rPr>
  </w:style>
  <w:style w:type="character" w:customStyle="1" w:styleId="24">
    <w:name w:val="页眉 Char"/>
    <w:basedOn w:val="16"/>
    <w:link w:val="11"/>
    <w:semiHidden/>
    <w:qFormat/>
    <w:uiPriority w:val="0"/>
    <w:rPr>
      <w:rFonts w:eastAsia="仿宋_GB2312"/>
      <w:kern w:val="2"/>
      <w:sz w:val="18"/>
      <w:szCs w:val="18"/>
      <w:lang w:val="en-US" w:eastAsia="zh-CN" w:bidi="ar-SA"/>
    </w:rPr>
  </w:style>
  <w:style w:type="paragraph" w:customStyle="1" w:styleId="25">
    <w:name w:val="表头"/>
    <w:basedOn w:val="1"/>
    <w:qFormat/>
    <w:uiPriority w:val="0"/>
    <w:pPr>
      <w:spacing w:before="80" w:after="80" w:line="280" w:lineRule="atLeast"/>
      <w:ind w:firstLine="0" w:firstLineChars="0"/>
      <w:jc w:val="center"/>
    </w:pPr>
    <w:rPr>
      <w:rFonts w:eastAsia="黑体" w:cs="宋体"/>
      <w:sz w:val="24"/>
    </w:rPr>
  </w:style>
  <w:style w:type="paragraph" w:customStyle="1" w:styleId="26">
    <w:name w:val="表内文字"/>
    <w:basedOn w:val="1"/>
    <w:qFormat/>
    <w:uiPriority w:val="0"/>
    <w:pPr>
      <w:spacing w:before="60" w:after="60" w:line="280" w:lineRule="atLeast"/>
      <w:ind w:firstLine="0" w:firstLineChars="0"/>
    </w:pPr>
    <w:rPr>
      <w:sz w:val="24"/>
    </w:rPr>
  </w:style>
  <w:style w:type="paragraph" w:customStyle="1" w:styleId="27">
    <w:name w:val="p0"/>
    <w:basedOn w:val="1"/>
    <w:qFormat/>
    <w:uiPriority w:val="0"/>
    <w:pPr>
      <w:widowControl/>
      <w:adjustRightInd/>
      <w:snapToGrid/>
      <w:spacing w:line="240" w:lineRule="auto"/>
      <w:ind w:firstLine="0" w:firstLineChars="0"/>
    </w:pPr>
    <w:rPr>
      <w:rFonts w:eastAsia="宋体"/>
      <w:kern w:val="0"/>
      <w:sz w:val="21"/>
      <w:szCs w:val="21"/>
    </w:rPr>
  </w:style>
  <w:style w:type="paragraph" w:customStyle="1" w:styleId="28">
    <w:name w:val="List Paragraph"/>
    <w:basedOn w:val="1"/>
    <w:qFormat/>
    <w:uiPriority w:val="0"/>
    <w:pPr>
      <w:adjustRightInd/>
      <w:snapToGrid/>
      <w:spacing w:line="240" w:lineRule="auto"/>
      <w:ind w:firstLine="420"/>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4027</Words>
  <Characters>4120</Characters>
  <Lines>30</Lines>
  <Paragraphs>8</Paragraphs>
  <TotalTime>1</TotalTime>
  <ScaleCrop>false</ScaleCrop>
  <LinksUpToDate>false</LinksUpToDate>
  <CharactersWithSpaces>4166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2018-01-31T00:22:00Z</dcterms:created>
  <dc:creator>walkinnet</dc:creator>
  <cp:lastModifiedBy>Rocy</cp:lastModifiedBy>
  <cp:lastPrinted>2019-07-30T18:13:00Z</cp:lastPrinted>
  <dcterms:modified xsi:type="dcterms:W3CDTF">2023-12-20T03:35:27Z</dcterms:modified>
  <dc:title>湘农业函〔2014〕  号</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D95957CC44CF4DD095258FB4D03F20B0</vt:lpwstr>
  </property>
</Properties>
</file>