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rPr>
      </w:pPr>
      <w:bookmarkStart w:id="0" w:name="OLE_LINK1"/>
      <w:r>
        <w:rPr>
          <w:rFonts w:hint="eastAsia"/>
        </w:rPr>
        <w:t>HNPR-2023-17008</w:t>
      </w:r>
    </w:p>
    <w:p>
      <w:pPr>
        <w:spacing w:after="120" w:line="760" w:lineRule="exact"/>
        <w:rPr>
          <w:rFonts w:hint="eastAsia"/>
          <w:color w:val="000000"/>
        </w:rPr>
      </w:pPr>
    </w:p>
    <w:p>
      <w:pPr>
        <w:spacing w:after="120" w:line="760" w:lineRule="exact"/>
        <w:ind w:left="0" w:leftChars="0" w:firstLine="0" w:firstLineChars="0"/>
        <w:jc w:val="center"/>
        <w:rPr>
          <w:rFonts w:hint="eastAsia"/>
          <w:color w:val="000000"/>
        </w:rPr>
      </w:pPr>
      <w:r>
        <w:rPr>
          <w:rFonts w:hint="eastAsia"/>
          <w:color w:val="000000"/>
        </w:rPr>
        <w:t>湘农发〔2023〕32号</w:t>
      </w:r>
    </w:p>
    <w:p>
      <w:pPr>
        <w:spacing w:after="120" w:line="760" w:lineRule="exact"/>
        <w:ind w:left="0" w:leftChars="0" w:firstLine="0" w:firstLineChars="0"/>
        <w:jc w:val="center"/>
        <w:rPr>
          <w:rFonts w:hint="eastAsia"/>
          <w:color w:val="000000"/>
        </w:rPr>
      </w:pPr>
    </w:p>
    <w:p>
      <w:pPr>
        <w:pStyle w:val="2"/>
        <w:rPr>
          <w:color w:val="000000"/>
          <w:spacing w:val="20"/>
        </w:rPr>
      </w:pPr>
      <w:r>
        <w:rPr>
          <w:color w:val="000000"/>
          <w:spacing w:val="20"/>
        </w:rPr>
        <w:t>湖南省农业农村厅</w:t>
      </w:r>
    </w:p>
    <w:bookmarkEnd w:id="0"/>
    <w:p>
      <w:pPr>
        <w:pStyle w:val="2"/>
      </w:pPr>
      <w:r>
        <w:t>关于印发《湖南省水产绿色健康养殖技术推广</w:t>
      </w:r>
    </w:p>
    <w:p>
      <w:pPr>
        <w:pStyle w:val="2"/>
      </w:pPr>
      <w:r>
        <w:t>“五大行动”实施方案》的通知</w:t>
      </w:r>
    </w:p>
    <w:p>
      <w:pPr>
        <w:ind w:firstLine="640"/>
      </w:pPr>
      <w:r>
        <w:t xml:space="preserve"> </w:t>
      </w:r>
    </w:p>
    <w:p>
      <w:pPr>
        <w:ind w:firstLine="0" w:firstLineChars="0"/>
      </w:pPr>
      <w:r>
        <w:t>各市州农业农村局（畜牧水产事务中心</w:t>
      </w:r>
      <w:r>
        <w:rPr>
          <w:rFonts w:hint="eastAsia"/>
        </w:rPr>
        <w:t>）</w:t>
      </w:r>
      <w:r>
        <w:t>：</w:t>
      </w:r>
    </w:p>
    <w:p>
      <w:pPr>
        <w:ind w:firstLine="640"/>
      </w:pPr>
      <w:r>
        <w:t>现将《湖南省水产绿色健康养殖技术推广“五大行动”实施方案》印发给你们，请认真贯彻执行。</w:t>
      </w:r>
    </w:p>
    <w:p>
      <w:pPr>
        <w:ind w:firstLine="640"/>
        <w:rPr>
          <w:rFonts w:eastAsia="华文仿宋"/>
          <w:color w:val="000000"/>
          <w:szCs w:val="32"/>
        </w:rPr>
      </w:pPr>
      <w:r>
        <w:rPr>
          <w:rFonts w:eastAsia="华文仿宋"/>
          <w:color w:val="000000"/>
          <w:szCs w:val="32"/>
        </w:rPr>
        <w:t xml:space="preserve"> </w:t>
      </w:r>
    </w:p>
    <w:p>
      <w:pPr>
        <w:ind w:firstLine="640"/>
        <w:rPr>
          <w:rFonts w:eastAsia="华文仿宋"/>
          <w:color w:val="000000"/>
          <w:szCs w:val="32"/>
        </w:rPr>
      </w:pPr>
    </w:p>
    <w:p>
      <w:pPr>
        <w:ind w:right="640" w:rightChars="200" w:firstLine="0" w:firstLineChars="0"/>
        <w:rPr>
          <w:spacing w:val="20"/>
          <w:szCs w:val="32"/>
        </w:rPr>
      </w:pPr>
      <w:r>
        <w:rPr>
          <w:spacing w:val="20"/>
        </w:rPr>
        <w:t xml:space="preserve">                        </w:t>
      </w:r>
      <w:r>
        <w:rPr>
          <w:spacing w:val="20"/>
          <w:szCs w:val="32"/>
        </w:rPr>
        <w:t xml:space="preserve">  湖南省农业农村厅</w:t>
      </w:r>
    </w:p>
    <w:p>
      <w:pPr>
        <w:ind w:firstLine="560" w:firstLineChars="175"/>
      </w:pPr>
      <w:r>
        <w:t xml:space="preserve">                              2023年</w:t>
      </w:r>
      <w:r>
        <w:rPr>
          <w:rFonts w:hint="eastAsia"/>
        </w:rPr>
        <w:t>4</w:t>
      </w:r>
      <w:r>
        <w:t>月</w:t>
      </w:r>
      <w:r>
        <w:rPr>
          <w:rFonts w:hint="eastAsia"/>
        </w:rPr>
        <w:t>17</w:t>
      </w:r>
      <w:r>
        <w:t>日</w:t>
      </w:r>
    </w:p>
    <w:p>
      <w:pPr>
        <w:ind w:firstLine="640"/>
      </w:pPr>
    </w:p>
    <w:p>
      <w:pPr>
        <w:ind w:firstLine="640"/>
      </w:pPr>
    </w:p>
    <w:p>
      <w:pPr>
        <w:ind w:firstLine="640"/>
      </w:pPr>
    </w:p>
    <w:p>
      <w:pPr>
        <w:ind w:firstLine="640"/>
      </w:pPr>
    </w:p>
    <w:p>
      <w:pPr>
        <w:pStyle w:val="2"/>
      </w:pPr>
      <w:r>
        <w:t>湖南省水产绿色健康养殖技术推广</w:t>
      </w:r>
    </w:p>
    <w:p>
      <w:pPr>
        <w:pStyle w:val="2"/>
      </w:pPr>
      <w:r>
        <w:t>“五大行动”实施方案</w:t>
      </w:r>
    </w:p>
    <w:p>
      <w:pPr>
        <w:ind w:firstLine="640"/>
      </w:pPr>
      <w:r>
        <w:t xml:space="preserve"> </w:t>
      </w:r>
    </w:p>
    <w:p>
      <w:pPr>
        <w:ind w:firstLine="640"/>
        <w:rPr>
          <w:rFonts w:eastAsia="黑体"/>
        </w:rPr>
      </w:pPr>
      <w:r>
        <w:t>为做好湖南省水产绿色健康养殖技术推广“五大行动”工作，根据农业农村部有关文件精神和我省渔业发展实际，特制</w:t>
      </w:r>
      <w:r>
        <w:rPr>
          <w:rFonts w:hint="eastAsia"/>
          <w:lang w:eastAsia="zh-CN"/>
        </w:rPr>
        <w:t>定</w:t>
      </w:r>
      <w:r>
        <w:t>本实施方案。</w:t>
      </w:r>
    </w:p>
    <w:p>
      <w:pPr>
        <w:pStyle w:val="3"/>
        <w:ind w:firstLine="640"/>
      </w:pPr>
      <w:r>
        <w:t>一、工作目标</w:t>
      </w:r>
    </w:p>
    <w:p>
      <w:pPr>
        <w:ind w:firstLine="640"/>
      </w:pPr>
      <w:r>
        <w:t>水产绿色健康养殖技术推广“五大行动”（以下简称</w:t>
      </w:r>
      <w:r>
        <w:rPr>
          <w:rFonts w:hint="eastAsia"/>
          <w:lang w:eastAsia="zh-CN"/>
        </w:rPr>
        <w:t>“</w:t>
      </w:r>
      <w:r>
        <w:t>五大行动</w:t>
      </w:r>
      <w:r>
        <w:rPr>
          <w:rFonts w:hint="eastAsia"/>
          <w:lang w:eastAsia="zh-CN"/>
        </w:rPr>
        <w:t>”</w:t>
      </w:r>
      <w:r>
        <w:t>），以提质量、上水平、强标准为着力点，以绿色高质量发展和渔业现代化建设为目标，在全省广泛推广应用水产生态健康养殖模式，基本实现养殖尾水资源化综合利用和达标排放，水产养殖用药量持续降低，配合饲料替代率明显提升，水产优良品种覆盖率显著提高。</w:t>
      </w:r>
    </w:p>
    <w:p>
      <w:pPr>
        <w:pStyle w:val="3"/>
        <w:ind w:firstLine="640"/>
      </w:pPr>
      <w:r>
        <w:t>二、重点任务</w:t>
      </w:r>
    </w:p>
    <w:p>
      <w:pPr>
        <w:ind w:firstLine="640"/>
      </w:pPr>
      <w:r>
        <w:t>以建设“五大行动”骨干基地为抓手，推动国家级水产健康养殖和生态养殖示范区建设，示范带动水产养殖主产区“五大行动”全覆盖，助推全省渔业绿色高质量发展。以“设施设备良好、模式技术先进、生态环境优良、规范标准生产、管理制度完善、产品质量安全、示范辐射突出”为标准，打造代表性强、示范性高的“五大行动”骨干基地（创建程序见附件1）。</w:t>
      </w:r>
      <w:r>
        <w:rPr>
          <w:rFonts w:hint="eastAsia"/>
        </w:rPr>
        <w:t>2023年</w:t>
      </w:r>
      <w:r>
        <w:t>，全省计划创建“五大行动”骨干基地100个以上，其中岳阳市、常德市、益阳市、衡阳市各推荐10～12个骨干基地，其他市州各推荐6～8个骨干基地。通过骨干基地的创建，凝练一批区域适用性好、可操作性强的技术规范，宣传一批可复制、可推广的典型案例，示范带动养殖水域100万亩以上。</w:t>
      </w:r>
    </w:p>
    <w:p>
      <w:pPr>
        <w:ind w:firstLine="640"/>
      </w:pPr>
      <w:r>
        <w:t>其中，</w:t>
      </w:r>
      <w:r>
        <w:rPr>
          <w:b/>
        </w:rPr>
        <w:t>生态健康养殖模式推广行动</w:t>
      </w:r>
      <w:r>
        <w:rPr>
          <w:bCs/>
        </w:rPr>
        <w:t>围绕现代设施渔业发展，</w:t>
      </w:r>
      <w:r>
        <w:t>深入开展池塘工程化循环水养殖、工厂化循环水养殖、稻渔综合种养、大水面生态增养殖、多营养层级综合养殖、鱼菜共生生态种养等多个技术模式的示范推广。</w:t>
      </w:r>
      <w:r>
        <w:rPr>
          <w:b/>
        </w:rPr>
        <w:t>养殖尾水治理模式推广行动</w:t>
      </w:r>
      <w:r>
        <w:rPr>
          <w:bCs/>
        </w:rPr>
        <w:t>围绕池塘标准化生态化改造和养殖尾水治理，</w:t>
      </w:r>
      <w:r>
        <w:t>深入开展养殖池塘原位净化、人工湿地、“三池两坝”、养殖池塘底排污、池塘工程化循环水和宁夏“稻渔空间”模式、“IPRS 流水槽＋大田种植”等尾水处理模式的示范推广。</w:t>
      </w:r>
      <w:r>
        <w:rPr>
          <w:b/>
        </w:rPr>
        <w:t>水产养殖用药减量行动</w:t>
      </w:r>
      <w:r>
        <w:t>全面落实水产苗种产地检疫制度，稳步启动无规定水生动物疫病苗种场建设。用好“鱼病远诊网”，继续做好水产养殖动物病原菌耐药性监测和规范用药科普下乡活动，指导养殖者科学规范使用渔用兽药。大力推广应用疫苗免疫和生态防控等技术。“骨干基地”实现水产养殖用兽药使用量、特别是抗生素类兽药使用量同比持续降低。</w:t>
      </w:r>
      <w:r>
        <w:rPr>
          <w:b/>
        </w:rPr>
        <w:t>配合饲料替代幼杂鱼行动</w:t>
      </w:r>
      <w:r>
        <w:t>加强科普宣传和示范推广，不断提高配合饲料替代率和研究成果转化率。骨干基地养殖实现大口黑鲈、乌鳢、鳜等配合饲料替代率不低于80%；黄鳝、鲶等配合饲料替代率不低于60%。</w:t>
      </w:r>
      <w:r>
        <w:rPr>
          <w:b/>
        </w:rPr>
        <w:t>水产种业质量提升行动</w:t>
      </w:r>
      <w:r>
        <w:t>培育壮大联合育种攻关主体以及重要保种、苗种繁育主体，并将符合条件的纳入“五大行动”骨干基地遴选范围。（具体实施要点见附件2）</w:t>
      </w:r>
    </w:p>
    <w:p>
      <w:pPr>
        <w:pStyle w:val="3"/>
        <w:ind w:firstLine="640"/>
      </w:pPr>
      <w:r>
        <w:t>三、进度安排</w:t>
      </w:r>
    </w:p>
    <w:p>
      <w:pPr>
        <w:ind w:firstLine="643"/>
        <w:rPr>
          <w:bCs/>
          <w:kern w:val="44"/>
        </w:rPr>
      </w:pPr>
      <w:r>
        <w:rPr>
          <w:rStyle w:val="25"/>
        </w:rPr>
        <w:t>1.动员部署（3～4月）。</w:t>
      </w:r>
      <w:r>
        <w:t>制订工作方案，明确目标任务和责任分工，宣传发动，全面部署工作。</w:t>
      </w:r>
    </w:p>
    <w:p>
      <w:pPr>
        <w:ind w:firstLine="643"/>
        <w:rPr>
          <w:bCs/>
          <w:kern w:val="44"/>
        </w:rPr>
      </w:pPr>
      <w:r>
        <w:rPr>
          <w:rStyle w:val="25"/>
        </w:rPr>
        <w:t>2.行动实施（4～10月）。</w:t>
      </w:r>
      <w:r>
        <w:t>创建骨干基地，建立完善技术标准，集成熟化技术模式。</w:t>
      </w:r>
    </w:p>
    <w:p>
      <w:pPr>
        <w:ind w:firstLine="651"/>
        <w:rPr>
          <w:color w:val="000000"/>
          <w:spacing w:val="2"/>
        </w:rPr>
      </w:pPr>
      <w:r>
        <w:rPr>
          <w:rFonts w:eastAsia="楷体_GB2312"/>
          <w:b/>
          <w:color w:val="000000"/>
          <w:spacing w:val="2"/>
          <w:szCs w:val="32"/>
        </w:rPr>
        <w:t>3.年度总结（11～12月）。</w:t>
      </w:r>
      <w:r>
        <w:rPr>
          <w:color w:val="000000"/>
          <w:spacing w:val="2"/>
          <w:szCs w:val="32"/>
        </w:rPr>
        <w:t>总结“五大行动”工作成效、提炼典型案例、提出存在问题和改进措施建议等，按要求报送相关材料。</w:t>
      </w:r>
    </w:p>
    <w:p>
      <w:pPr>
        <w:ind w:firstLine="643"/>
      </w:pPr>
      <w:r>
        <w:rPr>
          <w:rStyle w:val="25"/>
        </w:rPr>
        <w:t>4.示范推广（长期）。</w:t>
      </w:r>
      <w:r>
        <w:t>骨干基地积极承接各级示范推广任务，辐射带动新技术、新模式、新品种广泛应用。</w:t>
      </w:r>
    </w:p>
    <w:p>
      <w:pPr>
        <w:pStyle w:val="3"/>
        <w:ind w:firstLine="640"/>
        <w:rPr>
          <w:rFonts w:eastAsia="楷体_GB2312"/>
        </w:rPr>
      </w:pPr>
      <w:r>
        <w:t>四、工作措施</w:t>
      </w:r>
    </w:p>
    <w:p>
      <w:pPr>
        <w:ind w:firstLine="643"/>
      </w:pPr>
      <w:r>
        <w:rPr>
          <w:rStyle w:val="25"/>
        </w:rPr>
        <w:t>1.完善工作机制。</w:t>
      </w:r>
      <w:r>
        <w:t>省农业农村厅</w:t>
      </w:r>
      <w:r>
        <w:rPr>
          <w:rFonts w:hint="eastAsia"/>
        </w:rPr>
        <w:t>负责</w:t>
      </w:r>
      <w:r>
        <w:t>统筹协调和督促指导，省畜牧水产事务中心牵头组织实施</w:t>
      </w:r>
      <w:r>
        <w:rPr>
          <w:rFonts w:hint="eastAsia"/>
        </w:rPr>
        <w:t>。</w:t>
      </w:r>
      <w:r>
        <w:t>市州农业农村局会同畜牧水产事务中心制订本地区“五大行动”实施方案，明确目标任务，做好本地区骨干基地的遴选、推荐、监督、评审和验收，做好技术集成、模式创新、典型培育、示范推广和信息汇总等工作。各级各部门要进一步强化责任分工，加强工作调度和指导，推动目标任务落实落细，确保行动落地见效。</w:t>
      </w:r>
    </w:p>
    <w:p>
      <w:pPr>
        <w:ind w:firstLine="643"/>
      </w:pPr>
      <w:r>
        <w:rPr>
          <w:rFonts w:eastAsia="楷体_GB2312"/>
          <w:b/>
        </w:rPr>
        <w:t>2.强化支持保障。</w:t>
      </w:r>
      <w:r>
        <w:t>各级渔业主管部门要</w:t>
      </w:r>
      <w:r>
        <w:rPr>
          <w:kern w:val="0"/>
          <w:sz w:val="31"/>
          <w:szCs w:val="31"/>
        </w:rPr>
        <w:t>积极争取当地党委政府和有关部门重视，</w:t>
      </w:r>
      <w:r>
        <w:t>统筹渔业发展资金，积极向“五大行动”等水产养殖业绿色发展方向倾斜，并引导社会资本加大投入，切实提升骨干基地养殖技术、设施、装备、智能化水平。</w:t>
      </w:r>
      <w:r>
        <w:rPr>
          <w:rFonts w:hint="eastAsia"/>
        </w:rPr>
        <w:t>省</w:t>
      </w:r>
      <w:r>
        <w:t>厅将对 “五大行动”示范主体均采取“以奖代补”的方式，结合水产种业建设、精养池塘改造、水产养殖尾水治理、国家级水产健康养殖和生态养殖示范区创建等项目进行支持，对创建合格的“五大行动”骨干基地将在其他渔业扶持项目上优先安排。</w:t>
      </w:r>
    </w:p>
    <w:p>
      <w:pPr>
        <w:ind w:firstLine="643"/>
      </w:pPr>
      <w:r>
        <w:rPr>
          <w:rFonts w:eastAsia="楷体_GB2312"/>
          <w:b/>
        </w:rPr>
        <w:t>3.大力示范推广。</w:t>
      </w:r>
      <w:r>
        <w:t>各地要发挥水产技术推广体系的作用，加强与科研机构、大专院校的交流合作，建立示范推广机制和专家团队，以骨干基地为样板，通过技术培训、交流研讨、现场观摩等方式，加大宣传和辐射带动，推进水产生态健康养殖技术模式示范推广。</w:t>
      </w:r>
    </w:p>
    <w:p>
      <w:pPr>
        <w:ind w:firstLine="627"/>
        <w:rPr>
          <w:spacing w:val="-4"/>
        </w:rPr>
      </w:pPr>
      <w:r>
        <w:rPr>
          <w:rFonts w:eastAsia="楷体_GB2312"/>
          <w:b/>
          <w:spacing w:val="-4"/>
        </w:rPr>
        <w:t>4.加强宣传交流。</w:t>
      </w:r>
      <w:r>
        <w:rPr>
          <w:spacing w:val="-4"/>
        </w:rPr>
        <w:t>各地要总结遴选“五大行动”先进典型，做好工作宣传，加大对水产养殖企业的培训指导力度，引导广大水产养殖企业树立绿色发展理念，营造推进水产养殖业绿色发展的良好氛围。同时要多措并举，促进形式多样的交流合作。全国水产技术推广总站官网设立“五大行动”专栏，编制《“五大行动”工作动态》，宣传推介各地先进经验、典型做法及取得成效。各地要积极组稿投稿，及时报送本地区行动实施相关工作动态和典型案例。</w:t>
      </w:r>
    </w:p>
    <w:p>
      <w:pPr>
        <w:ind w:firstLine="643"/>
      </w:pPr>
      <w:r>
        <w:rPr>
          <w:rFonts w:eastAsia="楷体_GB2312"/>
          <w:b/>
        </w:rPr>
        <w:t>5.及时督导总结。</w:t>
      </w:r>
      <w:r>
        <w:t>厅渔业渔政管理处要会同省畜牧水产事务中心渔业发展部适时组织开展“五大行动”工作情况调研和督导。各地要积极推进本辖区“五大行动”工作，及时完成骨干基地评审与验收，按要求组织填报“五大行动”骨干基地信息管理系统（http://xd.szjoann.net）；并分别在4月15日、7月5日、11月21日前将工作实施方案（含2023年拟创建“五大行动”骨干基地名单）、半年和全年工作总结（PDF版和word文档两种格式），报厅渔业渔政管理处和省畜牧水产事务中心渔业发展部。</w:t>
      </w:r>
    </w:p>
    <w:p>
      <w:pPr>
        <w:ind w:firstLine="640"/>
      </w:pPr>
      <w:r>
        <w:t>工作中如有问题和建议，请及时联系以下相关部门。</w:t>
      </w:r>
    </w:p>
    <w:p>
      <w:pPr>
        <w:pStyle w:val="4"/>
        <w:ind w:firstLine="643"/>
      </w:pPr>
      <w:r>
        <w:t>1.“五大行动”牵头部门</w:t>
      </w:r>
    </w:p>
    <w:p>
      <w:pPr>
        <w:ind w:firstLine="640"/>
      </w:pPr>
      <w:r>
        <w:t>省农业农村厅渔业渔政管理处，丁浩，15111405553，hnyyyzc0731@163.com；省畜牧水产事务中心渔业发展部，蔡汉华，18573149681，hnyyfzb@126.com 。</w:t>
      </w:r>
    </w:p>
    <w:p>
      <w:pPr>
        <w:pStyle w:val="4"/>
        <w:ind w:firstLine="643"/>
      </w:pPr>
      <w:r>
        <w:t>2.分项行动部门</w:t>
      </w:r>
    </w:p>
    <w:p>
      <w:pPr>
        <w:ind w:firstLine="640"/>
      </w:pPr>
      <w:r>
        <w:t>（1）生态健康养殖模式推广行动</w:t>
      </w:r>
    </w:p>
    <w:p>
      <w:pPr>
        <w:ind w:firstLine="640"/>
        <w:rPr>
          <w:rFonts w:eastAsia="等线"/>
          <w:color w:val="000000"/>
        </w:rPr>
      </w:pPr>
      <w:r>
        <w:rPr>
          <w:color w:val="000000"/>
          <w:szCs w:val="32"/>
        </w:rPr>
        <w:t>省畜牧水产事务中心科技推广部，张艳春，14789952623，</w:t>
      </w:r>
      <w:r>
        <w:rPr>
          <w:rFonts w:eastAsia="等线"/>
          <w:color w:val="000000"/>
          <w:szCs w:val="32"/>
        </w:rPr>
        <w:t>hnsc2019@sina.com</w:t>
      </w:r>
      <w:r>
        <w:rPr>
          <w:color w:val="000000"/>
          <w:szCs w:val="32"/>
        </w:rPr>
        <w:t>。</w:t>
      </w:r>
    </w:p>
    <w:p>
      <w:pPr>
        <w:ind w:firstLine="640"/>
      </w:pPr>
      <w:r>
        <w:t>（2）养殖尾水治理模式推广行动</w:t>
      </w:r>
    </w:p>
    <w:p>
      <w:pPr>
        <w:ind w:firstLine="640"/>
      </w:pPr>
      <w:r>
        <w:t>省畜牧水产事务中心渔业发展部，邓凯龙，13548770515，hnyyfzb@126.com 。</w:t>
      </w:r>
    </w:p>
    <w:p>
      <w:pPr>
        <w:ind w:firstLine="640"/>
      </w:pPr>
      <w:r>
        <w:t>（3）水产养殖用药减量行动</w:t>
      </w:r>
    </w:p>
    <w:p>
      <w:pPr>
        <w:ind w:firstLine="640"/>
        <w:rPr>
          <w:rFonts w:eastAsia="等线"/>
        </w:rPr>
      </w:pPr>
      <w:r>
        <w:t>省畜牧水产事务中心质量安全与兽药部，彭好翌，13487571018</w:t>
      </w:r>
      <w:r>
        <w:rPr>
          <w:sz w:val="24"/>
        </w:rPr>
        <w:t>，</w:t>
      </w:r>
      <w:r>
        <w:rPr>
          <w:rFonts w:eastAsia="等线"/>
        </w:rPr>
        <w:t>zlaqysyb@163.com</w:t>
      </w:r>
      <w:r>
        <w:t>。</w:t>
      </w:r>
    </w:p>
    <w:p>
      <w:pPr>
        <w:ind w:firstLine="640"/>
      </w:pPr>
      <w:r>
        <w:t>（4）配合饲料替代幼杂鱼行动</w:t>
      </w:r>
    </w:p>
    <w:p>
      <w:pPr>
        <w:ind w:firstLine="640"/>
      </w:pPr>
      <w:r>
        <w:t>省畜牧水产事务中心渔业发展部，蔡汉华，18573149681，hnyyfzb@126.com 。</w:t>
      </w:r>
    </w:p>
    <w:p>
      <w:pPr>
        <w:ind w:firstLine="640"/>
      </w:pPr>
      <w:r>
        <w:t>（5）水产种业质量提升行动</w:t>
      </w:r>
    </w:p>
    <w:p>
      <w:pPr>
        <w:ind w:firstLine="640"/>
      </w:pPr>
      <w:r>
        <w:t>省畜牧水产事务中心渔业发展部，任妮，13975176503，</w:t>
      </w:r>
      <w:r>
        <w:fldChar w:fldCharType="begin"/>
      </w:r>
      <w:r>
        <w:instrText xml:space="preserve"> HYPERLINK "mailto:hnyyfzb@126.com" </w:instrText>
      </w:r>
      <w:r>
        <w:fldChar w:fldCharType="separate"/>
      </w:r>
      <w:r>
        <w:t>hnyyfzb@126.com</w:t>
      </w:r>
      <w:r>
        <w:fldChar w:fldCharType="end"/>
      </w:r>
      <w:r>
        <w:t>。</w:t>
      </w:r>
    </w:p>
    <w:p>
      <w:pPr>
        <w:ind w:firstLine="640"/>
        <w:rPr>
          <w:rFonts w:hint="eastAsia"/>
        </w:rPr>
      </w:pPr>
      <w:r>
        <w:rPr>
          <w:rFonts w:hint="eastAsia"/>
        </w:rPr>
        <w:t>本</w:t>
      </w:r>
      <w:r>
        <w:t>实</w:t>
      </w:r>
      <w:r>
        <w:rPr>
          <w:rFonts w:hint="eastAsia"/>
        </w:rPr>
        <w:t>施</w:t>
      </w:r>
      <w:r>
        <w:t>方案自发布之日起实行，有效</w:t>
      </w:r>
      <w:r>
        <w:rPr>
          <w:rFonts w:hint="eastAsia"/>
        </w:rPr>
        <w:t>期5年</w:t>
      </w:r>
      <w:r>
        <w:t>。</w:t>
      </w:r>
    </w:p>
    <w:p>
      <w:pPr>
        <w:ind w:firstLine="640"/>
      </w:pPr>
      <w:r>
        <w:t xml:space="preserve"> </w:t>
      </w:r>
    </w:p>
    <w:p>
      <w:pPr>
        <w:ind w:firstLine="640"/>
      </w:pPr>
      <w:r>
        <w:rPr>
          <w:szCs w:val="32"/>
        </w:rPr>
        <w:t>附件：1.“五大行动”骨干基地创建程序</w:t>
      </w:r>
    </w:p>
    <w:p>
      <w:pPr>
        <w:ind w:firstLine="640"/>
      </w:pPr>
      <w:r>
        <w:rPr>
          <w:szCs w:val="32"/>
        </w:rPr>
        <w:t xml:space="preserve">      2.“五大行动”实施要点</w:t>
      </w:r>
    </w:p>
    <w:p>
      <w:pPr>
        <w:ind w:firstLine="640"/>
      </w:pPr>
      <w:r>
        <w:rPr>
          <w:szCs w:val="32"/>
        </w:rPr>
        <w:t xml:space="preserve">      3.“五大行动”骨干基地创建标准及验收评分表</w:t>
      </w:r>
    </w:p>
    <w:p>
      <w:pPr>
        <w:ind w:firstLine="640"/>
        <w:rPr>
          <w:rFonts w:eastAsia="方正小标宋简体"/>
          <w:sz w:val="44"/>
          <w:szCs w:val="44"/>
        </w:rPr>
      </w:pPr>
      <w:r>
        <w:rPr>
          <w:szCs w:val="32"/>
        </w:rPr>
        <w:t xml:space="preserve">      4.项目支出绩效自评表</w:t>
      </w:r>
    </w:p>
    <w:p>
      <w:pPr>
        <w:ind w:firstLine="880"/>
        <w:rPr>
          <w:rFonts w:eastAsia="方正小标宋简体"/>
          <w:sz w:val="44"/>
          <w:szCs w:val="44"/>
        </w:rPr>
        <w:sectPr>
          <w:headerReference r:id="rId7"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linePitch="312" w:charSpace="0"/>
        </w:sectPr>
      </w:pPr>
    </w:p>
    <w:p>
      <w:pPr>
        <w:pStyle w:val="3"/>
        <w:ind w:firstLine="0" w:firstLineChars="0"/>
      </w:pPr>
      <w:r>
        <w:t>附件1</w:t>
      </w:r>
    </w:p>
    <w:p>
      <w:pPr>
        <w:ind w:firstLine="640"/>
      </w:pPr>
      <w:r>
        <w:t xml:space="preserve"> </w:t>
      </w:r>
    </w:p>
    <w:p>
      <w:pPr>
        <w:pStyle w:val="2"/>
      </w:pPr>
      <w:r>
        <w:t>“五大行动”骨干基地创建程序</w:t>
      </w:r>
    </w:p>
    <w:p>
      <w:pPr>
        <w:ind w:firstLine="640"/>
      </w:pPr>
      <w:r>
        <w:t xml:space="preserve"> </w:t>
      </w:r>
    </w:p>
    <w:p>
      <w:pPr>
        <w:pStyle w:val="3"/>
        <w:ind w:firstLine="640"/>
      </w:pPr>
      <w:r>
        <w:t>一、关于骨干基地申报</w:t>
      </w:r>
    </w:p>
    <w:p>
      <w:pPr>
        <w:pStyle w:val="4"/>
        <w:ind w:firstLine="643"/>
      </w:pPr>
      <w:r>
        <w:t>（一）申报条件</w:t>
      </w:r>
    </w:p>
    <w:p>
      <w:pPr>
        <w:ind w:firstLine="643"/>
      </w:pPr>
      <w:r>
        <w:rPr>
          <w:b/>
        </w:rPr>
        <w:t>1.主体明确。</w:t>
      </w:r>
      <w:r>
        <w:t>应为事业单位、集体经济组织、企业、农民专业合作社、家庭农场或个体工商户等具有独立法人资格或依法登记的经营主体。边界清晰，无土地、水面使用权纠纷。且在全国水产养殖种质资源普查系统注册和填报的经营主体。</w:t>
      </w:r>
    </w:p>
    <w:p>
      <w:pPr>
        <w:ind w:firstLine="643"/>
      </w:pPr>
      <w:r>
        <w:rPr>
          <w:b/>
        </w:rPr>
        <w:t>2.经营合法。</w:t>
      </w:r>
      <w:r>
        <w:t>应坐落于《</w:t>
      </w:r>
      <w:r>
        <w:rPr>
          <w:rFonts w:hint="eastAsia"/>
        </w:rPr>
        <w:t>湖南</w:t>
      </w:r>
      <w:r>
        <w:t>省养殖水域滩涂规划</w:t>
      </w:r>
      <w:r>
        <w:rPr>
          <w:rFonts w:hint="eastAsia"/>
        </w:rPr>
        <w:t>（2021</w:t>
      </w:r>
      <w:r>
        <w:t>-2030</w:t>
      </w:r>
      <w:r>
        <w:rPr>
          <w:rFonts w:hint="eastAsia"/>
        </w:rPr>
        <w:t>年</w:t>
      </w:r>
      <w:r>
        <w:t>）》划定的养殖区、限养区内，严禁破坏耕地保护、生态保护等红线。无涉黑涉恶、信用失信等情况。经营者应持有效《水域滩涂养殖证》，或可证明其水域滩涂承包经营权、使用权的其他权证和承包合同。苗种繁育企业要遵守《水产苗种管理办法》</w:t>
      </w:r>
      <w:r>
        <w:rPr>
          <w:rFonts w:hint="eastAsia"/>
        </w:rPr>
        <w:t>《湖南</w:t>
      </w:r>
      <w:r>
        <w:t>省水产苗种管理办法》</w:t>
      </w:r>
      <w:r>
        <w:rPr>
          <w:rFonts w:hint="eastAsia"/>
        </w:rPr>
        <w:t>等</w:t>
      </w:r>
      <w:r>
        <w:t>有关规定。</w:t>
      </w:r>
    </w:p>
    <w:p>
      <w:pPr>
        <w:ind w:firstLine="643"/>
      </w:pPr>
      <w:r>
        <w:rPr>
          <w:b/>
        </w:rPr>
        <w:t>3.质量安全。</w:t>
      </w:r>
      <w:r>
        <w:t>周边无工业污染源，近5年（含申报年度）未发生重大污染事故或重大生态环境破坏事件；近5年（含申报年度）产地水产品兽药残留监测合格（未被抽检年份视同合格），无使用禁用、假、劣兽药及禁用投入品等违法行为。</w:t>
      </w:r>
    </w:p>
    <w:p>
      <w:pPr>
        <w:ind w:firstLine="643"/>
      </w:pPr>
      <w:r>
        <w:rPr>
          <w:b/>
        </w:rPr>
        <w:t>4.申报规模。</w:t>
      </w:r>
      <w:r>
        <w:t>池塘养殖类的池塘养殖面积200亩（含）以上。工厂化养殖类养殖面积2000平方米以上。稻渔综合种养类，平原地区应集中连片，面积达2000亩以上；丘陵山区应各田块位置毗邻，面积在500亩以上。大水面类，湖泊5000亩及以上，水库应达到中型水库及以上。</w:t>
      </w:r>
    </w:p>
    <w:p>
      <w:pPr>
        <w:ind w:firstLine="643"/>
      </w:pPr>
      <w:r>
        <w:rPr>
          <w:b/>
        </w:rPr>
        <w:t>5.其他要求。</w:t>
      </w:r>
      <w:r>
        <w:t>每个骨干基地实施内容除配合饲料替代幼杂鱼行动需根据养殖品种酌定外，其他行动内容要求实现全覆盖。三年内在省级农业农村部门获得同类项目资金支持的主体（资金额度100万元及以上），可申报骨干基地，但不重复安排项目资金。</w:t>
      </w:r>
    </w:p>
    <w:p>
      <w:pPr>
        <w:pStyle w:val="4"/>
        <w:ind w:firstLine="643"/>
      </w:pPr>
      <w:r>
        <w:t>（二）申报程序</w:t>
      </w:r>
    </w:p>
    <w:p>
      <w:pPr>
        <w:ind w:firstLine="640"/>
      </w:pPr>
      <w:r>
        <w:t>经营主体按照</w:t>
      </w:r>
      <w:r>
        <w:rPr>
          <w:rFonts w:hint="eastAsia"/>
        </w:rPr>
        <w:t>附件2</w:t>
      </w:r>
      <w:r>
        <w:t>，做好项目可行性研究和初步设计等前期工作，县市区农业农村局和畜牧水产事务中心根据经营主体申请，遴选基础完善、管理先进、具备示范引领条件的经营主体。</w:t>
      </w:r>
    </w:p>
    <w:p>
      <w:pPr>
        <w:pStyle w:val="4"/>
        <w:ind w:firstLine="643"/>
      </w:pPr>
      <w:r>
        <w:t>（三）材料要求</w:t>
      </w:r>
    </w:p>
    <w:p>
      <w:pPr>
        <w:ind w:firstLine="640"/>
      </w:pPr>
      <w:r>
        <w:t>材料应包含：</w:t>
      </w:r>
      <w:r>
        <w:rPr>
          <w:rFonts w:hint="eastAsia"/>
        </w:rPr>
        <w:t>申报</w:t>
      </w:r>
      <w:r>
        <w:t>文件、项目可行性研究、初步设计、实施方案（经营主体基本情况；发展条件；任务目标；规划布局；建设内容；投资估算及资金筹措；实施进度；项目实施与运行管理；经济、社会和生态效益分析）以及相关附件（水产苗种生产许可证、水域滩涂养殖证、国家级现代渔业种业示范基地、国家级水产健康养殖示范场、省级水产龙头企业、省级以上水产原良种场、省级以上农民专业合作示范社、土地流转合同等佐证材料）。</w:t>
      </w:r>
    </w:p>
    <w:p>
      <w:pPr>
        <w:pStyle w:val="4"/>
        <w:ind w:firstLine="643"/>
      </w:pPr>
      <w:r>
        <w:t>（四）评审批复</w:t>
      </w:r>
    </w:p>
    <w:p>
      <w:pPr>
        <w:ind w:firstLine="632"/>
        <w:rPr>
          <w:spacing w:val="-2"/>
        </w:rPr>
      </w:pPr>
      <w:r>
        <w:rPr>
          <w:spacing w:val="-2"/>
        </w:rPr>
        <w:t>4月15日前，各市州农业农村局和畜牧水产事务中心联合评审后择优推荐，将正式申报文件和实施方案（含2023年拟创建“五大行动”骨干基地名单）报送至省农业农村厅和省畜牧水产事务中心。省直单位直接申报至省农业农村厅和省畜牧水产事务中心。省农业农村厅和省畜牧水产事务中心批复上报的实施方案。</w:t>
      </w:r>
    </w:p>
    <w:p>
      <w:pPr>
        <w:pStyle w:val="3"/>
        <w:ind w:firstLine="640"/>
        <w:rPr>
          <w:rFonts w:hint="eastAsia"/>
        </w:rPr>
      </w:pPr>
      <w:r>
        <w:t>二、关于骨干基地</w:t>
      </w:r>
      <w:r>
        <w:rPr>
          <w:rFonts w:hint="eastAsia"/>
        </w:rPr>
        <w:t>支持</w:t>
      </w:r>
      <w:r>
        <w:t>政策</w:t>
      </w:r>
    </w:p>
    <w:p>
      <w:pPr>
        <w:ind w:firstLine="640"/>
      </w:pPr>
      <w:r>
        <w:rPr>
          <w:rFonts w:hint="eastAsia"/>
        </w:rPr>
        <w:t>省</w:t>
      </w:r>
      <w:r>
        <w:t>厅将对 “五大行动”示范主体均采取“以奖代补”的方式，结合水产种业建设、精养池塘改造、水产养殖尾水治理、国家级水产健康养殖和生态养殖示范区创建等项目进行支持，对创建合格的“五大行动”骨干基地将在其他渔业扶持项目上优先安排。</w:t>
      </w:r>
    </w:p>
    <w:p>
      <w:pPr>
        <w:pStyle w:val="3"/>
        <w:ind w:firstLine="640"/>
      </w:pPr>
      <w:r>
        <w:t>三、关于骨干基地验收</w:t>
      </w:r>
    </w:p>
    <w:p>
      <w:pPr>
        <w:ind w:firstLine="643"/>
      </w:pPr>
      <w:r>
        <w:rPr>
          <w:rStyle w:val="25"/>
        </w:rPr>
        <w:t>（一）验收材料。</w:t>
      </w:r>
      <w:r>
        <w:t>包括实施方案、验收自评报告（根据评分表的每项创建标准提供相应的佐证材料）、项目支出报告；经营主体对材料真实性的承诺函和市（州）县组织的验收意见；有关合同协议、往来发票复印件、银行转账凭证以及实施前后影像资料等佐证材料。</w:t>
      </w:r>
    </w:p>
    <w:p>
      <w:pPr>
        <w:ind w:firstLine="643"/>
      </w:pPr>
      <w:r>
        <w:rPr>
          <w:rStyle w:val="25"/>
        </w:rPr>
        <w:t>（二）验收组织。</w:t>
      </w:r>
      <w:r>
        <w:t>11月，市州农业农村局和畜牧水产事务中心联合组织专家，按照</w:t>
      </w:r>
      <w:r>
        <w:rPr>
          <w:rFonts w:hint="eastAsia"/>
        </w:rPr>
        <w:t>附件3</w:t>
      </w:r>
      <w:r>
        <w:t>对本辖区内创建的骨干基地现场验收打分。市州农业农村局和畜牧水产事务中心于11月10日前以正式文件将验收结果和整套验收资料分别报省农业农村厅渔业渔政管理处（1份）、省畜牧水产事务中心渔业发展部（3份）。省直单位直接由省农业农村厅和省畜牧水产事务中心验收。</w:t>
      </w:r>
    </w:p>
    <w:p>
      <w:pPr>
        <w:ind w:firstLine="643"/>
      </w:pPr>
      <w:r>
        <w:rPr>
          <w:rStyle w:val="25"/>
        </w:rPr>
        <w:t>（三）抽查认定。</w:t>
      </w:r>
      <w:r>
        <w:t>11月，省农业农村厅和省畜牧水产事务中心对验收通过项目组织抽查，择优推荐给农业农村部审定。</w:t>
      </w:r>
    </w:p>
    <w:p>
      <w:pPr>
        <w:pStyle w:val="3"/>
        <w:ind w:firstLine="640"/>
      </w:pPr>
      <w:r>
        <w:t>四、关于骨干基地管理</w:t>
      </w:r>
    </w:p>
    <w:p>
      <w:pPr>
        <w:ind w:firstLine="643"/>
      </w:pPr>
      <w:r>
        <w:rPr>
          <w:rStyle w:val="25"/>
        </w:rPr>
        <w:t>（一）绩效评价。</w:t>
      </w:r>
      <w:r>
        <w:t>12月，项目具体实施单位按照项目实施方案，开展绩效自评，填写</w:t>
      </w:r>
      <w:r>
        <w:rPr>
          <w:rFonts w:hint="eastAsia"/>
        </w:rPr>
        <w:t>附件4</w:t>
      </w:r>
      <w:r>
        <w:t>，撰写绩效自评报告，并做到可量化、可考核。翌年1月中旬前，各市（州）将骨干基地的绩效自评报告分别报送至省农业农村厅和省畜牧水产事务中心。省级将根据绩效</w:t>
      </w:r>
      <w:r>
        <w:rPr>
          <w:rFonts w:hint="eastAsia"/>
          <w:lang w:eastAsia="zh-CN"/>
        </w:rPr>
        <w:t>评估</w:t>
      </w:r>
      <w:r>
        <w:t>结果，酌情核增减各市（州）当年项目申报。</w:t>
      </w:r>
    </w:p>
    <w:p>
      <w:pPr>
        <w:ind w:firstLine="643"/>
      </w:pPr>
      <w:r>
        <w:rPr>
          <w:rStyle w:val="25"/>
        </w:rPr>
        <w:t>（二）动态管理。</w:t>
      </w:r>
      <w:r>
        <w:t>各级农业农村</w:t>
      </w:r>
      <w:r>
        <w:rPr>
          <w:rFonts w:hint="eastAsia"/>
        </w:rPr>
        <w:t>主</w:t>
      </w:r>
      <w:r>
        <w:t>管部门和畜牧水产事务中心负责对本辖区骨干基地进行跟踪考查和监督管理，骨干基地实行动态管理机制。骨干基地因不可抗力或其他原因无法继续实施“五大行动”的，要及时逐级上报有关情况。骨干基地存在违法、违纪、违规行为，造成环境污染、发生质量安全事故，不能达到认定标准条件，</w:t>
      </w:r>
      <w:r>
        <w:rPr>
          <w:rFonts w:hint="eastAsia"/>
        </w:rPr>
        <w:t>取消</w:t>
      </w:r>
      <w:r>
        <w:t>其认定资格并进行通报。</w:t>
      </w:r>
    </w:p>
    <w:p>
      <w:pPr>
        <w:pStyle w:val="3"/>
        <w:ind w:firstLine="0" w:firstLineChars="0"/>
      </w:pPr>
      <w:r>
        <w:rPr>
          <w:rFonts w:eastAsia="仿宋_GB2312"/>
        </w:rPr>
        <w:br w:type="page"/>
      </w:r>
      <w:r>
        <w:t>附件2</w:t>
      </w:r>
    </w:p>
    <w:p>
      <w:pPr>
        <w:ind w:firstLine="640"/>
      </w:pPr>
      <w:r>
        <w:t xml:space="preserve"> </w:t>
      </w:r>
    </w:p>
    <w:p>
      <w:pPr>
        <w:pStyle w:val="2"/>
      </w:pPr>
      <w:r>
        <w:t>“五大行动”实施要点</w:t>
      </w:r>
    </w:p>
    <w:p>
      <w:pPr>
        <w:ind w:firstLine="640"/>
      </w:pPr>
      <w:r>
        <w:t xml:space="preserve"> </w:t>
      </w:r>
    </w:p>
    <w:p>
      <w:pPr>
        <w:pStyle w:val="3"/>
        <w:ind w:firstLine="640"/>
      </w:pPr>
      <w:r>
        <w:t>一、生态健康养殖模式推广行动</w:t>
      </w:r>
    </w:p>
    <w:p>
      <w:pPr>
        <w:ind w:firstLine="643"/>
      </w:pPr>
      <w:r>
        <w:rPr>
          <w:rFonts w:eastAsia="楷体_GB2312"/>
          <w:b/>
        </w:rPr>
        <w:t>（一）池塘工程化循环水养殖技术模式。</w:t>
      </w:r>
      <w:r>
        <w:t>根据鱼、虾、蟹池塘养殖特点，在池塘内通过功能区构建、多营养级营造、智能机械配置等进行水质调控、底质调控和精准管控，实现高效集约养殖；在养殖区利用排水渠、闲置塘、水田等构建生态净化渠、沉淀池、生态塘、复合人工湿地和渔农综合种养系统等对养殖尾水进行生态净化处理。</w:t>
      </w:r>
    </w:p>
    <w:p>
      <w:pPr>
        <w:ind w:firstLine="643"/>
      </w:pPr>
      <w:r>
        <w:rPr>
          <w:rFonts w:eastAsia="楷体_GB2312"/>
          <w:b/>
        </w:rPr>
        <w:t>（二）工厂化循环水养殖技术模式。</w:t>
      </w:r>
      <w:r>
        <w:t>在室内建设养殖设施，通过对养殖水进行物理过滤、生物净化、杀菌消毒、脱气增氧等一系列处理后，使全部或部分养殖水得以循环利用的养殖模式。由于养殖过程全程受控，因而具有节水、节地、节约控温能耗、养殖生物生长速度快等显著优势。</w:t>
      </w:r>
    </w:p>
    <w:p>
      <w:pPr>
        <w:ind w:firstLine="643"/>
      </w:pPr>
      <w:r>
        <w:rPr>
          <w:rFonts w:eastAsia="楷体_GB2312"/>
          <w:b/>
        </w:rPr>
        <w:t>（三）稻渔综合种养技术模式。</w:t>
      </w:r>
      <w:r>
        <w:t>利用稻田或池塘为基础条件，通过渔艺、农艺的融合，对其进行适度整理，在确保水稻稳产的前提下，适度开展水产养殖，做到“一水两用、一田多收”，提升稻田使用效率和经济效益。目前，已有稻虾、稻蟹、稻鱼、稻鳅、稻鳖等多种技术模式。</w:t>
      </w:r>
    </w:p>
    <w:p>
      <w:pPr>
        <w:ind w:firstLine="643"/>
      </w:pPr>
      <w:r>
        <w:rPr>
          <w:rFonts w:eastAsia="楷体_GB2312"/>
          <w:b/>
        </w:rPr>
        <w:t>（四）大水面生态增养殖技术模式。</w:t>
      </w:r>
      <w:r>
        <w:t>根据湖泊水库等淡水水体生态容纳量，以“人放天养”为主要方式开展的水产增养殖。目前有水质保护型、资源养护型、生态修复型等增殖以及生态环保型网箱养殖等多种技术模式。</w:t>
      </w:r>
    </w:p>
    <w:p>
      <w:pPr>
        <w:ind w:firstLine="643"/>
      </w:pPr>
      <w:r>
        <w:rPr>
          <w:rFonts w:eastAsia="楷体_GB2312"/>
          <w:b/>
        </w:rPr>
        <w:t>（五）多营养层级综合养殖技术模式。</w:t>
      </w:r>
      <w:r>
        <w:t>在同一养殖区域内合理搭配不同营养层级、养殖生态位互补的动植物，实现水质调控、营养物质循环利用、生态防病及质量安全控制，在提高养殖效益的同时减少养殖废物排放。包括以主养杂食性鱼类、混养肉食性及滤食性鱼类的淡水池塘多营养层次综合养殖模式。</w:t>
      </w:r>
    </w:p>
    <w:p>
      <w:pPr>
        <w:ind w:firstLine="643"/>
      </w:pPr>
      <w:r>
        <w:rPr>
          <w:rFonts w:eastAsia="楷体_GB2312"/>
          <w:b/>
        </w:rPr>
        <w:t>（六）鱼菜共生生态种养技术模式。</w:t>
      </w:r>
      <w:r>
        <w:t>在养殖池塘水面进行蔬菜无土栽培，利用鱼类与植物的营养生理、环境、理化等生态共生原理，使鱼类与蔬菜共生互补，实现池塘鱼菜生态系统内物质循环，达到养鱼不换水、种菜不施肥、资源可循环利用的目标。</w:t>
      </w:r>
    </w:p>
    <w:p>
      <w:pPr>
        <w:ind w:firstLine="643"/>
      </w:pPr>
      <w:r>
        <w:rPr>
          <w:rFonts w:eastAsia="楷体_GB2312"/>
          <w:b/>
        </w:rPr>
        <w:t>（七）其他模式。</w:t>
      </w:r>
      <w:r>
        <w:t>各地可因地制宜示范应用适合本地生产实际的技术模式。</w:t>
      </w:r>
    </w:p>
    <w:p>
      <w:pPr>
        <w:pStyle w:val="3"/>
        <w:ind w:firstLine="640"/>
      </w:pPr>
      <w:r>
        <w:t>二、养殖尾水治理模式推广行动</w:t>
      </w:r>
    </w:p>
    <w:p>
      <w:pPr>
        <w:ind w:firstLine="643"/>
      </w:pPr>
      <w:r>
        <w:rPr>
          <w:rFonts w:eastAsia="楷体_GB2312"/>
          <w:b/>
        </w:rPr>
        <w:t>（一）人工湿地尾水处理模式（园区模式）。</w:t>
      </w:r>
      <w:r>
        <w:t>在池塘养殖集中连片区域，采用生态沟渠、沉淀、表流湿地、潜流湿地等多种类型人工湿地组合来处理水产养殖尾水。按园区整体规划，净化工程与养殖工程同步考虑，通过升级改造，推进三产融合、循环发展。该模式适合集中连片、经济较发达地区池塘养殖区域。</w:t>
      </w:r>
    </w:p>
    <w:p>
      <w:pPr>
        <w:ind w:firstLine="643"/>
      </w:pPr>
      <w:r>
        <w:rPr>
          <w:rFonts w:eastAsia="楷体_GB2312"/>
          <w:b/>
        </w:rPr>
        <w:t>（二）“三池两坝”（稳定塘＋过滤坝）尾水处理模式。</w:t>
      </w:r>
      <w:r>
        <w:t>通过对进排水体系、养殖池塘进行整体规划，运用沉淀、过滤、微生物分解、动物净化（鲢、鳙、河蚌）、植物转化（挺水及沉水植物、水生蔬菜）、曝气等技术处理池塘养殖尾水，构建“沉淀池＋过滤坝＋曝气池＋过滤坝＋生物净化池”系统，或“河道／排水生态沟渠—初沉 I 区—溢流坝—硝化／反硝化Il 区—过滤坝— 曝气复氧I11区”系统，养殖用水处理后达标排出或回到养殖池塘。可配套建设在线监测、自动控制系统提高自动化程度。该模式平均占用土地10% 左右（因养殖种类、模式而异），适合小流域和集中连片池塘。</w:t>
      </w:r>
    </w:p>
    <w:p>
      <w:pPr>
        <w:ind w:firstLine="643"/>
      </w:pPr>
      <w:r>
        <w:rPr>
          <w:rFonts w:eastAsia="楷体_GB2312"/>
          <w:b/>
        </w:rPr>
        <w:t>（三）养殖池塘底排污模式。</w:t>
      </w:r>
      <w:r>
        <w:t>通过将池塘改造成圆角锅底状，“锅底”设排污口与岸上排污井联通并用，池水由底层增氧系统／水车式增氧机推动池水缓慢旋转，使鱼粪、残饵在离心力作用下集中于“锅底”排污口，拔出排污井出水口控制管，底部水即在池塘水的压力下自动溢出，粪污经沉淀后作肥料，上清液返回池塘，可实现养殖水循环使用。该模式基本不占用土地，投资相对较小，适合于山区丘陵小规模池塘。</w:t>
      </w:r>
    </w:p>
    <w:p>
      <w:pPr>
        <w:ind w:firstLine="643"/>
      </w:pPr>
      <w:r>
        <w:rPr>
          <w:rFonts w:eastAsia="楷体_GB2312"/>
          <w:b/>
        </w:rPr>
        <w:t>（四）池塘工程化循环水( IPRS, 俗称跑道鱼）模式。</w:t>
      </w:r>
      <w:r>
        <w:t>通过将工厂化循环水养殖的技术原理应用于池塘养殖，将主养品种置于流水</w:t>
      </w:r>
      <w:r>
        <w:rPr>
          <w:rFonts w:hint="eastAsia"/>
          <w:lang w:eastAsia="zh-CN"/>
        </w:rPr>
        <w:t>槽</w:t>
      </w:r>
      <w:r>
        <w:t>( 22mx5mx2m ) 中，槽外的大池塘用于鱼粪收集和水处理。该模式包括养鱼流水槽、鱼粪集污池、集污装置、推水增氧装备、起鱼吊装设备、鱼莱共生装置、导流坝等，为强化集污效果可再在流水养鱼槽外的大塘水用鲢、鳙、河蚌、水生蔬菜等进行生物净化。该模式适合连片且有一定规模的池塘。</w:t>
      </w:r>
    </w:p>
    <w:p>
      <w:pPr>
        <w:ind w:firstLine="643"/>
      </w:pPr>
      <w:r>
        <w:rPr>
          <w:rFonts w:eastAsia="楷体_GB2312"/>
          <w:b/>
        </w:rPr>
        <w:t>（五）宁夏“稻渔空间”模式(“IPRS 流水槽＋大田种植”尾水处</w:t>
      </w:r>
      <w:r>
        <w:rPr>
          <w:lang/>
        </w:rPr>
        <w:drawing>
          <wp:inline distT="0" distB="0" distL="114300" distR="114300">
            <wp:extent cx="201930" cy="201930"/>
            <wp:effectExtent l="0" t="0" r="0" b="0"/>
            <wp:docPr id="3" name="图片 1" descr="file:///C:\Users\ADMINI~1\AppData\Local\Temp\ksohtml918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file:///C:\Users\ADMINI~1\AppData\Local\Temp\ksohtml9184\wps2.png"/>
                    <pic:cNvPicPr>
                      <a:picLocks noChangeAspect="1"/>
                    </pic:cNvPicPr>
                  </pic:nvPicPr>
                  <pic:blipFill>
                    <a:blip r:embed="rId19"/>
                    <a:stretch>
                      <a:fillRect/>
                    </a:stretch>
                  </pic:blipFill>
                  <pic:spPr>
                    <a:xfrm>
                      <a:off x="0" y="0"/>
                      <a:ext cx="201930" cy="201930"/>
                    </a:xfrm>
                    <a:prstGeom prst="rect">
                      <a:avLst/>
                    </a:prstGeom>
                    <a:noFill/>
                    <a:ln>
                      <a:noFill/>
                    </a:ln>
                  </pic:spPr>
                </pic:pic>
              </a:graphicData>
            </a:graphic>
          </wp:inline>
        </w:drawing>
      </w:r>
      <w:r>
        <w:rPr>
          <w:rFonts w:eastAsia="楷体_GB2312"/>
          <w:b/>
        </w:rPr>
        <w:t>理模式）。</w:t>
      </w:r>
      <w:r>
        <w:t>该模式属于IPRS 流水槽与稻渔共作的技术集成耦合体，主要特点是用稻田、藕塘代替池塘进行水处理，鱼粪和残饵直接进入稻田或藕塘作肥料，鱼仍养在流水槽中，基本不占用耕地。该模式适合稻渔共作的养殖方式。</w:t>
      </w:r>
    </w:p>
    <w:p>
      <w:pPr>
        <w:ind w:firstLine="643"/>
      </w:pPr>
      <w:r>
        <w:rPr>
          <w:rFonts w:eastAsia="楷体_GB2312"/>
          <w:b/>
        </w:rPr>
        <w:t>（六）其他模式。</w:t>
      </w:r>
      <w:r>
        <w:t>包括广东推广的陆基集装箱养殖模式，即集装箱养鱼＋池塘水处理模式，湖北的“零排放”圈养模式、塘泥种草养鱼模式、植物滤床处理技术等，可因地制宜示范应用适合本地生产实际的技术模式。</w:t>
      </w:r>
    </w:p>
    <w:p>
      <w:pPr>
        <w:ind w:firstLine="640"/>
      </w:pPr>
      <w:r>
        <w:t>配套工程主要包括：进水口或泵房修缮，进水渠、闸门、蓄水池整修，池塘竣深、护坡，场区道路、桥涵、电增容，管理用房（仓库、化验室等）、育苗车间修缮，水质自动监测物联网系统及设备等。</w:t>
      </w:r>
    </w:p>
    <w:p>
      <w:pPr>
        <w:pStyle w:val="3"/>
        <w:ind w:firstLine="640"/>
      </w:pPr>
      <w:r>
        <w:t>三、水产养殖用药减量行动</w:t>
      </w:r>
    </w:p>
    <w:p>
      <w:pPr>
        <w:ind w:firstLine="640"/>
      </w:pPr>
      <w:r>
        <w:t>根据水产养殖病害发生危害的特点和预防控制的实际，坚持以防为主、防治结合的原则，重点做好五方面技术措施减少用药。</w:t>
      </w:r>
    </w:p>
    <w:p>
      <w:pPr>
        <w:ind w:firstLine="643"/>
      </w:pPr>
      <w:r>
        <w:rPr>
          <w:rFonts w:eastAsia="楷体_GB2312"/>
          <w:b/>
        </w:rPr>
        <w:t>（一）发展生态养殖减少用药。</w:t>
      </w:r>
      <w:r>
        <w:t>以生态环保、产品安全、节能减排等为导向，集成创新和示范推广一批符合生态健康养殖要求，操作简便、适宜推广的生态养殖模式。大力推广养殖尾水生态治理、配合饲料替代冰鲜幼杂鱼等生态养殖相关技术。示范推广池塘尾水处理、工厂化循环用水等先进设施装备。因地制宜示范推广稻渔综合种养、池塘工程化循环水养殖等生态养殖模式，全面提高生态防病的综合水平。</w:t>
      </w:r>
    </w:p>
    <w:p>
      <w:pPr>
        <w:ind w:firstLine="643"/>
      </w:pPr>
      <w:r>
        <w:rPr>
          <w:rFonts w:eastAsia="楷体_GB2312"/>
          <w:b/>
        </w:rPr>
        <w:t>（二）使用优质苗种减少用药。</w:t>
      </w:r>
      <w:r>
        <w:t>指导使用合法生产的优质水产苗种，苗种生产单位要依法规范进行苗种生产，确保苗种质量和不携带疫病，鼓励创建无规定水生动物疫病苗种场。对于采购外来苗种，养殖者要选择持有《水产苗种生产许可证》苗种生产单位的正规苗种，杜绝使用不明来源苗种。鼓励优先选用国家审定水产新品种，并经水产苗种产地检疫合格的水产良种。对于自繁自育的苗种，养殖者做好亲本选育和病害防控等技术措施，保障苗种质量和不染疫病，提高水产养殖动物成活率。</w:t>
      </w:r>
    </w:p>
    <w:p>
      <w:pPr>
        <w:ind w:firstLine="643"/>
      </w:pPr>
      <w:r>
        <w:rPr>
          <w:rFonts w:eastAsia="楷体_GB2312"/>
          <w:b/>
        </w:rPr>
        <w:t>（三）加强疫病防控减少用药。</w:t>
      </w:r>
      <w:r>
        <w:t>强化重大水生动物疫病监测，加强对一、二类重大水生动物疫病的应急处置，依法采取封锁、隔离、扑杀、销毁、消毒、无害化处理等强制性措施，防止疫病扩散和盲目用药。加强水产养殖动植物病情测报，掌握疾病分布和流行趋势，科学研判防控形势，及时发布预警，不断提高基层水产养殖病害防治的服务能力和水平。实施水产苗种产地检疫制度，推广应用疫苗防病，从源头降低病害发生，减少用药风险。淡水鱼类重点防控草鱼出血病、鲫造血器官坏死病、鲤浮肿病、淡水鱼细菌性败血症、水霉病等；虹鳟等冷水鱼重点防控传染性造血器官坏死病等；虾类重点防控白斑综合征、急性肝胰腺坏死病、肝肠胞虫病等。</w:t>
      </w:r>
    </w:p>
    <w:p>
      <w:pPr>
        <w:ind w:firstLine="643"/>
      </w:pPr>
      <w:r>
        <w:rPr>
          <w:rFonts w:eastAsia="楷体_GB2312"/>
          <w:b/>
        </w:rPr>
        <w:t>（四）指导规范用药减少用药。</w:t>
      </w:r>
      <w:r>
        <w:t>继续开展规范用药科普下乡活动，加大《兽药管理条例》《水产养殖用药明白纸</w:t>
      </w:r>
      <w:r>
        <w:rPr>
          <w:rFonts w:hint="eastAsia"/>
        </w:rPr>
        <w:t>2022年1、2号</w:t>
      </w:r>
      <w:r>
        <w:t>》等相关法规和知识的宣传培训，不断提高</w:t>
      </w:r>
      <w:bookmarkStart w:id="1" w:name="_GoBack"/>
      <w:bookmarkEnd w:id="1"/>
      <w:r>
        <w:t>从业者规范用药意识。教育养殖者坚决不使用孔雀石绿、硝基呋喃类等禁用药品及化合物和氧氟沙星、环丙沙星等停用药品，不使用假劣兽药和原料药、人用药，以及所谓“非药品”“动保产品”等国家未批准药品。指导养殖者按照兽药说明书注明的用法、用量、休药期等使用兽药，避免滥用药、减少用药量。贯彻《农业农村部关于加强水产养殖用投入品监管的通知》要求，做好水产养殖用投入品使用技术指导和科普宣传工作。开展水产养殖动物病原菌耐药性监测，编制适合当地的水产养殖用药抗菌谱，指导科学用药。</w:t>
      </w:r>
    </w:p>
    <w:p>
      <w:pPr>
        <w:ind w:firstLine="643"/>
      </w:pPr>
      <w:r>
        <w:rPr>
          <w:rFonts w:eastAsia="楷体_GB2312"/>
          <w:b/>
        </w:rPr>
        <w:t>（五）加强生产管理减少用药。</w:t>
      </w:r>
      <w:r>
        <w:t>指导养殖者加强养殖生产管理，落实《水产养殖质量安全管理规定》，完善水产养殖生产记录和用药记录制度，执行国家有关养殖技术规范操作要求，建立从养殖用水、生产管理、苗种质量、生产记录、饲料兽药、药残监测等全过程的水产品质量安全监控体系。各市州农业农村局和水产品质检机构，要配合做好本辖区内产地水产品兽药残留监控相关工作，为查处违法用药行为提供有力技术支撑。</w:t>
      </w:r>
    </w:p>
    <w:p>
      <w:pPr>
        <w:pStyle w:val="3"/>
        <w:ind w:firstLine="640"/>
      </w:pPr>
      <w:r>
        <w:t>四、配合饲料替代幼杂鱼行动</w:t>
      </w:r>
    </w:p>
    <w:p>
      <w:pPr>
        <w:ind w:firstLine="640"/>
      </w:pPr>
      <w:r>
        <w:t>开展配合饲料替代幼杂鱼试验，制定配合饲料替代幼杂鱼养殖技术措施，优化相关配套技术，做好前期病害防控与减量用药、养殖尾水处理等基础工作，开展配合饲料替代试验应用与对比试验，认真做好生产记录。及时进行试验情况分析，总结不同配合饲料厂家品牌、不同营养参数的替代应用效果。评估配合饲料替代成本，评价配合饲料替代养殖品种的营养品质等。根据试验效果，完成配合饲料替代幼杂鱼技术模式的性能评估和综合效益分析，探索建立配合饲料替代幼杂鱼技术评估指标体系，提出配合饲料替代幼杂鱼养殖转型升级技术解决方案。</w:t>
      </w:r>
    </w:p>
    <w:p>
      <w:pPr>
        <w:pStyle w:val="3"/>
        <w:ind w:firstLine="640"/>
      </w:pPr>
      <w:r>
        <w:t>五、水产种业质量提升行动</w:t>
      </w:r>
    </w:p>
    <w:p>
      <w:pPr>
        <w:ind w:firstLine="640"/>
      </w:pPr>
      <w:r>
        <w:t>水产种业质量提升行动分为水产种质资源场建设、水产种业育繁推一体化建设、品种测试站建设和繁种基地建设4个方向，经营主体根据自身实际情况选择其中一个或多个方向建设。</w:t>
      </w:r>
    </w:p>
    <w:p>
      <w:pPr>
        <w:ind w:firstLine="643"/>
        <w:rPr>
          <w:b/>
        </w:rPr>
      </w:pPr>
      <w:r>
        <w:rPr>
          <w:rFonts w:eastAsia="楷体_GB2312"/>
          <w:b/>
        </w:rPr>
        <w:t>（一）水产种质资源场建设。</w:t>
      </w:r>
      <w:r>
        <w:t>根据现代种业发展要求，突出薄弱环节、优势区域，聚焦主要品种，系统构建分级分类渔业生物种质资源保存体系，优先支持基础条件好的水产原良种场，建设完善一批种质资源场。项目建成后，水产原良种基础群体保存能力提高50%以上，优质亲本供应数量增加20%以上，种质保存和选育水平明显提升。主要包括建设催产和孵化车间、亲本池、苗种培育池等生产设施，配套进排水、电力、道路、动物无害化处理等工程，购置常规生物学仪器、水处理系统。</w:t>
      </w:r>
    </w:p>
    <w:p>
      <w:pPr>
        <w:ind w:firstLine="643"/>
        <w:rPr>
          <w:b/>
        </w:rPr>
      </w:pPr>
      <w:r>
        <w:rPr>
          <w:rFonts w:eastAsia="楷体_GB2312"/>
          <w:b/>
        </w:rPr>
        <w:t>（二）水产种业育繁推一体化建设。</w:t>
      </w:r>
      <w:r>
        <w:t>支持国家级水产原良种场或育繁推一体化大型水产种业企业，建设水产种业育繁推一体化示范。建成后，育种条件得到明显改善，育种创新能力显著提升，企业育繁推一体化发展能力明显增强。主要包括建设核心群体保存池、备份基地、催产和孵化车间、隔离检疫池等种质搜集保存设施，以及育种实验室、培育池、遗传性能对比测试设施，配套水处理系统、育种管理数据库、动物无害化处理设施等，购置实验室仪器、标记设备、在线监测设备等。</w:t>
      </w:r>
    </w:p>
    <w:p>
      <w:pPr>
        <w:ind w:firstLine="643"/>
        <w:rPr>
          <w:b/>
        </w:rPr>
      </w:pPr>
      <w:r>
        <w:rPr>
          <w:rFonts w:eastAsia="楷体_GB2312"/>
          <w:b/>
        </w:rPr>
        <w:t>（三）品种测试站建设。</w:t>
      </w:r>
      <w:r>
        <w:t>对重点水产新品种先行先试，开展水产新品种生产性能测试，为新品种保护、推广和市场监管提供技术支撑，优先支持基础条件好的省级及以上水产科研院所、水产推广机构和水产原良种场，建设一批水产新品种测试站。建成后，水产新品种生产性能测试相关基础条件、技术水平和公信力明显提升。主要包括建设隔离检疫设施、实验用房、测试车间、试验池塘等，配套进排水系统、养殖尾水处理、动物无害化处理等附属设施工程，购置科研生产仪器和性能测试软件系统等；构建远程在线监测等物联网系统和测定信息处理平台。</w:t>
      </w:r>
    </w:p>
    <w:p>
      <w:pPr>
        <w:ind w:firstLine="643"/>
      </w:pPr>
      <w:r>
        <w:rPr>
          <w:rFonts w:eastAsia="楷体_GB2312"/>
          <w:b/>
        </w:rPr>
        <w:t>（四）繁种基地建设。</w:t>
      </w:r>
      <w:r>
        <w:t>支持省级以上水产原良种场或育繁推一体化大型水产种业企业，建设水产种业繁育基地。建成后，扩繁条件得到明显改善，优质亲本和种苗供应能力显著提升。主要包括建设亲本保存与培育池、孵化繁育车间、隔离检疫池、苗种培育池、投入品仓库等工程，配套进排水系统、尾水处理、电力线路、动物无害化处理等设施，购置生产运输装备。</w:t>
      </w:r>
    </w:p>
    <w:p>
      <w:pPr>
        <w:pStyle w:val="3"/>
        <w:ind w:firstLine="0" w:firstLineChars="0"/>
      </w:pPr>
      <w:r>
        <w:br w:type="page"/>
      </w:r>
      <w:r>
        <w:t>附件3</w:t>
      </w:r>
    </w:p>
    <w:p>
      <w:pPr>
        <w:keepNext/>
        <w:keepLines/>
        <w:spacing w:before="144" w:beforeLines="25" w:after="144" w:afterLines="25" w:line="500" w:lineRule="exact"/>
        <w:ind w:firstLine="0" w:firstLineChars="0"/>
        <w:jc w:val="center"/>
        <w:outlineLvl w:val="0"/>
        <w:rPr>
          <w:rFonts w:eastAsia="等线"/>
          <w:color w:val="000000"/>
        </w:rPr>
      </w:pPr>
      <w:r>
        <w:rPr>
          <w:rFonts w:eastAsia="方正小标宋简体"/>
          <w:bCs/>
          <w:color w:val="000000"/>
          <w:kern w:val="44"/>
          <w:sz w:val="36"/>
          <w:szCs w:val="36"/>
        </w:rPr>
        <w:t>“五大行动”骨干基地创建标准及验收评分表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7509"/>
        <w:gridCol w:w="128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95" w:hRule="atLeast"/>
          <w:jc w:val="center"/>
        </w:trPr>
        <w:tc>
          <w:tcPr>
            <w:tcW w:w="1191" w:type="dxa"/>
            <w:noWrap w:val="0"/>
            <w:vAlign w:val="center"/>
          </w:tcPr>
          <w:p>
            <w:pPr>
              <w:spacing w:line="320" w:lineRule="exact"/>
              <w:ind w:firstLine="0" w:firstLineChars="0"/>
              <w:jc w:val="center"/>
              <w:rPr>
                <w:color w:val="000000"/>
                <w:sz w:val="21"/>
                <w:szCs w:val="21"/>
              </w:rPr>
            </w:pPr>
            <w:r>
              <w:rPr>
                <w:color w:val="000000"/>
                <w:sz w:val="21"/>
                <w:szCs w:val="21"/>
              </w:rPr>
              <w:t>单位名称（填写公章名称）</w:t>
            </w:r>
          </w:p>
        </w:tc>
        <w:tc>
          <w:tcPr>
            <w:tcW w:w="9518" w:type="dxa"/>
            <w:gridSpan w:val="3"/>
            <w:noWrap w:val="0"/>
            <w:vAlign w:val="center"/>
          </w:tcPr>
          <w:p>
            <w:pPr>
              <w:spacing w:line="320" w:lineRule="exact"/>
              <w:ind w:firstLine="0" w:firstLineChars="0"/>
              <w:rPr>
                <w:color w:val="000000"/>
                <w:sz w:val="21"/>
                <w:szCs w:val="21"/>
              </w:rPr>
            </w:pPr>
          </w:p>
          <w:p>
            <w:pPr>
              <w:spacing w:line="320" w:lineRule="exact"/>
              <w:ind w:firstLine="0" w:firstLineChars="0"/>
              <w:rPr>
                <w:color w:val="000000"/>
                <w:sz w:val="21"/>
                <w:szCs w:val="21"/>
              </w:rPr>
            </w:pPr>
          </w:p>
          <w:p>
            <w:pPr>
              <w:spacing w:line="320" w:lineRule="exact"/>
              <w:ind w:firstLine="0" w:firstLineChars="0"/>
              <w:rPr>
                <w:color w:val="000000"/>
                <w:sz w:val="21"/>
                <w:szCs w:val="21"/>
              </w:rPr>
            </w:pPr>
          </w:p>
          <w:p>
            <w:pPr>
              <w:spacing w:line="320" w:lineRule="exact"/>
              <w:ind w:firstLine="0" w:firstLineChars="0"/>
              <w:rPr>
                <w:color w:val="000000"/>
                <w:sz w:val="21"/>
                <w:szCs w:val="21"/>
              </w:rPr>
            </w:pPr>
            <w:r>
              <w:rPr>
                <w:color w:val="000000"/>
                <w:sz w:val="21"/>
                <w:szCs w:val="21"/>
              </w:rPr>
              <w:t>（请认真核对填写，必须加盖本单位公章，无公章此表无效）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86" w:hRule="atLeast"/>
          <w:jc w:val="center"/>
        </w:trPr>
        <w:tc>
          <w:tcPr>
            <w:tcW w:w="1191" w:type="dxa"/>
            <w:noWrap w:val="0"/>
            <w:vAlign w:val="center"/>
          </w:tcPr>
          <w:p>
            <w:pPr>
              <w:spacing w:line="320" w:lineRule="exact"/>
              <w:ind w:firstLine="0" w:firstLineChars="0"/>
              <w:jc w:val="center"/>
              <w:rPr>
                <w:rFonts w:hint="eastAsia" w:ascii="仿宋_GB2312"/>
                <w:color w:val="000000"/>
                <w:sz w:val="21"/>
                <w:szCs w:val="21"/>
              </w:rPr>
            </w:pPr>
            <w:r>
              <w:rPr>
                <w:rFonts w:hint="eastAsia" w:ascii="仿宋_GB2312"/>
                <w:color w:val="000000"/>
                <w:sz w:val="21"/>
                <w:szCs w:val="21"/>
              </w:rPr>
              <w:t>单位性质（请在□</w:t>
            </w:r>
          </w:p>
          <w:p>
            <w:pPr>
              <w:spacing w:line="320" w:lineRule="exact"/>
              <w:ind w:firstLine="0" w:firstLineChars="0"/>
              <w:jc w:val="center"/>
              <w:rPr>
                <w:rFonts w:hint="eastAsia" w:ascii="仿宋_GB2312"/>
                <w:color w:val="000000"/>
                <w:sz w:val="21"/>
                <w:szCs w:val="21"/>
              </w:rPr>
            </w:pPr>
            <w:r>
              <w:rPr>
                <w:rFonts w:hint="eastAsia" w:ascii="仿宋_GB2312"/>
                <w:color w:val="000000"/>
                <w:sz w:val="21"/>
                <w:szCs w:val="21"/>
              </w:rPr>
              <w:t>内划√）</w:t>
            </w:r>
          </w:p>
        </w:tc>
        <w:tc>
          <w:tcPr>
            <w:tcW w:w="7509" w:type="dxa"/>
            <w:noWrap w:val="0"/>
            <w:vAlign w:val="center"/>
          </w:tcPr>
          <w:p>
            <w:pPr>
              <w:spacing w:line="320" w:lineRule="exact"/>
              <w:ind w:firstLine="0" w:firstLineChars="0"/>
              <w:rPr>
                <w:rFonts w:hint="eastAsia" w:ascii="仿宋_GB2312"/>
                <w:color w:val="000000"/>
                <w:sz w:val="21"/>
                <w:szCs w:val="21"/>
              </w:rPr>
            </w:pPr>
            <w:r>
              <w:rPr>
                <w:rFonts w:hint="eastAsia" w:ascii="仿宋_GB2312"/>
                <w:color w:val="000000"/>
                <w:sz w:val="21"/>
                <w:szCs w:val="21"/>
              </w:rPr>
              <w:t>国家级现代渔业种业示范基地□   国家级水产健康养殖示范场□   国家级休闲渔业示范基地□    省级及以上水产龙头企业□    省级及以上水产原良种场□  省级以上农民专业合作示范社□   其他□（请说明）</w:t>
            </w:r>
          </w:p>
        </w:tc>
        <w:tc>
          <w:tcPr>
            <w:tcW w:w="1288" w:type="dxa"/>
            <w:noWrap w:val="0"/>
            <w:vAlign w:val="center"/>
          </w:tcPr>
          <w:p>
            <w:pPr>
              <w:spacing w:line="320" w:lineRule="exact"/>
              <w:ind w:firstLine="0" w:firstLineChars="0"/>
              <w:jc w:val="center"/>
              <w:rPr>
                <w:color w:val="000000"/>
                <w:sz w:val="21"/>
                <w:szCs w:val="21"/>
              </w:rPr>
            </w:pPr>
            <w:r>
              <w:rPr>
                <w:color w:val="000000"/>
                <w:sz w:val="21"/>
                <w:szCs w:val="21"/>
              </w:rPr>
              <w:t>是否有工商登记（填是或否）</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4" w:hRule="atLeast"/>
          <w:jc w:val="center"/>
        </w:trPr>
        <w:tc>
          <w:tcPr>
            <w:tcW w:w="1191" w:type="dxa"/>
            <w:noWrap w:val="0"/>
            <w:vAlign w:val="center"/>
          </w:tcPr>
          <w:p>
            <w:pPr>
              <w:spacing w:line="320" w:lineRule="exact"/>
              <w:ind w:firstLine="0" w:firstLineChars="0"/>
              <w:jc w:val="center"/>
              <w:rPr>
                <w:color w:val="000000"/>
                <w:sz w:val="21"/>
                <w:szCs w:val="21"/>
              </w:rPr>
            </w:pPr>
            <w:r>
              <w:rPr>
                <w:color w:val="000000"/>
                <w:sz w:val="21"/>
                <w:szCs w:val="21"/>
              </w:rPr>
              <w:t>总体要求</w:t>
            </w:r>
          </w:p>
        </w:tc>
        <w:tc>
          <w:tcPr>
            <w:tcW w:w="7509" w:type="dxa"/>
            <w:noWrap w:val="0"/>
            <w:vAlign w:val="center"/>
          </w:tcPr>
          <w:p>
            <w:pPr>
              <w:spacing w:line="320" w:lineRule="exact"/>
              <w:ind w:firstLine="0" w:firstLineChars="0"/>
              <w:jc w:val="center"/>
              <w:rPr>
                <w:color w:val="000000"/>
                <w:sz w:val="21"/>
                <w:szCs w:val="21"/>
              </w:rPr>
            </w:pPr>
            <w:r>
              <w:rPr>
                <w:color w:val="000000"/>
                <w:sz w:val="21"/>
                <w:szCs w:val="21"/>
              </w:rPr>
              <w:t>创建标准</w:t>
            </w:r>
          </w:p>
        </w:tc>
        <w:tc>
          <w:tcPr>
            <w:tcW w:w="1288" w:type="dxa"/>
            <w:noWrap w:val="0"/>
            <w:vAlign w:val="center"/>
          </w:tcPr>
          <w:p>
            <w:pPr>
              <w:spacing w:line="320" w:lineRule="exact"/>
              <w:ind w:firstLine="0" w:firstLineChars="0"/>
              <w:jc w:val="center"/>
              <w:rPr>
                <w:color w:val="000000"/>
                <w:sz w:val="21"/>
                <w:szCs w:val="21"/>
              </w:rPr>
            </w:pPr>
            <w:r>
              <w:rPr>
                <w:color w:val="000000"/>
                <w:sz w:val="21"/>
                <w:szCs w:val="21"/>
              </w:rPr>
              <w:t>分值</w:t>
            </w:r>
          </w:p>
        </w:tc>
        <w:tc>
          <w:tcPr>
            <w:tcW w:w="721" w:type="dxa"/>
            <w:noWrap w:val="0"/>
            <w:vAlign w:val="center"/>
          </w:tcPr>
          <w:p>
            <w:pPr>
              <w:spacing w:line="320" w:lineRule="exact"/>
              <w:ind w:firstLine="0" w:firstLineChars="0"/>
              <w:jc w:val="center"/>
              <w:rPr>
                <w:color w:val="000000"/>
                <w:sz w:val="21"/>
                <w:szCs w:val="21"/>
              </w:rPr>
            </w:pPr>
            <w:r>
              <w:rPr>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9" w:hRule="atLeast"/>
          <w:jc w:val="center"/>
        </w:trPr>
        <w:tc>
          <w:tcPr>
            <w:tcW w:w="1191" w:type="dxa"/>
            <w:vMerge w:val="restart"/>
            <w:noWrap w:val="0"/>
            <w:vAlign w:val="center"/>
          </w:tcPr>
          <w:p>
            <w:pPr>
              <w:spacing w:line="320" w:lineRule="exact"/>
              <w:ind w:firstLine="0" w:firstLineChars="0"/>
              <w:jc w:val="center"/>
              <w:rPr>
                <w:color w:val="000000"/>
                <w:sz w:val="21"/>
                <w:szCs w:val="21"/>
              </w:rPr>
            </w:pPr>
            <w:r>
              <w:rPr>
                <w:color w:val="000000"/>
                <w:sz w:val="21"/>
                <w:szCs w:val="21"/>
              </w:rPr>
              <w:t>一、完善</w:t>
            </w:r>
          </w:p>
          <w:p>
            <w:pPr>
              <w:spacing w:line="320" w:lineRule="exact"/>
              <w:ind w:firstLine="0" w:firstLineChars="0"/>
              <w:jc w:val="center"/>
              <w:rPr>
                <w:color w:val="000000"/>
                <w:sz w:val="21"/>
                <w:szCs w:val="21"/>
              </w:rPr>
            </w:pPr>
            <w:r>
              <w:rPr>
                <w:color w:val="000000"/>
                <w:sz w:val="21"/>
                <w:szCs w:val="21"/>
              </w:rPr>
              <w:t>基础条件</w:t>
            </w:r>
          </w:p>
          <w:p>
            <w:pPr>
              <w:spacing w:line="320" w:lineRule="exact"/>
              <w:ind w:firstLine="0" w:firstLineChars="0"/>
              <w:jc w:val="center"/>
              <w:rPr>
                <w:color w:val="000000"/>
                <w:sz w:val="21"/>
                <w:szCs w:val="21"/>
              </w:rPr>
            </w:pPr>
            <w:r>
              <w:rPr>
                <w:color w:val="000000"/>
                <w:sz w:val="21"/>
                <w:szCs w:val="21"/>
              </w:rPr>
              <w:t>（10分）</w:t>
            </w:r>
          </w:p>
        </w:tc>
        <w:tc>
          <w:tcPr>
            <w:tcW w:w="7509" w:type="dxa"/>
            <w:noWrap w:val="0"/>
            <w:vAlign w:val="center"/>
          </w:tcPr>
          <w:p>
            <w:pPr>
              <w:spacing w:line="320" w:lineRule="exact"/>
              <w:ind w:firstLine="0" w:firstLineChars="0"/>
              <w:rPr>
                <w:color w:val="000000"/>
                <w:sz w:val="21"/>
                <w:szCs w:val="21"/>
              </w:rPr>
            </w:pPr>
            <w:r>
              <w:rPr>
                <w:color w:val="000000"/>
                <w:sz w:val="21"/>
                <w:szCs w:val="21"/>
              </w:rPr>
              <w:t>1.场区环境整洁、优美，养殖废弃物有效治理（2分），有配套生产生活垃圾集中处理设施设备且正常使用（1分）。</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3</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9" w:hRule="atLeast"/>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2.配备水质检测仪器设备且正常使用（1分）。养殖用水符合《无公害食品淡水养殖用水水质》标准（查验水质检测报告）或更高标准（1分）。</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2</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4" w:hRule="atLeast"/>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3.养殖用基础设施设备正常使用（1分），用电设施完备且维护良好（1分）。</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2</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20" w:hRule="atLeast"/>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4.有国家级现代渔业种业示范基地、国家级水产健康养殖示范场、国家级休闲渔业示范基地、省级及以上水产龙头企业或省级及以上水产原良种场等其中一项资质，得3分。</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3</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54" w:hRule="atLeast"/>
          <w:jc w:val="center"/>
        </w:trPr>
        <w:tc>
          <w:tcPr>
            <w:tcW w:w="1191" w:type="dxa"/>
            <w:vMerge w:val="restart"/>
            <w:noWrap w:val="0"/>
            <w:vAlign w:val="center"/>
          </w:tcPr>
          <w:p>
            <w:pPr>
              <w:spacing w:line="320" w:lineRule="exact"/>
              <w:ind w:firstLine="0" w:firstLineChars="0"/>
              <w:jc w:val="center"/>
              <w:rPr>
                <w:color w:val="000000"/>
                <w:sz w:val="21"/>
                <w:szCs w:val="21"/>
              </w:rPr>
            </w:pPr>
            <w:r>
              <w:rPr>
                <w:color w:val="000000"/>
                <w:sz w:val="21"/>
                <w:szCs w:val="21"/>
              </w:rPr>
              <w:t>二、落实</w:t>
            </w:r>
          </w:p>
          <w:p>
            <w:pPr>
              <w:spacing w:line="320" w:lineRule="exact"/>
              <w:ind w:firstLine="0" w:firstLineChars="0"/>
              <w:jc w:val="center"/>
              <w:rPr>
                <w:color w:val="000000"/>
                <w:sz w:val="21"/>
                <w:szCs w:val="21"/>
              </w:rPr>
            </w:pPr>
            <w:r>
              <w:rPr>
                <w:color w:val="000000"/>
                <w:sz w:val="21"/>
                <w:szCs w:val="21"/>
              </w:rPr>
              <w:t>管理制度</w:t>
            </w:r>
          </w:p>
          <w:p>
            <w:pPr>
              <w:spacing w:line="320" w:lineRule="exact"/>
              <w:ind w:firstLine="0" w:firstLineChars="0"/>
              <w:jc w:val="center"/>
              <w:rPr>
                <w:color w:val="000000"/>
                <w:sz w:val="21"/>
                <w:szCs w:val="21"/>
              </w:rPr>
            </w:pPr>
            <w:r>
              <w:rPr>
                <w:color w:val="000000"/>
                <w:sz w:val="21"/>
                <w:szCs w:val="21"/>
              </w:rPr>
              <w:t>（15分）</w:t>
            </w:r>
          </w:p>
        </w:tc>
        <w:tc>
          <w:tcPr>
            <w:tcW w:w="7509" w:type="dxa"/>
            <w:noWrap w:val="0"/>
            <w:vAlign w:val="center"/>
          </w:tcPr>
          <w:p>
            <w:pPr>
              <w:spacing w:line="320" w:lineRule="exact"/>
              <w:ind w:firstLine="0" w:firstLineChars="0"/>
              <w:rPr>
                <w:color w:val="000000"/>
                <w:sz w:val="21"/>
                <w:szCs w:val="21"/>
              </w:rPr>
            </w:pPr>
            <w:r>
              <w:rPr>
                <w:color w:val="000000"/>
                <w:sz w:val="21"/>
                <w:szCs w:val="21"/>
              </w:rPr>
              <w:t>5.水产苗种来源于有生产资质的单位（查验进货发票或凭证，生产企业的水产苗种生产许可证）（1分）。苗种经产地检疫（查验动物检疫合格证明）（1分）。</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2</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9" w:hRule="atLeast"/>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6.渔用饲料符合国家政策规定要求（查验进货发票或凭证）（1分）；设置独立饲料仓库（1分）。</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2</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58" w:hRule="atLeast"/>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7.水产养殖生产记录内容详细完整准确（1分），水产养殖生产记录保存至售后2年以上（1分）。水产品销售记录内容详细完整准确（1分）。建立自行或委托检测机构水产品质量安全状况检测制度（1分）。</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4</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3" w:hRule="atLeast"/>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8.病死水生动物按照《染疫水生动物无害化处理规程》标准进行无害化处理（查无害化处理记录）。</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2</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3" w:hRule="atLeast"/>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9.按时按要求报送申报材料（1分）、实施方案（1分）、半年总结（1分）、年度总结（1分）和创建工作资料汇编（1分）。</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5</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1191" w:type="dxa"/>
            <w:vMerge w:val="restart"/>
            <w:noWrap w:val="0"/>
            <w:vAlign w:val="center"/>
          </w:tcPr>
          <w:p>
            <w:pPr>
              <w:spacing w:line="320" w:lineRule="exact"/>
              <w:ind w:firstLine="0" w:firstLineChars="0"/>
              <w:jc w:val="center"/>
              <w:rPr>
                <w:color w:val="000000"/>
                <w:sz w:val="21"/>
                <w:szCs w:val="21"/>
              </w:rPr>
            </w:pPr>
            <w:r>
              <w:rPr>
                <w:color w:val="000000"/>
                <w:sz w:val="21"/>
                <w:szCs w:val="21"/>
              </w:rPr>
              <w:t>三、保障</w:t>
            </w:r>
          </w:p>
          <w:p>
            <w:pPr>
              <w:spacing w:line="320" w:lineRule="exact"/>
              <w:ind w:firstLine="0" w:firstLineChars="0"/>
              <w:jc w:val="center"/>
              <w:rPr>
                <w:color w:val="000000"/>
                <w:sz w:val="21"/>
                <w:szCs w:val="21"/>
              </w:rPr>
            </w:pPr>
            <w:r>
              <w:rPr>
                <w:color w:val="000000"/>
                <w:sz w:val="21"/>
                <w:szCs w:val="21"/>
              </w:rPr>
              <w:t>创建质量</w:t>
            </w:r>
          </w:p>
          <w:p>
            <w:pPr>
              <w:spacing w:line="320" w:lineRule="exact"/>
              <w:ind w:firstLine="0" w:firstLineChars="0"/>
              <w:jc w:val="center"/>
              <w:rPr>
                <w:color w:val="000000"/>
                <w:sz w:val="21"/>
                <w:szCs w:val="21"/>
              </w:rPr>
            </w:pPr>
            <w:r>
              <w:rPr>
                <w:color w:val="000000"/>
                <w:sz w:val="21"/>
                <w:szCs w:val="21"/>
              </w:rPr>
              <w:t>（40分）</w:t>
            </w:r>
          </w:p>
        </w:tc>
        <w:tc>
          <w:tcPr>
            <w:tcW w:w="7509" w:type="dxa"/>
            <w:noWrap w:val="0"/>
            <w:vAlign w:val="center"/>
          </w:tcPr>
          <w:p>
            <w:pPr>
              <w:spacing w:line="320" w:lineRule="exact"/>
              <w:ind w:firstLine="0" w:firstLineChars="0"/>
              <w:rPr>
                <w:color w:val="000000"/>
                <w:sz w:val="21"/>
                <w:szCs w:val="21"/>
              </w:rPr>
            </w:pPr>
            <w:r>
              <w:rPr>
                <w:color w:val="000000"/>
                <w:sz w:val="21"/>
                <w:szCs w:val="21"/>
              </w:rPr>
              <w:t>10.验收材料完整真实（2分），根据评分表的每项创建标准提供相应的佐证材料（2分）。</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4</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11.按照实施方案，完成相关建设、改造内容，完成相关仪器设备购置等（核实佐证材料和现场验收），全部完成得8分，部分完成按比例扣分。</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8</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6" w:hRule="atLeast"/>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12.项目账目清楚，合同、往来票据等佐证材料齐全。</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6</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13.在中央主流媒体上进行政策实施成效宣传或报送的有关简报材料得到省部级（含）以上领导同志肯定性批示（5分）；在省级主流媒体上宣传报道（3分）；在地市级（含）以下新闻媒体宣传（1分），未在新闻媒体上宣传不得分。</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5</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14.以交流研讨、现场观摩的形式，组织开展技术模式示范推广至少1次（2分）。积极主动为养殖户提供健康养殖技术咨询和培训服务，示范带动周边养殖渔民20户以上，每年培训50人次以上（2分）。</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4</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3" w:hRule="atLeast"/>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15.组织开展水产养殖科普用药科普下乡活动，按时上报活动总结（2分）。</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2</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1" w:hRule="atLeast"/>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16.总结提炼科学、合理、适用的技术模式、操作规范。</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5</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17.获得绿色食品或有机食品等有关产品质量管理认证，或通过ISO9001等标准化认证，或有农产品地理标志登记，且在有效期内。</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3</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0" w:hRule="atLeast"/>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18.开展智慧养殖示范，引入物联网、大数据、人工智能等现代信息技术。</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3</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1191" w:type="dxa"/>
            <w:vMerge w:val="restart"/>
            <w:noWrap w:val="0"/>
            <w:vAlign w:val="center"/>
          </w:tcPr>
          <w:p>
            <w:pPr>
              <w:spacing w:line="320" w:lineRule="exact"/>
              <w:ind w:firstLine="0" w:firstLineChars="0"/>
              <w:jc w:val="center"/>
              <w:rPr>
                <w:color w:val="000000"/>
                <w:sz w:val="21"/>
                <w:szCs w:val="21"/>
              </w:rPr>
            </w:pPr>
            <w:r>
              <w:rPr>
                <w:color w:val="000000"/>
                <w:sz w:val="21"/>
                <w:szCs w:val="21"/>
              </w:rPr>
              <w:t>四、完成</w:t>
            </w:r>
          </w:p>
          <w:p>
            <w:pPr>
              <w:spacing w:line="320" w:lineRule="exact"/>
              <w:ind w:firstLine="0" w:firstLineChars="0"/>
              <w:jc w:val="center"/>
              <w:rPr>
                <w:color w:val="000000"/>
                <w:sz w:val="21"/>
                <w:szCs w:val="21"/>
              </w:rPr>
            </w:pPr>
            <w:r>
              <w:rPr>
                <w:color w:val="000000"/>
                <w:sz w:val="21"/>
                <w:szCs w:val="21"/>
              </w:rPr>
              <w:t>创建目标</w:t>
            </w:r>
          </w:p>
          <w:p>
            <w:pPr>
              <w:spacing w:line="320" w:lineRule="exact"/>
              <w:ind w:firstLine="0" w:firstLineChars="0"/>
              <w:jc w:val="center"/>
              <w:rPr>
                <w:color w:val="000000"/>
                <w:sz w:val="21"/>
                <w:szCs w:val="21"/>
              </w:rPr>
            </w:pPr>
            <w:r>
              <w:rPr>
                <w:color w:val="000000"/>
                <w:sz w:val="21"/>
                <w:szCs w:val="21"/>
              </w:rPr>
              <w:t>（35分）</w:t>
            </w:r>
          </w:p>
        </w:tc>
        <w:tc>
          <w:tcPr>
            <w:tcW w:w="7509" w:type="dxa"/>
            <w:noWrap w:val="0"/>
            <w:vAlign w:val="center"/>
          </w:tcPr>
          <w:p>
            <w:pPr>
              <w:spacing w:line="320" w:lineRule="exact"/>
              <w:ind w:firstLine="0" w:firstLineChars="0"/>
              <w:rPr>
                <w:color w:val="000000"/>
                <w:sz w:val="21"/>
                <w:szCs w:val="21"/>
              </w:rPr>
            </w:pPr>
            <w:r>
              <w:rPr>
                <w:color w:val="000000"/>
                <w:sz w:val="21"/>
                <w:szCs w:val="21"/>
              </w:rPr>
              <w:t>19.生态健康养殖行动：完成生态健康养殖设施建设并投入使用（5分），实现一种或多种生态健康养殖模式（3分），取得良好的经济效益、生态效益（2分）。</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10</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20.养殖尾水治理行动：完成养殖尾水治理设施建设并投入使用（7分）。查验水质检测报告，《湖南省水产养殖尾水污染物排放标准》（DB43/ 1752-2020)中五项指标的每一项指标分值为1分。</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12</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21.水产养殖用药减量行动：水产养殖用兽药应符合国家政策规定要求（查验进货发票或凭证、企业的兽药经营许可证）、符合《兽药管理条例》（兽用处方药查验处方）（1分）；使用有休药期的水产养殖用兽药严格执行休药期（查用药记录）（1分）；依法建立水产养殖用药记录制度，按时记载，内容详细完整准确（1分）。兽药和抗生素类兽药使用量同比分别减少5%和10%以上（2分）。</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5</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22.配合饲料替代幼杂鱼行动：大口黑鲈、鳜等配合饲料替代率不低于80%；乌鳢、黄鳝、鲶等配合饲料替代率不低于60%。</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3</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91" w:type="dxa"/>
            <w:vMerge w:val="continue"/>
            <w:noWrap w:val="0"/>
            <w:vAlign w:val="center"/>
          </w:tcPr>
          <w:p>
            <w:pPr>
              <w:widowControl/>
              <w:spacing w:line="320" w:lineRule="exact"/>
              <w:ind w:firstLine="0" w:firstLineChars="0"/>
              <w:jc w:val="left"/>
              <w:rPr>
                <w:color w:val="000000"/>
                <w:sz w:val="21"/>
                <w:szCs w:val="21"/>
              </w:rPr>
            </w:pPr>
          </w:p>
        </w:tc>
        <w:tc>
          <w:tcPr>
            <w:tcW w:w="7509" w:type="dxa"/>
            <w:noWrap w:val="0"/>
            <w:vAlign w:val="center"/>
          </w:tcPr>
          <w:p>
            <w:pPr>
              <w:spacing w:line="320" w:lineRule="exact"/>
              <w:ind w:firstLine="0" w:firstLineChars="0"/>
              <w:rPr>
                <w:color w:val="000000"/>
                <w:sz w:val="21"/>
                <w:szCs w:val="21"/>
              </w:rPr>
            </w:pPr>
            <w:r>
              <w:rPr>
                <w:color w:val="000000"/>
                <w:sz w:val="21"/>
                <w:szCs w:val="21"/>
              </w:rPr>
              <w:t>23.水产种业质量提升行动：完成水产种业质量提升设施建设并投入使用（2分），开展良种良法技术集成及水产新品种试验示范推广（3分）。</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5</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8700" w:type="dxa"/>
            <w:gridSpan w:val="2"/>
            <w:noWrap w:val="0"/>
            <w:vAlign w:val="center"/>
          </w:tcPr>
          <w:p>
            <w:pPr>
              <w:spacing w:line="320" w:lineRule="exact"/>
              <w:ind w:firstLine="0" w:firstLineChars="0"/>
              <w:jc w:val="center"/>
              <w:rPr>
                <w:color w:val="000000"/>
                <w:sz w:val="21"/>
                <w:szCs w:val="21"/>
              </w:rPr>
            </w:pPr>
            <w:r>
              <w:rPr>
                <w:color w:val="000000"/>
                <w:sz w:val="21"/>
                <w:szCs w:val="21"/>
              </w:rPr>
              <w:t>合计</w:t>
            </w:r>
          </w:p>
        </w:tc>
        <w:tc>
          <w:tcPr>
            <w:tcW w:w="1288" w:type="dxa"/>
            <w:noWrap w:val="0"/>
            <w:vAlign w:val="center"/>
          </w:tcPr>
          <w:p>
            <w:pPr>
              <w:spacing w:line="320" w:lineRule="exact"/>
              <w:ind w:firstLine="0" w:firstLineChars="0"/>
              <w:jc w:val="center"/>
              <w:rPr>
                <w:b/>
                <w:color w:val="000000"/>
                <w:sz w:val="21"/>
                <w:szCs w:val="21"/>
              </w:rPr>
            </w:pPr>
            <w:r>
              <w:rPr>
                <w:b/>
                <w:color w:val="000000"/>
                <w:sz w:val="21"/>
                <w:szCs w:val="21"/>
              </w:rPr>
              <w:t>100</w:t>
            </w:r>
          </w:p>
        </w:tc>
        <w:tc>
          <w:tcPr>
            <w:tcW w:w="721" w:type="dxa"/>
            <w:noWrap w:val="0"/>
            <w:vAlign w:val="center"/>
          </w:tcPr>
          <w:p>
            <w:pPr>
              <w:spacing w:line="320" w:lineRule="exact"/>
              <w:ind w:firstLine="0" w:firstLineChars="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1191" w:type="dxa"/>
            <w:noWrap w:val="0"/>
            <w:vAlign w:val="center"/>
          </w:tcPr>
          <w:p>
            <w:pPr>
              <w:spacing w:line="320" w:lineRule="exact"/>
              <w:ind w:firstLine="0" w:firstLineChars="0"/>
              <w:jc w:val="center"/>
              <w:rPr>
                <w:color w:val="000000"/>
                <w:sz w:val="21"/>
                <w:szCs w:val="21"/>
              </w:rPr>
            </w:pPr>
            <w:r>
              <w:rPr>
                <w:color w:val="000000"/>
                <w:sz w:val="21"/>
                <w:szCs w:val="21"/>
              </w:rPr>
              <w:t>验收评分</w:t>
            </w:r>
          </w:p>
        </w:tc>
        <w:tc>
          <w:tcPr>
            <w:tcW w:w="9518" w:type="dxa"/>
            <w:gridSpan w:val="3"/>
            <w:noWrap w:val="0"/>
            <w:vAlign w:val="center"/>
          </w:tcPr>
          <w:p>
            <w:pPr>
              <w:spacing w:line="320" w:lineRule="exact"/>
              <w:ind w:firstLine="0" w:firstLineChars="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1191" w:type="dxa"/>
            <w:noWrap w:val="0"/>
            <w:vAlign w:val="center"/>
          </w:tcPr>
          <w:p>
            <w:pPr>
              <w:spacing w:line="320" w:lineRule="exact"/>
              <w:ind w:firstLine="0" w:firstLineChars="0"/>
              <w:jc w:val="center"/>
              <w:rPr>
                <w:color w:val="000000"/>
                <w:sz w:val="21"/>
                <w:szCs w:val="21"/>
              </w:rPr>
            </w:pPr>
            <w:r>
              <w:rPr>
                <w:color w:val="000000"/>
                <w:sz w:val="21"/>
                <w:szCs w:val="21"/>
              </w:rPr>
              <w:t>计分说明</w:t>
            </w:r>
          </w:p>
        </w:tc>
        <w:tc>
          <w:tcPr>
            <w:tcW w:w="9518" w:type="dxa"/>
            <w:gridSpan w:val="3"/>
            <w:noWrap w:val="0"/>
            <w:vAlign w:val="center"/>
          </w:tcPr>
          <w:p>
            <w:pPr>
              <w:spacing w:line="320" w:lineRule="exact"/>
              <w:ind w:firstLine="0" w:firstLineChars="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191" w:type="dxa"/>
            <w:noWrap w:val="0"/>
            <w:vAlign w:val="center"/>
          </w:tcPr>
          <w:p>
            <w:pPr>
              <w:spacing w:line="320" w:lineRule="exact"/>
              <w:ind w:firstLine="0" w:firstLineChars="0"/>
              <w:jc w:val="center"/>
              <w:rPr>
                <w:color w:val="000000"/>
                <w:sz w:val="21"/>
                <w:szCs w:val="21"/>
              </w:rPr>
            </w:pPr>
            <w:r>
              <w:rPr>
                <w:color w:val="000000"/>
                <w:sz w:val="21"/>
                <w:szCs w:val="21"/>
              </w:rPr>
              <w:t>验收组</w:t>
            </w:r>
          </w:p>
          <w:p>
            <w:pPr>
              <w:spacing w:line="320" w:lineRule="exact"/>
              <w:ind w:firstLine="0" w:firstLineChars="0"/>
              <w:jc w:val="center"/>
              <w:rPr>
                <w:color w:val="000000"/>
                <w:sz w:val="21"/>
                <w:szCs w:val="21"/>
              </w:rPr>
            </w:pPr>
            <w:r>
              <w:rPr>
                <w:color w:val="000000"/>
                <w:sz w:val="21"/>
                <w:szCs w:val="21"/>
              </w:rPr>
              <w:t>人员签名</w:t>
            </w:r>
          </w:p>
        </w:tc>
        <w:tc>
          <w:tcPr>
            <w:tcW w:w="9518" w:type="dxa"/>
            <w:gridSpan w:val="3"/>
            <w:noWrap w:val="0"/>
            <w:vAlign w:val="center"/>
          </w:tcPr>
          <w:p>
            <w:pPr>
              <w:spacing w:line="320" w:lineRule="exact"/>
              <w:ind w:firstLine="0" w:firstLineChars="0"/>
              <w:rPr>
                <w:color w:val="000000"/>
                <w:sz w:val="21"/>
                <w:szCs w:val="21"/>
              </w:rPr>
            </w:pPr>
          </w:p>
        </w:tc>
      </w:tr>
    </w:tbl>
    <w:p>
      <w:pPr>
        <w:pStyle w:val="3"/>
        <w:ind w:firstLine="0" w:firstLineChars="0"/>
      </w:pPr>
      <w:r>
        <w:t>附件4</w:t>
      </w:r>
    </w:p>
    <w:p>
      <w:pPr>
        <w:keepNext/>
        <w:keepLines/>
        <w:spacing w:before="144" w:beforeLines="25" w:after="144" w:afterLines="25" w:line="500" w:lineRule="exact"/>
        <w:ind w:firstLine="0" w:firstLineChars="0"/>
        <w:jc w:val="center"/>
        <w:outlineLvl w:val="0"/>
        <w:rPr>
          <w:rFonts w:eastAsia="方正小标宋简体"/>
          <w:bCs/>
          <w:color w:val="000000"/>
          <w:kern w:val="44"/>
          <w:sz w:val="36"/>
          <w:szCs w:val="36"/>
        </w:rPr>
      </w:pPr>
      <w:r>
        <w:rPr>
          <w:rFonts w:eastAsia="方正小标宋简体"/>
          <w:bCs/>
          <w:color w:val="000000"/>
          <w:kern w:val="44"/>
          <w:sz w:val="36"/>
          <w:szCs w:val="36"/>
        </w:rPr>
        <w:t>项目支出绩效自评表</w:t>
      </w:r>
    </w:p>
    <w:p>
      <w:pPr>
        <w:pStyle w:val="4"/>
        <w:spacing w:line="400" w:lineRule="exact"/>
        <w:ind w:firstLine="0" w:firstLineChars="0"/>
        <w:jc w:val="center"/>
        <w:rPr>
          <w:rFonts w:eastAsia="等线"/>
          <w:b w:val="0"/>
          <w:sz w:val="28"/>
          <w:szCs w:val="28"/>
        </w:rPr>
      </w:pPr>
      <w:r>
        <w:rPr>
          <w:b w:val="0"/>
          <w:sz w:val="28"/>
          <w:szCs w:val="28"/>
        </w:rPr>
        <w:t>（年度）</w:t>
      </w:r>
    </w:p>
    <w:tbl>
      <w:tblPr>
        <w:tblStyle w:val="15"/>
        <w:tblW w:w="10153" w:type="dxa"/>
        <w:jc w:val="center"/>
        <w:tblLayout w:type="fixed"/>
        <w:tblCellMar>
          <w:top w:w="0" w:type="dxa"/>
          <w:left w:w="108" w:type="dxa"/>
          <w:bottom w:w="0" w:type="dxa"/>
          <w:right w:w="108" w:type="dxa"/>
        </w:tblCellMar>
      </w:tblPr>
      <w:tblGrid>
        <w:gridCol w:w="816"/>
        <w:gridCol w:w="1168"/>
        <w:gridCol w:w="1577"/>
        <w:gridCol w:w="1128"/>
        <w:gridCol w:w="1092"/>
        <w:gridCol w:w="1093"/>
        <w:gridCol w:w="852"/>
        <w:gridCol w:w="924"/>
        <w:gridCol w:w="1503"/>
      </w:tblGrid>
      <w:tr>
        <w:tblPrEx>
          <w:tblCellMar>
            <w:top w:w="0" w:type="dxa"/>
            <w:left w:w="108" w:type="dxa"/>
            <w:bottom w:w="0" w:type="dxa"/>
            <w:right w:w="108" w:type="dxa"/>
          </w:tblCellMar>
        </w:tblPrEx>
        <w:trPr>
          <w:wBefore w:w="0" w:type="dxa"/>
          <w:wAfter w:w="0" w:type="dxa"/>
          <w:jc w:val="center"/>
        </w:trPr>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项目名称</w:t>
            </w:r>
          </w:p>
        </w:tc>
        <w:tc>
          <w:tcPr>
            <w:tcW w:w="8169" w:type="dxa"/>
            <w:gridSpan w:val="7"/>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主管部门</w:t>
            </w:r>
          </w:p>
        </w:tc>
        <w:tc>
          <w:tcPr>
            <w:tcW w:w="3797" w:type="dxa"/>
            <w:gridSpan w:val="3"/>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实施单位</w:t>
            </w:r>
          </w:p>
        </w:tc>
        <w:tc>
          <w:tcPr>
            <w:tcW w:w="3279" w:type="dxa"/>
            <w:gridSpan w:val="3"/>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1984" w:type="dxa"/>
            <w:gridSpan w:val="2"/>
            <w:vMerge w:val="restart"/>
            <w:tcBorders>
              <w:top w:val="nil"/>
              <w:left w:val="single" w:color="auto" w:sz="4" w:space="0"/>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项目资金</w:t>
            </w:r>
            <w:r>
              <w:rPr>
                <w:color w:val="000000"/>
                <w:sz w:val="21"/>
                <w:szCs w:val="21"/>
              </w:rPr>
              <w:br w:type="textWrapping"/>
            </w:r>
            <w:r>
              <w:rPr>
                <w:color w:val="000000"/>
                <w:sz w:val="21"/>
                <w:szCs w:val="21"/>
              </w:rPr>
              <w:t>（万元）</w:t>
            </w:r>
          </w:p>
        </w:tc>
        <w:tc>
          <w:tcPr>
            <w:tcW w:w="1577"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128"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年初</w:t>
            </w:r>
          </w:p>
          <w:p>
            <w:pPr>
              <w:spacing w:line="240" w:lineRule="exact"/>
              <w:ind w:firstLine="0" w:firstLineChars="0"/>
              <w:jc w:val="center"/>
              <w:rPr>
                <w:color w:val="000000"/>
                <w:sz w:val="21"/>
                <w:szCs w:val="21"/>
              </w:rPr>
            </w:pPr>
            <w:r>
              <w:rPr>
                <w:color w:val="000000"/>
                <w:sz w:val="21"/>
                <w:szCs w:val="21"/>
              </w:rPr>
              <w:t>预算数</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全年</w:t>
            </w:r>
          </w:p>
          <w:p>
            <w:pPr>
              <w:spacing w:line="240" w:lineRule="exact"/>
              <w:ind w:firstLine="0" w:firstLineChars="0"/>
              <w:jc w:val="center"/>
              <w:rPr>
                <w:color w:val="000000"/>
                <w:sz w:val="21"/>
                <w:szCs w:val="21"/>
              </w:rPr>
            </w:pPr>
            <w:r>
              <w:rPr>
                <w:color w:val="000000"/>
                <w:sz w:val="21"/>
                <w:szCs w:val="21"/>
              </w:rPr>
              <w:t>预算数</w:t>
            </w: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全年</w:t>
            </w:r>
          </w:p>
          <w:p>
            <w:pPr>
              <w:spacing w:line="240" w:lineRule="exact"/>
              <w:ind w:firstLine="0" w:firstLineChars="0"/>
              <w:jc w:val="center"/>
              <w:rPr>
                <w:color w:val="000000"/>
                <w:sz w:val="21"/>
                <w:szCs w:val="21"/>
              </w:rPr>
            </w:pPr>
            <w:r>
              <w:rPr>
                <w:color w:val="000000"/>
                <w:sz w:val="21"/>
                <w:szCs w:val="21"/>
              </w:rPr>
              <w:t>执行数</w:t>
            </w: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分值</w:t>
            </w:r>
          </w:p>
        </w:tc>
        <w:tc>
          <w:tcPr>
            <w:tcW w:w="924"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执行率</w:t>
            </w:r>
          </w:p>
        </w:tc>
        <w:tc>
          <w:tcPr>
            <w:tcW w:w="150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得分</w:t>
            </w:r>
          </w:p>
        </w:tc>
      </w:tr>
      <w:tr>
        <w:tblPrEx>
          <w:tblCellMar>
            <w:top w:w="0" w:type="dxa"/>
            <w:left w:w="108" w:type="dxa"/>
            <w:bottom w:w="0" w:type="dxa"/>
            <w:right w:w="108" w:type="dxa"/>
          </w:tblCellMar>
        </w:tblPrEx>
        <w:trPr>
          <w:wBefore w:w="0" w:type="dxa"/>
          <w:wAfter w:w="0" w:type="dxa"/>
          <w:jc w:val="center"/>
        </w:trPr>
        <w:tc>
          <w:tcPr>
            <w:tcW w:w="198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年度资金总额</w:t>
            </w:r>
          </w:p>
        </w:tc>
        <w:tc>
          <w:tcPr>
            <w:tcW w:w="1128"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10</w:t>
            </w:r>
          </w:p>
        </w:tc>
        <w:tc>
          <w:tcPr>
            <w:tcW w:w="924"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198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其中：当年财政拨款</w:t>
            </w:r>
          </w:p>
        </w:tc>
        <w:tc>
          <w:tcPr>
            <w:tcW w:w="1128"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w:t>
            </w:r>
          </w:p>
        </w:tc>
        <w:tc>
          <w:tcPr>
            <w:tcW w:w="924"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w:t>
            </w:r>
          </w:p>
        </w:tc>
      </w:tr>
      <w:tr>
        <w:tblPrEx>
          <w:tblCellMar>
            <w:top w:w="0" w:type="dxa"/>
            <w:left w:w="108" w:type="dxa"/>
            <w:bottom w:w="0" w:type="dxa"/>
            <w:right w:w="108" w:type="dxa"/>
          </w:tblCellMar>
        </w:tblPrEx>
        <w:trPr>
          <w:wBefore w:w="0" w:type="dxa"/>
          <w:wAfter w:w="0" w:type="dxa"/>
          <w:jc w:val="center"/>
        </w:trPr>
        <w:tc>
          <w:tcPr>
            <w:tcW w:w="198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 xml:space="preserve">     上年结转资金</w:t>
            </w:r>
          </w:p>
        </w:tc>
        <w:tc>
          <w:tcPr>
            <w:tcW w:w="1128"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w:t>
            </w:r>
          </w:p>
        </w:tc>
        <w:tc>
          <w:tcPr>
            <w:tcW w:w="924"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w:t>
            </w:r>
          </w:p>
        </w:tc>
      </w:tr>
      <w:tr>
        <w:tblPrEx>
          <w:tblCellMar>
            <w:top w:w="0" w:type="dxa"/>
            <w:left w:w="108" w:type="dxa"/>
            <w:bottom w:w="0" w:type="dxa"/>
            <w:right w:w="108" w:type="dxa"/>
          </w:tblCellMar>
        </w:tblPrEx>
        <w:trPr>
          <w:wBefore w:w="0" w:type="dxa"/>
          <w:wAfter w:w="0" w:type="dxa"/>
          <w:jc w:val="center"/>
        </w:trPr>
        <w:tc>
          <w:tcPr>
            <w:tcW w:w="198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其他资金</w:t>
            </w:r>
          </w:p>
        </w:tc>
        <w:tc>
          <w:tcPr>
            <w:tcW w:w="1128"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w:t>
            </w:r>
          </w:p>
        </w:tc>
        <w:tc>
          <w:tcPr>
            <w:tcW w:w="924"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w:t>
            </w:r>
          </w:p>
        </w:tc>
      </w:tr>
      <w:tr>
        <w:tblPrEx>
          <w:tblCellMar>
            <w:top w:w="0" w:type="dxa"/>
            <w:left w:w="108" w:type="dxa"/>
            <w:bottom w:w="0" w:type="dxa"/>
            <w:right w:w="108" w:type="dxa"/>
          </w:tblCellMar>
        </w:tblPrEx>
        <w:trPr>
          <w:wBefore w:w="0" w:type="dxa"/>
          <w:wAfter w:w="0" w:type="dxa"/>
          <w:jc w:val="center"/>
        </w:trPr>
        <w:tc>
          <w:tcPr>
            <w:tcW w:w="816" w:type="dxa"/>
            <w:vMerge w:val="restart"/>
            <w:tcBorders>
              <w:top w:val="nil"/>
              <w:left w:val="single" w:color="auto" w:sz="4" w:space="0"/>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年度</w:t>
            </w:r>
          </w:p>
          <w:p>
            <w:pPr>
              <w:spacing w:line="240" w:lineRule="exact"/>
              <w:ind w:firstLine="0" w:firstLineChars="0"/>
              <w:jc w:val="center"/>
              <w:rPr>
                <w:color w:val="000000"/>
                <w:sz w:val="21"/>
                <w:szCs w:val="21"/>
              </w:rPr>
            </w:pPr>
            <w:r>
              <w:rPr>
                <w:color w:val="000000"/>
                <w:sz w:val="21"/>
                <w:szCs w:val="21"/>
              </w:rPr>
              <w:t>总体</w:t>
            </w:r>
          </w:p>
          <w:p>
            <w:pPr>
              <w:spacing w:line="240" w:lineRule="exact"/>
              <w:ind w:firstLine="0" w:firstLineChars="0"/>
              <w:jc w:val="center"/>
              <w:rPr>
                <w:color w:val="000000"/>
                <w:sz w:val="21"/>
                <w:szCs w:val="21"/>
              </w:rPr>
            </w:pPr>
            <w:r>
              <w:rPr>
                <w:color w:val="000000"/>
                <w:sz w:val="21"/>
                <w:szCs w:val="21"/>
              </w:rPr>
              <w:t>目标</w:t>
            </w:r>
          </w:p>
        </w:tc>
        <w:tc>
          <w:tcPr>
            <w:tcW w:w="4965"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预期目标</w:t>
            </w:r>
          </w:p>
        </w:tc>
        <w:tc>
          <w:tcPr>
            <w:tcW w:w="4372"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实际完成情况</w:t>
            </w:r>
          </w:p>
        </w:tc>
      </w:tr>
      <w:tr>
        <w:tblPrEx>
          <w:tblCellMar>
            <w:top w:w="0" w:type="dxa"/>
            <w:left w:w="108" w:type="dxa"/>
            <w:bottom w:w="0" w:type="dxa"/>
            <w:right w:w="108" w:type="dxa"/>
          </w:tblCellMar>
        </w:tblPrEx>
        <w:trPr>
          <w:wBefore w:w="0" w:type="dxa"/>
          <w:wAfter w:w="0" w:type="dxa"/>
          <w:trHeight w:val="464" w:hRule="atLeast"/>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4965"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4372"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restart"/>
            <w:tcBorders>
              <w:top w:val="nil"/>
              <w:left w:val="single" w:color="auto" w:sz="4" w:space="0"/>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绩效</w:t>
            </w:r>
            <w:r>
              <w:rPr>
                <w:color w:val="000000"/>
                <w:sz w:val="21"/>
                <w:szCs w:val="21"/>
              </w:rPr>
              <w:br w:type="textWrapping"/>
            </w:r>
            <w:r>
              <w:rPr>
                <w:color w:val="000000"/>
                <w:sz w:val="21"/>
                <w:szCs w:val="21"/>
              </w:rPr>
              <w:t>指标</w:t>
            </w:r>
          </w:p>
        </w:tc>
        <w:tc>
          <w:tcPr>
            <w:tcW w:w="1168"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一级指标</w:t>
            </w:r>
          </w:p>
        </w:tc>
        <w:tc>
          <w:tcPr>
            <w:tcW w:w="1577"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二级指标</w:t>
            </w: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三级指标</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年度</w:t>
            </w:r>
          </w:p>
          <w:p>
            <w:pPr>
              <w:spacing w:line="240" w:lineRule="exact"/>
              <w:ind w:firstLine="0" w:firstLineChars="0"/>
              <w:jc w:val="center"/>
              <w:rPr>
                <w:color w:val="000000"/>
                <w:sz w:val="21"/>
                <w:szCs w:val="21"/>
              </w:rPr>
            </w:pPr>
            <w:r>
              <w:rPr>
                <w:color w:val="000000"/>
                <w:sz w:val="21"/>
                <w:szCs w:val="21"/>
              </w:rPr>
              <w:t>指标值</w:t>
            </w: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实际</w:t>
            </w:r>
          </w:p>
          <w:p>
            <w:pPr>
              <w:spacing w:line="240" w:lineRule="exact"/>
              <w:ind w:firstLine="0" w:firstLineChars="0"/>
              <w:jc w:val="center"/>
              <w:rPr>
                <w:color w:val="000000"/>
                <w:sz w:val="21"/>
                <w:szCs w:val="21"/>
              </w:rPr>
            </w:pPr>
            <w:r>
              <w:rPr>
                <w:color w:val="000000"/>
                <w:sz w:val="21"/>
                <w:szCs w:val="21"/>
              </w:rPr>
              <w:t>完成值</w:t>
            </w: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分值</w:t>
            </w: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得分</w:t>
            </w: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偏差原因分析及改进措施</w:t>
            </w: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restart"/>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产出指标</w:t>
            </w:r>
          </w:p>
        </w:tc>
        <w:tc>
          <w:tcPr>
            <w:tcW w:w="1577" w:type="dxa"/>
            <w:vMerge w:val="restart"/>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数量指标</w:t>
            </w: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指标1：</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指标2：</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restart"/>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质量指标</w:t>
            </w: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指标1：</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指标2：</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restart"/>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时效指标</w:t>
            </w: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指标1：</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指标2：</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restart"/>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成本指标</w:t>
            </w: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指标1：</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指标2：</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restart"/>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效益指标</w:t>
            </w:r>
          </w:p>
        </w:tc>
        <w:tc>
          <w:tcPr>
            <w:tcW w:w="1577" w:type="dxa"/>
            <w:vMerge w:val="restart"/>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经济效益</w:t>
            </w:r>
          </w:p>
          <w:p>
            <w:pPr>
              <w:spacing w:line="240" w:lineRule="exact"/>
              <w:ind w:firstLine="0" w:firstLineChars="0"/>
              <w:jc w:val="center"/>
              <w:rPr>
                <w:color w:val="000000"/>
                <w:sz w:val="21"/>
                <w:szCs w:val="21"/>
              </w:rPr>
            </w:pPr>
            <w:r>
              <w:rPr>
                <w:color w:val="000000"/>
                <w:sz w:val="21"/>
                <w:szCs w:val="21"/>
              </w:rPr>
              <w:t>指标</w:t>
            </w: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指标1：</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指标2：</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restart"/>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社会效益</w:t>
            </w:r>
          </w:p>
          <w:p>
            <w:pPr>
              <w:spacing w:line="240" w:lineRule="exact"/>
              <w:ind w:firstLine="0" w:firstLineChars="0"/>
              <w:jc w:val="center"/>
              <w:rPr>
                <w:color w:val="000000"/>
                <w:sz w:val="21"/>
                <w:szCs w:val="21"/>
              </w:rPr>
            </w:pPr>
            <w:r>
              <w:rPr>
                <w:color w:val="000000"/>
                <w:sz w:val="21"/>
                <w:szCs w:val="21"/>
              </w:rPr>
              <w:t>指标</w:t>
            </w: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指标1：</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指标2：</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restart"/>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生态效益</w:t>
            </w:r>
          </w:p>
          <w:p>
            <w:pPr>
              <w:spacing w:line="240" w:lineRule="exact"/>
              <w:ind w:firstLine="0" w:firstLineChars="0"/>
              <w:jc w:val="center"/>
              <w:rPr>
                <w:color w:val="000000"/>
                <w:sz w:val="21"/>
                <w:szCs w:val="21"/>
              </w:rPr>
            </w:pPr>
            <w:r>
              <w:rPr>
                <w:color w:val="000000"/>
                <w:sz w:val="21"/>
                <w:szCs w:val="21"/>
              </w:rPr>
              <w:t>指标</w:t>
            </w: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指标1：</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指标2：</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restart"/>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可持续影响</w:t>
            </w:r>
          </w:p>
          <w:p>
            <w:pPr>
              <w:spacing w:line="240" w:lineRule="exact"/>
              <w:ind w:firstLine="0" w:firstLineChars="0"/>
              <w:jc w:val="center"/>
              <w:rPr>
                <w:color w:val="000000"/>
                <w:sz w:val="21"/>
                <w:szCs w:val="21"/>
              </w:rPr>
            </w:pPr>
            <w:r>
              <w:rPr>
                <w:color w:val="000000"/>
                <w:sz w:val="21"/>
                <w:szCs w:val="21"/>
              </w:rPr>
              <w:t>指标</w:t>
            </w: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指标1：</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指标2：</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restart"/>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满意度</w:t>
            </w:r>
          </w:p>
          <w:p>
            <w:pPr>
              <w:spacing w:line="240" w:lineRule="exact"/>
              <w:ind w:firstLine="0" w:firstLineChars="0"/>
              <w:jc w:val="center"/>
              <w:rPr>
                <w:color w:val="000000"/>
                <w:sz w:val="21"/>
                <w:szCs w:val="21"/>
              </w:rPr>
            </w:pPr>
            <w:r>
              <w:rPr>
                <w:color w:val="000000"/>
                <w:sz w:val="21"/>
                <w:szCs w:val="21"/>
              </w:rPr>
              <w:t>指标</w:t>
            </w:r>
          </w:p>
        </w:tc>
        <w:tc>
          <w:tcPr>
            <w:tcW w:w="1577" w:type="dxa"/>
            <w:vMerge w:val="restart"/>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服务对象满意度指标</w:t>
            </w: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指标1：</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指标2：</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68"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577" w:type="dxa"/>
            <w:vMerge w:val="continue"/>
            <w:tcBorders>
              <w:top w:val="nil"/>
              <w:left w:val="nil"/>
              <w:bottom w:val="single" w:color="auto" w:sz="4" w:space="0"/>
              <w:right w:val="single" w:color="auto" w:sz="4" w:space="0"/>
            </w:tcBorders>
            <w:noWrap w:val="0"/>
            <w:vAlign w:val="center"/>
          </w:tcPr>
          <w:p>
            <w:pPr>
              <w:widowControl/>
              <w:spacing w:line="240" w:lineRule="exact"/>
              <w:ind w:firstLine="0" w:firstLineChars="0"/>
              <w:jc w:val="left"/>
              <w:rPr>
                <w:color w:val="000000"/>
                <w:sz w:val="21"/>
                <w:szCs w:val="21"/>
              </w:rPr>
            </w:pPr>
          </w:p>
        </w:tc>
        <w:tc>
          <w:tcPr>
            <w:tcW w:w="1128"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rPr>
                <w:color w:val="000000"/>
                <w:sz w:val="21"/>
                <w:szCs w:val="21"/>
              </w:rPr>
            </w:pPr>
            <w:r>
              <w:rPr>
                <w:color w:val="000000"/>
                <w:sz w:val="21"/>
                <w:szCs w:val="21"/>
              </w:rPr>
              <w:t>……</w:t>
            </w:r>
          </w:p>
        </w:tc>
        <w:tc>
          <w:tcPr>
            <w:tcW w:w="109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09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r>
        <w:tblPrEx>
          <w:tblCellMar>
            <w:top w:w="0" w:type="dxa"/>
            <w:left w:w="108" w:type="dxa"/>
            <w:bottom w:w="0" w:type="dxa"/>
            <w:right w:w="108" w:type="dxa"/>
          </w:tblCellMar>
        </w:tblPrEx>
        <w:trPr>
          <w:wBefore w:w="0" w:type="dxa"/>
          <w:wAfter w:w="0" w:type="dxa"/>
          <w:jc w:val="center"/>
        </w:trPr>
        <w:tc>
          <w:tcPr>
            <w:tcW w:w="6874"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总分</w:t>
            </w:r>
          </w:p>
        </w:tc>
        <w:tc>
          <w:tcPr>
            <w:tcW w:w="852"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r>
              <w:rPr>
                <w:color w:val="000000"/>
                <w:sz w:val="21"/>
                <w:szCs w:val="21"/>
              </w:rPr>
              <w:t>100</w:t>
            </w:r>
          </w:p>
        </w:tc>
        <w:tc>
          <w:tcPr>
            <w:tcW w:w="924" w:type="dxa"/>
            <w:tcBorders>
              <w:top w:val="nil"/>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c>
          <w:tcPr>
            <w:tcW w:w="1503" w:type="dxa"/>
            <w:tcBorders>
              <w:top w:val="single" w:color="auto" w:sz="4" w:space="0"/>
              <w:left w:val="nil"/>
              <w:bottom w:val="single" w:color="auto" w:sz="4" w:space="0"/>
              <w:right w:val="single" w:color="auto" w:sz="4" w:space="0"/>
            </w:tcBorders>
            <w:noWrap w:val="0"/>
            <w:vAlign w:val="center"/>
          </w:tcPr>
          <w:p>
            <w:pPr>
              <w:spacing w:line="240" w:lineRule="exact"/>
              <w:ind w:firstLine="0" w:firstLineChars="0"/>
              <w:jc w:val="center"/>
              <w:rPr>
                <w:color w:val="000000"/>
                <w:sz w:val="21"/>
                <w:szCs w:val="21"/>
              </w:rPr>
            </w:pPr>
          </w:p>
        </w:tc>
      </w:tr>
    </w:tbl>
    <w:p>
      <w:pPr>
        <w:spacing w:line="160" w:lineRule="exact"/>
        <w:ind w:firstLine="0" w:firstLineChars="0"/>
        <w:sectPr>
          <w:headerReference r:id="rId12" w:type="first"/>
          <w:footerReference r:id="rId15" w:type="first"/>
          <w:headerReference r:id="rId10" w:type="default"/>
          <w:footerReference r:id="rId13" w:type="default"/>
          <w:headerReference r:id="rId11" w:type="even"/>
          <w:footerReference r:id="rId14" w:type="even"/>
          <w:pgSz w:w="11906" w:h="16838"/>
          <w:pgMar w:top="2098" w:right="1474" w:bottom="1985" w:left="1588" w:header="851" w:footer="1588" w:gutter="0"/>
          <w:cols w:space="425" w:num="1"/>
          <w:docGrid w:type="linesAndChars" w:linePitch="579" w:charSpace="0"/>
        </w:sectPr>
      </w:pPr>
    </w:p>
    <w:p>
      <w:pPr>
        <w:spacing w:line="160" w:lineRule="exact"/>
        <w:ind w:firstLine="0" w:firstLineChars="0"/>
      </w:pPr>
    </w:p>
    <w:p>
      <w:pPr>
        <w:ind w:firstLine="640"/>
      </w:pPr>
    </w:p>
    <w:p>
      <w:pPr>
        <w:pStyle w:val="5"/>
        <w:spacing w:before="289" w:after="289"/>
        <w:ind w:firstLine="640"/>
        <w:rPr>
          <w:color w:val="00000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spacing w:line="520" w:lineRule="exact"/>
        <w:ind w:firstLine="0" w:firstLineChars="0"/>
        <w:rPr>
          <w:rFonts w:eastAsia="方正小标宋简体"/>
          <w:color w:val="000000"/>
          <w:sz w:val="28"/>
          <w:szCs w:val="28"/>
        </w:rPr>
      </w:pPr>
      <w:r>
        <w:rPr>
          <w:rFonts w:eastAsia="黑体"/>
          <w:color w:val="000000"/>
          <w:sz w:val="28"/>
          <w:szCs w:val="28"/>
        </w:rPr>
        <w:t>信息公开选项：</w:t>
      </w:r>
      <w:r>
        <w:rPr>
          <w:rFonts w:eastAsia="方正小标宋简体"/>
          <w:color w:val="000000"/>
          <w:sz w:val="28"/>
          <w:szCs w:val="28"/>
        </w:rPr>
        <w:t>公开</w:t>
      </w:r>
    </w:p>
    <w:p>
      <w:pPr>
        <w:spacing w:line="560" w:lineRule="exact"/>
        <w:ind w:firstLine="320" w:firstLineChars="100"/>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5615940" cy="0"/>
                <wp:effectExtent l="0" t="0" r="0" b="0"/>
                <wp:wrapNone/>
                <wp:docPr id="1" name="直线 4"/>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1.05pt;height:0pt;width:442.2pt;z-index:251659264;mso-width-relative:page;mso-height-relative:page;" filled="f" stroked="t" coordsize="21600,21600" o:gfxdata="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mHV+0wAAAAQB&#10;AAAPAAAAAAAAAAEAIAAAACIAAABkcnMvZG93bnJldi54bWxQSwECFAAUAAAACACHTuJA5lZr1+cB&#10;AADbAwAADgAAAAAAAAABACAAAAAiAQAAZHJzL2Uyb0RvYy54bWxQSwUGAAAAAAYABgBZAQAAewUA&#10;AAAA&#10;">
                <v:fill on="f" focussize="0,0"/>
                <v:stroke weight="0.35pt" color="#000000" joinstyle="round"/>
                <v:imagedata o:title=""/>
                <o:lock v:ext="edit" aspectratio="f"/>
              </v:lin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15940" cy="0"/>
                <wp:effectExtent l="0" t="0" r="0" b="0"/>
                <wp:wrapNone/>
                <wp:docPr id="2" name="直线 5"/>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30.95pt;height:0pt;width:442.2pt;z-index:251660288;mso-width-relative:page;mso-height-relative:page;" filled="f" stroked="t" coordsize="21600,21600" o:gfxdata="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Cq8R7VAAAA&#10;BgEAAA8AAAAAAAAAAQAgAAAAIgAAAGRycy9kb3ducmV2LnhtbFBLAQIUABQAAAAIAIdO4kABv4JE&#10;5wEAANsDAAAOAAAAAAAAAAEAIAAAACQBAABkcnMvZTJvRG9jLnhtbFBLBQYAAAAABgAGAFkBAAB9&#10;BQAAAAA=&#10;">
                <v:fill on="f" focussize="0,0"/>
                <v:stroke weight="0.35pt" color="#000000" joinstyle="round"/>
                <v:imagedata o:title=""/>
                <o:lock v:ext="edit" aspectratio="f"/>
              </v:line>
            </w:pict>
          </mc:Fallback>
        </mc:AlternateContent>
      </w:r>
      <w:r>
        <w:rPr>
          <w:color w:val="000000"/>
          <w:sz w:val="28"/>
          <w:szCs w:val="28"/>
        </w:rPr>
        <w:t>湖南省农业农村厅办公室                  2023年</w:t>
      </w:r>
      <w:r>
        <w:rPr>
          <w:rFonts w:hint="eastAsia"/>
          <w:color w:val="000000"/>
          <w:sz w:val="28"/>
          <w:szCs w:val="28"/>
        </w:rPr>
        <w:t>4</w:t>
      </w:r>
      <w:r>
        <w:rPr>
          <w:color w:val="000000"/>
          <w:sz w:val="28"/>
          <w:szCs w:val="28"/>
        </w:rPr>
        <w:t>月</w:t>
      </w:r>
      <w:r>
        <w:rPr>
          <w:rFonts w:hint="eastAsia"/>
          <w:color w:val="000000"/>
          <w:sz w:val="28"/>
          <w:szCs w:val="28"/>
        </w:rPr>
        <w:t>17</w:t>
      </w:r>
      <w:r>
        <w:rPr>
          <w:color w:val="000000"/>
          <w:sz w:val="28"/>
          <w:szCs w:val="28"/>
        </w:rPr>
        <w:t>日印发</w:t>
      </w:r>
    </w:p>
    <w:sectPr>
      <w:footerReference r:id="rId16" w:type="default"/>
      <w:footerReference r:id="rId17" w:type="even"/>
      <w:pgSz w:w="11906" w:h="16838"/>
      <w:pgMar w:top="2098" w:right="1474" w:bottom="1985" w:left="1588" w:header="851" w:footer="1588" w:gutter="0"/>
      <w:cols w:space="425"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7A"/>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7A"/>
    <w:family w:val="auto"/>
    <w:pitch w:val="default"/>
    <w:sig w:usb0="00000287" w:usb1="080F0000" w:usb2="00000000" w:usb3="00000000" w:csb0="0004009F" w:csb1="DFD70000"/>
  </w:font>
  <w:font w:name="等线">
    <w:altName w:val="Times New Roman"/>
    <w:panose1 w:val="00000000000000000000"/>
    <w:charset w:val="00"/>
    <w:family w:val="auto"/>
    <w:pitch w:val="default"/>
    <w:sig w:usb0="00000000" w:usb1="00000000" w:usb2="00000000" w:usb3="00000000" w:csb0="00040001" w:csb1="0000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jc w:val="right"/>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lang/>
      </w:rPr>
      <w:t>3</w:t>
    </w:r>
    <w:r>
      <w:rPr>
        <w:rStyle w:val="19"/>
        <w:sz w:val="28"/>
        <w:szCs w:val="28"/>
      </w:rPr>
      <w:fldChar w:fldCharType="end"/>
    </w:r>
    <w:r>
      <w:rPr>
        <w:rStyle w:val="19"/>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lang/>
      </w:rPr>
      <w:t>4</w:t>
    </w:r>
    <w:r>
      <w:rPr>
        <w:rStyle w:val="19"/>
        <w:sz w:val="28"/>
        <w:szCs w:val="28"/>
      </w:rPr>
      <w:fldChar w:fldCharType="end"/>
    </w:r>
    <w:r>
      <w:rPr>
        <w:rStyle w:val="19"/>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0" w:firstLineChars="0"/>
      <w:rPr>
        <w:rStyle w:val="19"/>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lang/>
      </w:rPr>
      <w:t>21</w:t>
    </w:r>
    <w:r>
      <w:rPr>
        <w:rStyle w:val="19"/>
        <w:sz w:val="28"/>
        <w:szCs w:val="28"/>
      </w:rPr>
      <w:fldChar w:fldCharType="end"/>
    </w:r>
    <w:r>
      <w:rPr>
        <w:rStyle w:val="19"/>
        <w:rFonts w:hint="eastAsia"/>
        <w:sz w:val="28"/>
        <w:szCs w:val="28"/>
      </w:rPr>
      <w:t>—</w:t>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lang/>
      </w:rPr>
      <w:t>22</w:t>
    </w:r>
    <w:r>
      <w:rPr>
        <w:rStyle w:val="19"/>
        <w:sz w:val="28"/>
        <w:szCs w:val="28"/>
      </w:rPr>
      <w:fldChar w:fldCharType="end"/>
    </w:r>
    <w:r>
      <w:rPr>
        <w:rStyle w:val="19"/>
        <w:rFonts w:hint="eastAsia"/>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evenAndOddHeaders w:val="1"/>
  <w:drawingGridHorizontalSpacing w:val="160"/>
  <w:drawingGridVerticalSpacing w:val="579"/>
  <w:displayHorizontalDrawingGridEvery w:val="0"/>
  <w:displayVerticalDrawingGridEvery w:val="1"/>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172A27"/>
    <w:rsid w:val="00001D0D"/>
    <w:rsid w:val="00006C32"/>
    <w:rsid w:val="000070BB"/>
    <w:rsid w:val="00007908"/>
    <w:rsid w:val="00007A2A"/>
    <w:rsid w:val="00016E88"/>
    <w:rsid w:val="0004127B"/>
    <w:rsid w:val="00051495"/>
    <w:rsid w:val="00061E0A"/>
    <w:rsid w:val="000651D7"/>
    <w:rsid w:val="00081764"/>
    <w:rsid w:val="00090311"/>
    <w:rsid w:val="00091522"/>
    <w:rsid w:val="000C1B41"/>
    <w:rsid w:val="000D695F"/>
    <w:rsid w:val="000D7E84"/>
    <w:rsid w:val="000F43A1"/>
    <w:rsid w:val="00105649"/>
    <w:rsid w:val="0010709A"/>
    <w:rsid w:val="001268CD"/>
    <w:rsid w:val="00130888"/>
    <w:rsid w:val="00136317"/>
    <w:rsid w:val="00137536"/>
    <w:rsid w:val="001377BA"/>
    <w:rsid w:val="001537E6"/>
    <w:rsid w:val="0015554F"/>
    <w:rsid w:val="001623D7"/>
    <w:rsid w:val="0019261B"/>
    <w:rsid w:val="001B6E9A"/>
    <w:rsid w:val="001C22AE"/>
    <w:rsid w:val="001C7FE3"/>
    <w:rsid w:val="001D4AFD"/>
    <w:rsid w:val="001E56FA"/>
    <w:rsid w:val="001F116D"/>
    <w:rsid w:val="001F7E44"/>
    <w:rsid w:val="0020637D"/>
    <w:rsid w:val="002121D0"/>
    <w:rsid w:val="00215AAE"/>
    <w:rsid w:val="0022436B"/>
    <w:rsid w:val="00235370"/>
    <w:rsid w:val="002450AD"/>
    <w:rsid w:val="00251ED1"/>
    <w:rsid w:val="00276837"/>
    <w:rsid w:val="00292204"/>
    <w:rsid w:val="00293EAF"/>
    <w:rsid w:val="00293F32"/>
    <w:rsid w:val="00295D02"/>
    <w:rsid w:val="002A3CA4"/>
    <w:rsid w:val="002C02DE"/>
    <w:rsid w:val="002C2BE9"/>
    <w:rsid w:val="002C6F29"/>
    <w:rsid w:val="002D5F5D"/>
    <w:rsid w:val="002E37FF"/>
    <w:rsid w:val="002F4908"/>
    <w:rsid w:val="002F4C64"/>
    <w:rsid w:val="002F5464"/>
    <w:rsid w:val="003179A1"/>
    <w:rsid w:val="003326BD"/>
    <w:rsid w:val="00340785"/>
    <w:rsid w:val="00346980"/>
    <w:rsid w:val="00351948"/>
    <w:rsid w:val="00354414"/>
    <w:rsid w:val="00354E3D"/>
    <w:rsid w:val="00361BA3"/>
    <w:rsid w:val="003837BF"/>
    <w:rsid w:val="00396663"/>
    <w:rsid w:val="003A225C"/>
    <w:rsid w:val="003B61D2"/>
    <w:rsid w:val="003B68C1"/>
    <w:rsid w:val="003D1A2E"/>
    <w:rsid w:val="003D383D"/>
    <w:rsid w:val="003D4160"/>
    <w:rsid w:val="003E6E7A"/>
    <w:rsid w:val="003F569A"/>
    <w:rsid w:val="003F6070"/>
    <w:rsid w:val="003F6FAE"/>
    <w:rsid w:val="003F7FA2"/>
    <w:rsid w:val="004044E4"/>
    <w:rsid w:val="0041133A"/>
    <w:rsid w:val="0042011E"/>
    <w:rsid w:val="0042601C"/>
    <w:rsid w:val="00427D75"/>
    <w:rsid w:val="00447ED8"/>
    <w:rsid w:val="00457133"/>
    <w:rsid w:val="00460443"/>
    <w:rsid w:val="00463E9C"/>
    <w:rsid w:val="004645D7"/>
    <w:rsid w:val="00470C1E"/>
    <w:rsid w:val="0048169E"/>
    <w:rsid w:val="00491265"/>
    <w:rsid w:val="004A4F35"/>
    <w:rsid w:val="004B4FE9"/>
    <w:rsid w:val="004D0131"/>
    <w:rsid w:val="004E573D"/>
    <w:rsid w:val="004E6FE0"/>
    <w:rsid w:val="00520B7F"/>
    <w:rsid w:val="00524B55"/>
    <w:rsid w:val="00527AFA"/>
    <w:rsid w:val="005357A5"/>
    <w:rsid w:val="00536BC4"/>
    <w:rsid w:val="00547ADF"/>
    <w:rsid w:val="005513D6"/>
    <w:rsid w:val="0056004C"/>
    <w:rsid w:val="005630F8"/>
    <w:rsid w:val="00570F7F"/>
    <w:rsid w:val="00576DA7"/>
    <w:rsid w:val="005B16E7"/>
    <w:rsid w:val="005C0311"/>
    <w:rsid w:val="005F0127"/>
    <w:rsid w:val="005F5909"/>
    <w:rsid w:val="00606BEA"/>
    <w:rsid w:val="00620A06"/>
    <w:rsid w:val="00623F5C"/>
    <w:rsid w:val="00635979"/>
    <w:rsid w:val="006867BE"/>
    <w:rsid w:val="00687D51"/>
    <w:rsid w:val="006907A6"/>
    <w:rsid w:val="00690E4B"/>
    <w:rsid w:val="0069343F"/>
    <w:rsid w:val="006B0675"/>
    <w:rsid w:val="006B2A1B"/>
    <w:rsid w:val="006B44B2"/>
    <w:rsid w:val="006C1646"/>
    <w:rsid w:val="006C1E2E"/>
    <w:rsid w:val="006C285B"/>
    <w:rsid w:val="006C38AC"/>
    <w:rsid w:val="006C5097"/>
    <w:rsid w:val="006D159C"/>
    <w:rsid w:val="006D180D"/>
    <w:rsid w:val="006D57C6"/>
    <w:rsid w:val="006E5060"/>
    <w:rsid w:val="006E5C7E"/>
    <w:rsid w:val="006E6528"/>
    <w:rsid w:val="0070643A"/>
    <w:rsid w:val="00706782"/>
    <w:rsid w:val="00711091"/>
    <w:rsid w:val="007130C8"/>
    <w:rsid w:val="0073058D"/>
    <w:rsid w:val="00731FD8"/>
    <w:rsid w:val="00733089"/>
    <w:rsid w:val="0073790C"/>
    <w:rsid w:val="0074608C"/>
    <w:rsid w:val="0075390B"/>
    <w:rsid w:val="007568E8"/>
    <w:rsid w:val="00773DAA"/>
    <w:rsid w:val="00783D94"/>
    <w:rsid w:val="00791964"/>
    <w:rsid w:val="00796F7F"/>
    <w:rsid w:val="007B6D99"/>
    <w:rsid w:val="007D10F7"/>
    <w:rsid w:val="007F4C07"/>
    <w:rsid w:val="007F732C"/>
    <w:rsid w:val="0080406F"/>
    <w:rsid w:val="008053E0"/>
    <w:rsid w:val="00812925"/>
    <w:rsid w:val="00821DD4"/>
    <w:rsid w:val="00822CC0"/>
    <w:rsid w:val="00823403"/>
    <w:rsid w:val="00825531"/>
    <w:rsid w:val="008413A8"/>
    <w:rsid w:val="008623AE"/>
    <w:rsid w:val="008801BC"/>
    <w:rsid w:val="0088031F"/>
    <w:rsid w:val="008849F7"/>
    <w:rsid w:val="00891B53"/>
    <w:rsid w:val="00894C34"/>
    <w:rsid w:val="008B6A32"/>
    <w:rsid w:val="008C17DA"/>
    <w:rsid w:val="008E7182"/>
    <w:rsid w:val="008F5E38"/>
    <w:rsid w:val="008F7A7F"/>
    <w:rsid w:val="00901CF8"/>
    <w:rsid w:val="0090777C"/>
    <w:rsid w:val="00917217"/>
    <w:rsid w:val="0093506A"/>
    <w:rsid w:val="00962E71"/>
    <w:rsid w:val="00964ADC"/>
    <w:rsid w:val="0097251B"/>
    <w:rsid w:val="00975EF5"/>
    <w:rsid w:val="00977FED"/>
    <w:rsid w:val="009A23D6"/>
    <w:rsid w:val="009A6FFC"/>
    <w:rsid w:val="009B48A8"/>
    <w:rsid w:val="009B6E9B"/>
    <w:rsid w:val="009C269B"/>
    <w:rsid w:val="009C35C5"/>
    <w:rsid w:val="009C4BA5"/>
    <w:rsid w:val="009F168E"/>
    <w:rsid w:val="009F2C59"/>
    <w:rsid w:val="00A0669D"/>
    <w:rsid w:val="00A32391"/>
    <w:rsid w:val="00A36FEC"/>
    <w:rsid w:val="00A43102"/>
    <w:rsid w:val="00A70CA8"/>
    <w:rsid w:val="00A75C4C"/>
    <w:rsid w:val="00A86E3A"/>
    <w:rsid w:val="00AA1884"/>
    <w:rsid w:val="00AA65DD"/>
    <w:rsid w:val="00AA771C"/>
    <w:rsid w:val="00AB6476"/>
    <w:rsid w:val="00AB7578"/>
    <w:rsid w:val="00AC42EF"/>
    <w:rsid w:val="00AD233F"/>
    <w:rsid w:val="00AD4BBF"/>
    <w:rsid w:val="00AD7358"/>
    <w:rsid w:val="00AE253A"/>
    <w:rsid w:val="00AF2506"/>
    <w:rsid w:val="00B01682"/>
    <w:rsid w:val="00B06F20"/>
    <w:rsid w:val="00B10150"/>
    <w:rsid w:val="00B147B6"/>
    <w:rsid w:val="00B15CE7"/>
    <w:rsid w:val="00B235FD"/>
    <w:rsid w:val="00B23B84"/>
    <w:rsid w:val="00B24AE3"/>
    <w:rsid w:val="00B32A8A"/>
    <w:rsid w:val="00B4037B"/>
    <w:rsid w:val="00B54BBB"/>
    <w:rsid w:val="00B624A4"/>
    <w:rsid w:val="00B663B8"/>
    <w:rsid w:val="00B6716C"/>
    <w:rsid w:val="00B674E4"/>
    <w:rsid w:val="00B718C5"/>
    <w:rsid w:val="00B84A53"/>
    <w:rsid w:val="00B8517D"/>
    <w:rsid w:val="00B9461A"/>
    <w:rsid w:val="00B94656"/>
    <w:rsid w:val="00BA0AD0"/>
    <w:rsid w:val="00BA7C79"/>
    <w:rsid w:val="00BB3DE4"/>
    <w:rsid w:val="00BB5CD8"/>
    <w:rsid w:val="00BB65B3"/>
    <w:rsid w:val="00BB6AD1"/>
    <w:rsid w:val="00BC2F50"/>
    <w:rsid w:val="00BC7E4F"/>
    <w:rsid w:val="00BD741D"/>
    <w:rsid w:val="00BD7E03"/>
    <w:rsid w:val="00BF0BFB"/>
    <w:rsid w:val="00BF1477"/>
    <w:rsid w:val="00C0213D"/>
    <w:rsid w:val="00C044E5"/>
    <w:rsid w:val="00C073A0"/>
    <w:rsid w:val="00C1755D"/>
    <w:rsid w:val="00C3421B"/>
    <w:rsid w:val="00C41B1C"/>
    <w:rsid w:val="00C73CAE"/>
    <w:rsid w:val="00C8160B"/>
    <w:rsid w:val="00C86A8F"/>
    <w:rsid w:val="00C975DF"/>
    <w:rsid w:val="00CB5512"/>
    <w:rsid w:val="00CC3B15"/>
    <w:rsid w:val="00CC44D1"/>
    <w:rsid w:val="00CC6D71"/>
    <w:rsid w:val="00CE488D"/>
    <w:rsid w:val="00CF7FE3"/>
    <w:rsid w:val="00D01B31"/>
    <w:rsid w:val="00D05401"/>
    <w:rsid w:val="00D10CA4"/>
    <w:rsid w:val="00D117AE"/>
    <w:rsid w:val="00D20223"/>
    <w:rsid w:val="00D24718"/>
    <w:rsid w:val="00D508AA"/>
    <w:rsid w:val="00D66493"/>
    <w:rsid w:val="00D7010C"/>
    <w:rsid w:val="00D7623D"/>
    <w:rsid w:val="00D7641E"/>
    <w:rsid w:val="00D82337"/>
    <w:rsid w:val="00D906FE"/>
    <w:rsid w:val="00D95331"/>
    <w:rsid w:val="00D96068"/>
    <w:rsid w:val="00DF1B80"/>
    <w:rsid w:val="00DF2AA3"/>
    <w:rsid w:val="00E06D71"/>
    <w:rsid w:val="00E27934"/>
    <w:rsid w:val="00E3159F"/>
    <w:rsid w:val="00E3393A"/>
    <w:rsid w:val="00E56355"/>
    <w:rsid w:val="00E60CDB"/>
    <w:rsid w:val="00E720E8"/>
    <w:rsid w:val="00E845D7"/>
    <w:rsid w:val="00E96BA8"/>
    <w:rsid w:val="00EB13FB"/>
    <w:rsid w:val="00EB3EA1"/>
    <w:rsid w:val="00EB73DF"/>
    <w:rsid w:val="00EC508F"/>
    <w:rsid w:val="00EC7DD2"/>
    <w:rsid w:val="00ED4053"/>
    <w:rsid w:val="00EF0B1C"/>
    <w:rsid w:val="00EF3047"/>
    <w:rsid w:val="00F07B36"/>
    <w:rsid w:val="00F451CB"/>
    <w:rsid w:val="00F472A5"/>
    <w:rsid w:val="00F509BB"/>
    <w:rsid w:val="00F567D6"/>
    <w:rsid w:val="00F7403A"/>
    <w:rsid w:val="00F8230A"/>
    <w:rsid w:val="00F946ED"/>
    <w:rsid w:val="00F96F2F"/>
    <w:rsid w:val="00FA113D"/>
    <w:rsid w:val="00FA6FE8"/>
    <w:rsid w:val="00FB4C0B"/>
    <w:rsid w:val="00FC3452"/>
    <w:rsid w:val="00FE59BB"/>
    <w:rsid w:val="00FF7DF2"/>
    <w:rsid w:val="3B4C2C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4"/>
    <w:uiPriority w:val="0"/>
    <w:pPr>
      <w:spacing w:line="700" w:lineRule="exact"/>
      <w:ind w:firstLine="0" w:firstLineChars="0"/>
      <w:jc w:val="center"/>
      <w:outlineLvl w:val="0"/>
    </w:pPr>
    <w:rPr>
      <w:rFonts w:ascii="Times New Roman" w:hAnsi="Times New Roman" w:eastAsia="方正小标宋简体" w:cs="Times New Roman"/>
      <w:bCs/>
      <w:kern w:val="44"/>
      <w:sz w:val="44"/>
      <w:szCs w:val="44"/>
    </w:rPr>
  </w:style>
  <w:style w:type="paragraph" w:styleId="3">
    <w:name w:val="heading 2"/>
    <w:basedOn w:val="1"/>
    <w:next w:val="1"/>
    <w:link w:val="23"/>
    <w:uiPriority w:val="0"/>
    <w:pPr>
      <w:outlineLvl w:val="1"/>
    </w:pPr>
    <w:rPr>
      <w:rFonts w:ascii="Times New Roman" w:hAnsi="Times New Roman" w:eastAsia="黑体" w:cs="Times New Roman"/>
      <w:bCs/>
      <w:szCs w:val="32"/>
    </w:rPr>
  </w:style>
  <w:style w:type="paragraph" w:styleId="4">
    <w:name w:val="heading 3"/>
    <w:basedOn w:val="1"/>
    <w:next w:val="1"/>
    <w:link w:val="25"/>
    <w:uiPriority w:val="0"/>
    <w:pPr>
      <w:outlineLvl w:val="2"/>
    </w:pPr>
    <w:rPr>
      <w:rFonts w:ascii="Times New Roman" w:hAnsi="Times New Roman" w:eastAsia="楷体_GB2312" w:cs="Times New Roman"/>
      <w:b/>
      <w:bCs/>
      <w:szCs w:val="32"/>
    </w:rPr>
  </w:style>
  <w:style w:type="paragraph" w:styleId="5">
    <w:name w:val="heading 4"/>
    <w:basedOn w:val="1"/>
    <w:next w:val="1"/>
    <w:link w:val="26"/>
    <w:uiPriority w:val="0"/>
    <w:pPr>
      <w:spacing w:before="50" w:beforeLines="50" w:after="50" w:afterLines="50" w:line="500" w:lineRule="exact"/>
      <w:ind w:firstLine="0" w:firstLineChars="0"/>
      <w:jc w:val="center"/>
      <w:outlineLvl w:val="3"/>
    </w:pPr>
    <w:rPr>
      <w:rFonts w:ascii="Times New Roman" w:hAnsi="Times New Roman" w:eastAsia="方正小标宋简体" w:cs="Times New Roman"/>
      <w:bCs/>
      <w:sz w:val="36"/>
      <w:szCs w:val="28"/>
    </w:rPr>
  </w:style>
  <w:style w:type="paragraph" w:styleId="6">
    <w:name w:val="heading 7"/>
    <w:basedOn w:val="1"/>
    <w:next w:val="1"/>
    <w:uiPriority w:val="0"/>
    <w:pPr>
      <w:keepNext/>
      <w:keepLines/>
      <w:spacing w:before="240" w:after="64" w:line="320" w:lineRule="atLeast"/>
      <w:outlineLvl w:val="6"/>
    </w:pPr>
    <w:rPr>
      <w:rFonts w:ascii="Times New Roman" w:hAnsi="Times New Roman" w:eastAsia="宋体" w:cs="Times New Roman"/>
      <w:b/>
      <w:bCs/>
      <w:sz w:val="24"/>
    </w:rPr>
  </w:style>
  <w:style w:type="character" w:default="1" w:styleId="17">
    <w:name w:val="Default Paragraph Font"/>
    <w:uiPriority w:val="0"/>
    <w:rPr>
      <w:rFonts w:ascii="Times New Roman" w:hAnsi="Times New Roman" w:eastAsia="宋体" w:cs="Times New Roman"/>
    </w:rPr>
  </w:style>
  <w:style w:type="table" w:default="1" w:styleId="15">
    <w:name w:val="Normal Table"/>
    <w:uiPriority w:val="0"/>
    <w:rPr>
      <w:rFonts w:ascii="Times New Roman" w:hAnsi="Times New Roman" w:eastAsia="宋体" w:cs="Times New Roman"/>
    </w:rPr>
    <w:tblPr>
      <w:tblStyle w:val="15"/>
      <w:tblCellMar>
        <w:top w:w="0" w:type="dxa"/>
        <w:left w:w="108" w:type="dxa"/>
        <w:bottom w:w="0" w:type="dxa"/>
        <w:right w:w="108" w:type="dxa"/>
      </w:tblCellMar>
    </w:tblPr>
    <w:trPr>
      <w:wBefore w:w="0" w:type="dxa"/>
    </w:trPr>
  </w:style>
  <w:style w:type="paragraph" w:styleId="7">
    <w:name w:val="Body Text 3"/>
    <w:basedOn w:val="1"/>
    <w:uiPriority w:val="0"/>
    <w:pPr>
      <w:spacing w:after="120"/>
    </w:pPr>
    <w:rPr>
      <w:rFonts w:ascii="Times New Roman" w:hAnsi="Times New Roman" w:eastAsia="宋体" w:cs="Times New Roman"/>
      <w:sz w:val="16"/>
      <w:szCs w:val="16"/>
    </w:rPr>
  </w:style>
  <w:style w:type="paragraph" w:styleId="8">
    <w:name w:val="Plain Text"/>
    <w:basedOn w:val="1"/>
    <w:link w:val="27"/>
    <w:uiPriority w:val="0"/>
    <w:pPr>
      <w:adjustRightInd/>
      <w:snapToGrid/>
      <w:spacing w:line="240" w:lineRule="auto"/>
      <w:ind w:firstLine="0" w:firstLineChars="0"/>
    </w:pPr>
    <w:rPr>
      <w:rFonts w:ascii="宋体" w:hAnsi="Courier New" w:eastAsia="宋体" w:cs="Courier New"/>
      <w:sz w:val="21"/>
      <w:szCs w:val="21"/>
    </w:rPr>
  </w:style>
  <w:style w:type="paragraph" w:styleId="9">
    <w:name w:val="Date"/>
    <w:basedOn w:val="1"/>
    <w:next w:val="1"/>
    <w:uiPriority w:val="0"/>
    <w:pPr>
      <w:ind w:left="100" w:leftChars="2500"/>
    </w:pPr>
    <w:rPr>
      <w:rFonts w:ascii="Times New Roman" w:hAnsi="Times New Roman" w:eastAsia="宋体" w:cs="Times New Roman"/>
    </w:rPr>
  </w:style>
  <w:style w:type="paragraph" w:styleId="10">
    <w:name w:val="Body Text Indent 2"/>
    <w:basedOn w:val="1"/>
    <w:uiPriority w:val="0"/>
    <w:pPr>
      <w:adjustRightInd/>
      <w:snapToGrid/>
      <w:spacing w:line="240" w:lineRule="auto"/>
      <w:ind w:firstLine="420"/>
    </w:pPr>
    <w:rPr>
      <w:rFonts w:ascii="仿宋_GB2312" w:hAnsi="Times New Roman" w:eastAsia="宋体" w:cs="Times New Roman"/>
      <w:color w:val="FF6600"/>
      <w:sz w:val="21"/>
    </w:rPr>
  </w:style>
  <w:style w:type="paragraph" w:styleId="11">
    <w:name w:val="Balloon Text"/>
    <w:basedOn w:val="1"/>
    <w:link w:val="30"/>
    <w:uiPriority w:val="0"/>
    <w:pPr>
      <w:adjustRightInd/>
      <w:snapToGrid/>
      <w:spacing w:line="240" w:lineRule="auto"/>
      <w:ind w:firstLine="0" w:firstLineChars="0"/>
    </w:pPr>
    <w:rPr>
      <w:rFonts w:ascii="Times New Roman" w:hAnsi="Times New Roman" w:eastAsia="宋体" w:cs="Times New Roman"/>
      <w:sz w:val="18"/>
      <w:szCs w:val="18"/>
    </w:rPr>
  </w:style>
  <w:style w:type="paragraph" w:styleId="12">
    <w:name w:val="footer"/>
    <w:basedOn w:val="1"/>
    <w:link w:val="22"/>
    <w:uiPriority w:val="0"/>
    <w:pPr>
      <w:tabs>
        <w:tab w:val="center" w:pos="4153"/>
        <w:tab w:val="right" w:pos="8306"/>
      </w:tabs>
      <w:snapToGrid w:val="0"/>
      <w:spacing w:line="240" w:lineRule="atLeast"/>
      <w:jc w:val="left"/>
    </w:pPr>
    <w:rPr>
      <w:rFonts w:ascii="Times New Roman" w:hAnsi="Times New Roman" w:eastAsia="宋体" w:cs="Times New Roman"/>
      <w:sz w:val="18"/>
      <w:szCs w:val="18"/>
    </w:rPr>
  </w:style>
  <w:style w:type="paragraph" w:styleId="13">
    <w:name w:val="header"/>
    <w:basedOn w:val="1"/>
    <w:link w:val="21"/>
    <w:uiPriority w:val="0"/>
    <w:pPr>
      <w:pBdr>
        <w:bottom w:val="single" w:color="auto" w:sz="6" w:space="1"/>
      </w:pBdr>
      <w:tabs>
        <w:tab w:val="center" w:pos="4153"/>
        <w:tab w:val="right" w:pos="8306"/>
      </w:tabs>
      <w:snapToGrid w:val="0"/>
      <w:spacing w:line="240" w:lineRule="atLeast"/>
      <w:jc w:val="center"/>
    </w:pPr>
    <w:rPr>
      <w:rFonts w:ascii="Times New Roman" w:hAnsi="Times New Roman" w:eastAsia="宋体" w:cs="Times New Roman"/>
      <w:sz w:val="18"/>
      <w:szCs w:val="18"/>
    </w:rPr>
  </w:style>
  <w:style w:type="paragraph" w:styleId="14">
    <w:name w:val="HTML Preformatted"/>
    <w:basedOn w:val="1"/>
    <w:link w:val="3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宋体" w:hAnsi="宋体" w:eastAsia="宋体" w:cs="宋体"/>
      <w:kern w:val="0"/>
      <w:sz w:val="24"/>
    </w:rPr>
  </w:style>
  <w:style w:type="table" w:styleId="16">
    <w:name w:val="Table Grid"/>
    <w:basedOn w:val="15"/>
    <w:uiPriority w:val="0"/>
    <w:pPr>
      <w:widowControl w:val="0"/>
      <w:adjustRightInd w:val="0"/>
      <w:snapToGrid w:val="0"/>
      <w:spacing w:line="590" w:lineRule="atLeast"/>
      <w:ind w:firstLine="200" w:firstLineChars="200"/>
      <w:jc w:val="both"/>
    </w:pPr>
    <w:rPr>
      <w:rFonts w:ascii="Times New Roman" w:hAnsi="Times New Roman" w:eastAsia="宋体" w:cs="Times New Roman"/>
    </w:r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uiPriority w:val="0"/>
    <w:rPr>
      <w:rFonts w:ascii="Times New Roman" w:hAnsi="Times New Roman" w:eastAsia="宋体" w:cs="Times New Roman"/>
      <w:b/>
    </w:rPr>
  </w:style>
  <w:style w:type="character" w:styleId="19">
    <w:name w:val="page number"/>
    <w:basedOn w:val="17"/>
    <w:uiPriority w:val="0"/>
    <w:rPr>
      <w:rFonts w:ascii="Times New Roman" w:hAnsi="Times New Roman" w:eastAsia="宋体" w:cs="Times New Roman"/>
    </w:rPr>
  </w:style>
  <w:style w:type="character" w:styleId="20">
    <w:name w:val="Hyperlink"/>
    <w:uiPriority w:val="0"/>
    <w:rPr>
      <w:rFonts w:ascii="Times New Roman" w:hAnsi="Times New Roman" w:eastAsia="宋体" w:cs="Times New Roman"/>
      <w:color w:val="0563C1"/>
      <w:u w:val="single"/>
    </w:rPr>
  </w:style>
  <w:style w:type="character" w:customStyle="1" w:styleId="21">
    <w:name w:val="页眉 Char"/>
    <w:link w:val="13"/>
    <w:uiPriority w:val="0"/>
    <w:rPr>
      <w:rFonts w:ascii="Times New Roman" w:hAnsi="Times New Roman" w:eastAsia="仿宋_GB2312" w:cs="Times New Roman"/>
      <w:kern w:val="2"/>
      <w:sz w:val="18"/>
      <w:szCs w:val="18"/>
      <w:lang w:val="en-US" w:eastAsia="zh-CN" w:bidi="ar-SA"/>
    </w:rPr>
  </w:style>
  <w:style w:type="character" w:customStyle="1" w:styleId="22">
    <w:name w:val="页脚 Char"/>
    <w:link w:val="12"/>
    <w:uiPriority w:val="0"/>
    <w:rPr>
      <w:rFonts w:ascii="Times New Roman" w:hAnsi="Times New Roman" w:eastAsia="仿宋_GB2312" w:cs="Times New Roman"/>
      <w:kern w:val="2"/>
      <w:sz w:val="18"/>
      <w:szCs w:val="18"/>
      <w:lang w:val="en-US" w:eastAsia="zh-CN" w:bidi="ar-SA"/>
    </w:rPr>
  </w:style>
  <w:style w:type="character" w:customStyle="1" w:styleId="23">
    <w:name w:val="标题 2 Char"/>
    <w:aliases w:val="标题 2，节 Char"/>
    <w:link w:val="3"/>
    <w:uiPriority w:val="0"/>
    <w:rPr>
      <w:rFonts w:ascii="Times New Roman" w:hAnsi="Times New Roman" w:eastAsia="黑体" w:cs="Times New Roman"/>
      <w:bCs/>
      <w:kern w:val="2"/>
      <w:sz w:val="32"/>
      <w:szCs w:val="32"/>
    </w:rPr>
  </w:style>
  <w:style w:type="character" w:customStyle="1" w:styleId="24">
    <w:name w:val="标题 1 Char"/>
    <w:link w:val="2"/>
    <w:uiPriority w:val="0"/>
    <w:rPr>
      <w:rFonts w:ascii="Times New Roman" w:hAnsi="Times New Roman" w:eastAsia="方正小标宋简体" w:cs="Times New Roman"/>
      <w:bCs/>
      <w:kern w:val="44"/>
      <w:sz w:val="44"/>
      <w:szCs w:val="44"/>
    </w:rPr>
  </w:style>
  <w:style w:type="character" w:customStyle="1" w:styleId="25">
    <w:name w:val="标题 3 Char"/>
    <w:aliases w:val="标题 3，部分 Char"/>
    <w:link w:val="4"/>
    <w:uiPriority w:val="0"/>
    <w:rPr>
      <w:rFonts w:ascii="Times New Roman" w:hAnsi="Times New Roman" w:eastAsia="楷体_GB2312" w:cs="Times New Roman"/>
      <w:b/>
      <w:bCs/>
      <w:kern w:val="2"/>
      <w:sz w:val="32"/>
      <w:szCs w:val="32"/>
    </w:rPr>
  </w:style>
  <w:style w:type="character" w:customStyle="1" w:styleId="26">
    <w:name w:val="标题 4 Char1"/>
    <w:link w:val="5"/>
    <w:uiPriority w:val="0"/>
    <w:rPr>
      <w:rFonts w:ascii="Times New Roman" w:hAnsi="Times New Roman" w:eastAsia="方正小标宋简体" w:cs="Times New Roman"/>
      <w:bCs/>
      <w:kern w:val="2"/>
      <w:sz w:val="36"/>
      <w:szCs w:val="28"/>
    </w:rPr>
  </w:style>
  <w:style w:type="character" w:customStyle="1" w:styleId="27">
    <w:name w:val="纯文本 Char"/>
    <w:link w:val="8"/>
    <w:uiPriority w:val="0"/>
    <w:rPr>
      <w:rFonts w:ascii="宋体" w:hAnsi="Courier New" w:eastAsia="宋体" w:cs="Courier New"/>
      <w:kern w:val="2"/>
      <w:sz w:val="21"/>
      <w:szCs w:val="21"/>
      <w:lang w:val="en-US" w:eastAsia="zh-CN" w:bidi="ar-SA"/>
    </w:rPr>
  </w:style>
  <w:style w:type="paragraph" w:customStyle="1" w:styleId="28">
    <w:name w:val="表头"/>
    <w:basedOn w:val="1"/>
    <w:uiPriority w:val="0"/>
    <w:pPr>
      <w:spacing w:before="80" w:after="80" w:line="280" w:lineRule="atLeast"/>
      <w:ind w:firstLine="0" w:firstLineChars="0"/>
      <w:jc w:val="center"/>
    </w:pPr>
    <w:rPr>
      <w:rFonts w:ascii="Times New Roman" w:hAnsi="Times New Roman" w:eastAsia="黑体" w:cs="宋体"/>
      <w:sz w:val="24"/>
    </w:rPr>
  </w:style>
  <w:style w:type="paragraph" w:customStyle="1" w:styleId="29">
    <w:name w:val="表内文字"/>
    <w:basedOn w:val="1"/>
    <w:uiPriority w:val="0"/>
    <w:pPr>
      <w:spacing w:before="60" w:after="60" w:line="280" w:lineRule="atLeast"/>
      <w:ind w:firstLine="0" w:firstLineChars="0"/>
    </w:pPr>
    <w:rPr>
      <w:rFonts w:ascii="Times New Roman" w:hAnsi="Times New Roman" w:eastAsia="宋体" w:cs="Times New Roman"/>
      <w:sz w:val="24"/>
    </w:rPr>
  </w:style>
  <w:style w:type="character" w:customStyle="1" w:styleId="30">
    <w:name w:val="批注框文本 Char"/>
    <w:link w:val="11"/>
    <w:uiPriority w:val="0"/>
    <w:rPr>
      <w:rFonts w:ascii="Times New Roman" w:hAnsi="Times New Roman" w:eastAsia="宋体" w:cs="Times New Roman"/>
      <w:kern w:val="2"/>
      <w:sz w:val="18"/>
      <w:szCs w:val="18"/>
      <w:lang w:val="en-US" w:eastAsia="zh-CN" w:bidi="ar-SA"/>
    </w:rPr>
  </w:style>
  <w:style w:type="paragraph" w:customStyle="1" w:styleId="31">
    <w:name w:val="p0"/>
    <w:basedOn w:val="1"/>
    <w:uiPriority w:val="0"/>
    <w:pPr>
      <w:widowControl/>
      <w:adjustRightInd/>
      <w:snapToGrid/>
      <w:spacing w:line="240" w:lineRule="auto"/>
      <w:ind w:firstLine="0" w:firstLineChars="0"/>
    </w:pPr>
    <w:rPr>
      <w:rFonts w:ascii="Times New Roman" w:hAnsi="Times New Roman" w:eastAsia="宋体" w:cs="Times New Roman"/>
      <w:kern w:val="0"/>
      <w:sz w:val="21"/>
      <w:szCs w:val="21"/>
    </w:rPr>
  </w:style>
  <w:style w:type="character" w:customStyle="1" w:styleId="32">
    <w:name w:val="HTML 预设格式 Char"/>
    <w:link w:val="14"/>
    <w:uiPriority w:val="0"/>
    <w:rPr>
      <w:rFonts w:ascii="宋体" w:hAnsi="宋体" w:eastAsia="宋体" w:cs="宋体"/>
      <w:sz w:val="24"/>
      <w:szCs w:val="24"/>
      <w:lang w:val="en-US" w:eastAsia="zh-CN" w:bidi="ar-SA"/>
    </w:rPr>
  </w:style>
  <w:style w:type="paragraph" w:customStyle="1" w:styleId="33">
    <w:name w:val="custom_unionstyle"/>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34">
    <w:name w:val="15"/>
    <w:uiPriority w:val="0"/>
    <w:rPr>
      <w:rFonts w:hint="default" w:ascii="Times New Roman" w:hAnsi="Times New Roman" w:eastAsia="宋体" w:cs="Times New Roman"/>
      <w:color w:val="0000FF"/>
      <w:u w:val="single"/>
    </w:rPr>
  </w:style>
  <w:style w:type="character" w:customStyle="1" w:styleId="35">
    <w:name w:val="标题 4 Char"/>
    <w:uiPriority w:val="0"/>
    <w:rPr>
      <w:rFonts w:ascii="Times New Roman" w:hAnsi="Times New Roman" w:eastAsia="仿宋_GB2312" w:cs="Times New Roman"/>
      <w:bCs/>
      <w:kern w:val="2"/>
      <w:sz w:val="32"/>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10820</Words>
  <Characters>11246</Characters>
  <Lines>86</Lines>
  <Paragraphs>24</Paragraphs>
  <TotalTime>13</TotalTime>
  <ScaleCrop>false</ScaleCrop>
  <LinksUpToDate>false</LinksUpToDate>
  <CharactersWithSpaces>11390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2022-03-24T02:25:00Z</dcterms:created>
  <dc:creator>walkinnet</dc:creator>
  <cp:lastModifiedBy>万全鹏</cp:lastModifiedBy>
  <cp:lastPrinted>2018-03-05T02:10:00Z</cp:lastPrinted>
  <dcterms:modified xsi:type="dcterms:W3CDTF">2023-06-15T02:48:50Z</dcterms:modified>
  <dc:title>湘农业函〔2014〕  号</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D834F51BD48C40AEA63D981F372AAC55</vt:lpwstr>
  </property>
  <property fmtid="{D5CDD505-2E9C-101B-9397-08002B2CF9AE}" pid="3" name="KSOProductBuildVer">
    <vt:lpwstr>2052-11.1.0.12763</vt:lpwstr>
  </property>
</Properties>
</file>