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rPr>
      </w:pPr>
      <w:r>
        <w:rPr>
          <w:rFonts w:hint="eastAsia"/>
        </w:rPr>
        <w:t>HNPR-2023-17017</w:t>
      </w:r>
    </w:p>
    <w:p>
      <w:pPr>
        <w:spacing w:line="400" w:lineRule="atLeast"/>
        <w:ind w:firstLine="0" w:firstLineChars="0"/>
        <w:rPr>
          <w:rFonts w:hint="eastAsia"/>
        </w:rPr>
      </w:pPr>
    </w:p>
    <w:p>
      <w:pPr>
        <w:spacing w:line="700" w:lineRule="atLeast"/>
        <w:ind w:left="0" w:leftChars="0" w:firstLine="0" w:firstLineChars="0"/>
        <w:jc w:val="center"/>
        <w:rPr>
          <w:color w:val="000000"/>
          <w:sz w:val="32"/>
          <w:szCs w:val="32"/>
        </w:rPr>
      </w:pPr>
      <w:r>
        <w:rPr>
          <w:color w:val="000000"/>
          <w:sz w:val="32"/>
          <w:szCs w:val="32"/>
        </w:rPr>
        <w:t>湘农联〔2023〕91号</w:t>
      </w:r>
    </w:p>
    <w:p>
      <w:pPr>
        <w:spacing w:line="700" w:lineRule="atLeast"/>
        <w:ind w:left="0" w:leftChars="0" w:firstLine="0" w:firstLineChars="0"/>
        <w:jc w:val="center"/>
        <w:rPr>
          <w:color w:val="000000"/>
          <w:sz w:val="32"/>
          <w:szCs w:val="32"/>
        </w:rPr>
      </w:pPr>
    </w:p>
    <w:p>
      <w:pPr>
        <w:pStyle w:val="2"/>
        <w:spacing w:line="620" w:lineRule="exact"/>
        <w:rPr>
          <w:lang w:val="en"/>
        </w:rPr>
      </w:pPr>
      <w:r>
        <w:t xml:space="preserve">湖南省农业农村厅  </w:t>
      </w:r>
      <w:r>
        <w:rPr>
          <w:lang w:val="en"/>
        </w:rPr>
        <w:t>中国农业银行湖南省分行</w:t>
      </w:r>
    </w:p>
    <w:p>
      <w:pPr>
        <w:pStyle w:val="2"/>
        <w:spacing w:line="620" w:lineRule="exact"/>
      </w:pPr>
      <w:r>
        <w:t>关于印发《湖南省金融助力畜牧业</w:t>
      </w:r>
    </w:p>
    <w:p>
      <w:pPr>
        <w:pStyle w:val="2"/>
        <w:spacing w:line="620" w:lineRule="exact"/>
      </w:pPr>
      <w:bookmarkStart w:id="0" w:name="_GoBack"/>
      <w:bookmarkEnd w:id="0"/>
      <w:r>
        <w:t>高质量发展实施方案》的通知</w:t>
      </w:r>
    </w:p>
    <w:p>
      <w:pPr>
        <w:spacing w:line="460" w:lineRule="atLeast"/>
        <w:ind w:firstLine="640"/>
      </w:pPr>
    </w:p>
    <w:p>
      <w:pPr>
        <w:spacing w:line="460" w:lineRule="atLeast"/>
        <w:ind w:firstLine="0" w:firstLineChars="0"/>
      </w:pPr>
      <w:r>
        <w:t>各市州</w:t>
      </w:r>
      <w:r>
        <w:rPr>
          <w:rFonts w:hint="eastAsia"/>
        </w:rPr>
        <w:t>、县</w:t>
      </w:r>
      <w:r>
        <w:t>农业农村局（畜牧水产事务中心），中国农业银行湖南省分行各二级支行、县支行：</w:t>
      </w:r>
    </w:p>
    <w:p>
      <w:pPr>
        <w:spacing w:line="460" w:lineRule="atLeast"/>
        <w:ind w:firstLine="640"/>
      </w:pPr>
      <w:r>
        <w:t>现将《湖南省金融助力畜牧业高质量发展实施方案》印发给你们。请根据方案要求，结合工作实际，加强协同配合，创新方式方法，加大金融支持力度，助力畜牧业高质量发展。</w:t>
      </w:r>
    </w:p>
    <w:p>
      <w:pPr>
        <w:pStyle w:val="31"/>
        <w:spacing w:line="460" w:lineRule="atLeast"/>
        <w:ind w:left="870" w:firstLine="0" w:firstLineChars="0"/>
        <w:rPr>
          <w:rFonts w:ascii="Times New Roman" w:hAnsi="Times New Roman" w:eastAsia="仿宋"/>
          <w:sz w:val="32"/>
          <w:szCs w:val="32"/>
        </w:rPr>
      </w:pPr>
    </w:p>
    <w:p>
      <w:pPr>
        <w:pStyle w:val="31"/>
        <w:spacing w:line="460" w:lineRule="atLeast"/>
        <w:ind w:left="870" w:firstLine="0" w:firstLineChars="0"/>
        <w:rPr>
          <w:rFonts w:ascii="Times New Roman" w:hAnsi="Times New Roman" w:eastAsia="仿宋"/>
          <w:sz w:val="32"/>
          <w:szCs w:val="32"/>
        </w:rPr>
      </w:pPr>
    </w:p>
    <w:p>
      <w:pPr>
        <w:pStyle w:val="5"/>
        <w:spacing w:line="460" w:lineRule="atLeast"/>
        <w:ind w:firstLine="720"/>
      </w:pPr>
      <w:r>
        <w:rPr>
          <w:spacing w:val="20"/>
          <w:szCs w:val="32"/>
        </w:rPr>
        <w:t>湖南省农业农村厅</w:t>
      </w:r>
      <w:r>
        <w:t xml:space="preserve">        </w:t>
      </w:r>
      <w:r>
        <w:rPr>
          <w:spacing w:val="-6"/>
        </w:rPr>
        <w:t>中国农业银行湖南省分行</w:t>
      </w:r>
    </w:p>
    <w:p>
      <w:pPr>
        <w:pStyle w:val="5"/>
        <w:spacing w:line="460" w:lineRule="atLeast"/>
        <w:ind w:firstLine="432" w:firstLineChars="135"/>
      </w:pPr>
      <w:r>
        <w:t xml:space="preserve">                              2023年11月</w:t>
      </w:r>
      <w:r>
        <w:rPr>
          <w:rFonts w:hint="eastAsia"/>
        </w:rPr>
        <w:t>23</w:t>
      </w:r>
      <w:r>
        <w:t>日</w:t>
      </w:r>
    </w:p>
    <w:p>
      <w:pPr>
        <w:ind w:firstLine="640"/>
      </w:pPr>
      <w:r>
        <w:br w:type="page"/>
      </w:r>
    </w:p>
    <w:p>
      <w:pPr>
        <w:pStyle w:val="2"/>
        <w:rPr>
          <w:kern w:val="2"/>
        </w:rPr>
      </w:pPr>
      <w:r>
        <w:t>湖南省金融助力畜牧业高质量发展实施方案</w:t>
      </w:r>
    </w:p>
    <w:p>
      <w:pPr>
        <w:spacing w:line="580" w:lineRule="exact"/>
        <w:ind w:firstLine="420"/>
        <w:rPr>
          <w:rFonts w:eastAsia="宋体"/>
          <w:sz w:val="21"/>
        </w:rPr>
      </w:pPr>
    </w:p>
    <w:p>
      <w:pPr>
        <w:ind w:firstLine="640"/>
      </w:pPr>
      <w:r>
        <w:t>为贯彻落实《湖南省人民政府办公厅关于促进畜牧业高质量发展的实施意见》（湘政</w:t>
      </w:r>
      <w:r>
        <w:rPr>
          <w:rFonts w:hint="eastAsia"/>
        </w:rPr>
        <w:t>办</w:t>
      </w:r>
      <w:r>
        <w:t>发〔2021</w:t>
      </w:r>
      <w:r>
        <w:rPr>
          <w:rFonts w:eastAsia="微软雅黑"/>
        </w:rPr>
        <w:t>〕</w:t>
      </w:r>
      <w:r>
        <w:t>28号）、《农业农村部办公厅中国农业银行办公室关于印发〈金融助力畜牧业高质量发展工作方案〉的通知》（农办牧〔2022〕21号）精神，结合我省实际，制定本实施方案。</w:t>
      </w:r>
    </w:p>
    <w:p>
      <w:pPr>
        <w:pStyle w:val="3"/>
        <w:ind w:firstLine="640"/>
      </w:pPr>
      <w:r>
        <w:t>一、总体思路</w:t>
      </w:r>
    </w:p>
    <w:p>
      <w:pPr>
        <w:ind w:firstLine="640"/>
      </w:pPr>
      <w:r>
        <w:t>落实党中央、国务院决策部署，按照农业农村部、中国农业银行的工作安排，以推进畜牧业高质量发展为目标，以强化金融服务为着力点，聚焦畜牧业发展重点领域、关键主体和产业链核心环节，创新金融产品，推行精准服务，完善工作机制，探索政银合作金融服务畜牧业的新模式，激发产业发展活力，加快推进我省畜牧业转型升级，实现由养殖大省向养殖强省转变。2024年度，全省农业银行系统发放“五位一体”智慧畜牧贷50亿元以上，争取达到100亿元。往后年度，根据畜牧业金融需求，实现逐年增长。</w:t>
      </w:r>
    </w:p>
    <w:p>
      <w:pPr>
        <w:pStyle w:val="3"/>
        <w:ind w:firstLine="640"/>
      </w:pPr>
      <w:r>
        <w:t>二、基本原则</w:t>
      </w:r>
    </w:p>
    <w:p>
      <w:pPr>
        <w:ind w:firstLine="643"/>
        <w:rPr>
          <w:rFonts w:eastAsia="楷体"/>
          <w:b/>
          <w:bCs/>
        </w:rPr>
      </w:pPr>
      <w:r>
        <w:rPr>
          <w:rStyle w:val="24"/>
        </w:rPr>
        <w:t>（一）因地制宜，分类施策。</w:t>
      </w:r>
      <w:r>
        <w:t>综合考虑不同地区资源禀赋、不同畜种产业发展水平和不同经营主体基础条件，分门别类、因地制宜制定金融服务方案，增强金融服务的针对性。</w:t>
      </w:r>
    </w:p>
    <w:p>
      <w:pPr>
        <w:ind w:firstLine="643"/>
      </w:pPr>
      <w:r>
        <w:rPr>
          <w:rStyle w:val="24"/>
        </w:rPr>
        <w:t>（二）突出重点，统筹兼顾。</w:t>
      </w:r>
      <w:r>
        <w:t>以5000亿级生猪产业链、1000亿级特色畜禽产业链为主，在区域上向畜禽养殖大市、养殖大县倾斜，在发展主体上突出大型龙头企业、中小规模企业， 在支持环节上突出良种繁育、规模养殖、饲料生产、畜禽屠宰、肉类加工、冷链运销等，加大全产业链支持力度。</w:t>
      </w:r>
    </w:p>
    <w:p>
      <w:pPr>
        <w:ind w:firstLine="643"/>
      </w:pPr>
      <w:r>
        <w:rPr>
          <w:rStyle w:val="24"/>
        </w:rPr>
        <w:t>（三）探索创新，精准服务。</w:t>
      </w:r>
      <w:r>
        <w:t>创新符合监管要求的金融服务产品、差异化信贷政策和多元化融资模式，利用现代信息化手段，推行精准服务，提高工作效率，防范金融风险。</w:t>
      </w:r>
    </w:p>
    <w:p>
      <w:pPr>
        <w:pStyle w:val="3"/>
        <w:ind w:firstLine="640"/>
      </w:pPr>
      <w:r>
        <w:t>三、主要工作措施</w:t>
      </w:r>
    </w:p>
    <w:p>
      <w:pPr>
        <w:ind w:firstLine="643"/>
      </w:pPr>
      <w:r>
        <w:rPr>
          <w:rStyle w:val="24"/>
        </w:rPr>
        <w:t>（一）支持畜禽良种培育与推广。</w:t>
      </w:r>
      <w:r>
        <w:t>对农业农村部认定的国家畜禽种业阵型企业直接认定为支持类，提升服务层级，匹配全方位金融服务产品，符合条件的可采用信用方式用信；项目贷款资本金比例可按农行最低标准执行。大力支持国家级、省级畜禽核心育种场、保种场以及省级以上畜禽保种场、原种场、扩繁场等育繁基地建设，为其开展基础设施建设、设施设备等固定资产建设和基地日常运营等提供信贷支持。</w:t>
      </w:r>
    </w:p>
    <w:p>
      <w:pPr>
        <w:ind w:firstLine="643"/>
      </w:pPr>
      <w:r>
        <w:rPr>
          <w:rStyle w:val="24"/>
        </w:rPr>
        <w:t>（二）支持发展设施化智能化养殖。</w:t>
      </w:r>
      <w:r>
        <w:t>大力支持生猪标准化规模化设施化智能化养殖，围绕湘南外向型优质猪肉供应区、长株潭地方优质猪养殖区、洞庭湖现代农牧循环示范区、湘中湘西现代生态养殖示范区等“优质湘猪”工程重点发展区域，对省内生猪产业龙头企业资金需求采用固定资产、流动资金、产业链等贷款产品重点支持；对养殖大户、农民专业合作社、中小规模养殖场户等经营主体日常生产资金需求，匹配农民专业合作社贷款、微捷贷、“五位一体”智慧畜牧贷等产品进行支持；对小型微型养殖户资金需求采用个人生产经营贷款、惠农e贷、农户小额贷款等产品支持。</w:t>
      </w:r>
    </w:p>
    <w:p>
      <w:pPr>
        <w:ind w:firstLine="643"/>
      </w:pPr>
      <w:r>
        <w:rPr>
          <w:rStyle w:val="24"/>
        </w:rPr>
        <w:t>（三）支持畜禽产品加工流通体系建设。</w:t>
      </w:r>
      <w:r>
        <w:t>以畜牧行业国家级、省级龙头企业、省级畜禽屠宰标准化示范场为重点，支持其开展养殖、屠宰、加工、仓储、配送、销售一体化经营，满足企业在固定资产投资、流动资金、国际贸易等领域融资需求。支持定点屠宰企业、物流配送企业、畜牧行业龙头企业配套建设屠宰分割、冷链储运、生鲜加工等冷藏加工设施和冷链物流设施，完善冷链配送物流体系。</w:t>
      </w:r>
    </w:p>
    <w:p>
      <w:pPr>
        <w:ind w:firstLine="643"/>
      </w:pPr>
      <w:r>
        <w:rPr>
          <w:rStyle w:val="24"/>
        </w:rPr>
        <w:t>（四）支持畜牧业全产业链发展。</w:t>
      </w:r>
      <w:r>
        <w:t>以畜禽产业化联合体核心企业为依托，降低准入条件，依据联合体核心企业与成员间的交易数据和信息，运用应收e贷、e账通、保理e融、订单e贷等链捷贷线上信贷产品，精准支持联合体上下游成员。对符合农业银行制度规定的联合体成员，在核心企业提供符合制度规定的保证担保、贷款代偿、差额</w:t>
      </w:r>
      <w:r>
        <w:rPr>
          <w:spacing w:val="-6"/>
        </w:rPr>
        <w:t>补足、付款责任、回购责任等增信措施的前提下，上下游成员办理供应链融资业务可采用信用方式。围绕“育种+养殖+流通+加工+销售”等各环节，沿产业链利用银企通、商e付等平台，为联合体成员提供便</w:t>
      </w:r>
      <w:r>
        <w:t xml:space="preserve">捷开户、结算等金融服务。  </w:t>
      </w:r>
    </w:p>
    <w:p>
      <w:pPr>
        <w:ind w:firstLine="618"/>
        <w:rPr>
          <w:spacing w:val="-6"/>
        </w:rPr>
      </w:pPr>
      <w:r>
        <w:rPr>
          <w:rStyle w:val="24"/>
          <w:spacing w:val="-6"/>
        </w:rPr>
        <w:t>（五）支持智慧畜牧贷款发展。</w:t>
      </w:r>
      <w:r>
        <w:rPr>
          <w:spacing w:val="-6"/>
        </w:rPr>
        <w:t>运用物联网、人工智能、大数据、云计算等技术手段，以科技赋能畜牧业高质量发展。以全省中小规模生猪养殖场户为重点，推广农行“智慧畜牧”场景或第三方“智慧畜牧”合作平台和“五位一体”智慧畜牧贷产品，助力规模化养殖主体智能化水平提升，提高信贷可获得性及精细化管理水平。</w:t>
      </w:r>
    </w:p>
    <w:p>
      <w:pPr>
        <w:ind w:firstLine="643"/>
      </w:pPr>
      <w:r>
        <w:rPr>
          <w:rStyle w:val="24"/>
        </w:rPr>
        <w:t>（六）进一步创新优化抵质押担保方式。</w:t>
      </w:r>
      <w:r>
        <w:t>结合湖南实际，创新担保方式，探索开展土地经营权、养殖圈舍等涉农特色抵质押方式。积极稳妥推广生猪、奶牛活体抵押，探索开展肉牛等活体抵押贷款。运用互联网技术开展牲畜活体抵押物抵押、监管、处置等工作。在动产抵押登记的基础上，探索在动物检疫环节开展自愿在线备案登记，支持银行强化抵押畜禽活体贷后管理，为更多养殖户发放信用贷款。</w:t>
      </w:r>
    </w:p>
    <w:p>
      <w:pPr>
        <w:ind w:firstLine="643"/>
      </w:pPr>
      <w:r>
        <w:rPr>
          <w:rStyle w:val="24"/>
        </w:rPr>
        <w:t>（七）进一步做好数据支撑保障。</w:t>
      </w:r>
      <w:r>
        <w:t>加快畜牧兽医行业数据资源共享，加大补贴平台、项目平台、动检平台、新型经营主体平台等数据系统对接共享，为金融机构及时推荐生畜养殖、屠宰等项目清单。</w:t>
      </w:r>
    </w:p>
    <w:p>
      <w:pPr>
        <w:pStyle w:val="3"/>
        <w:ind w:firstLine="640"/>
      </w:pPr>
      <w:r>
        <w:t>四、支持保障</w:t>
      </w:r>
    </w:p>
    <w:p>
      <w:pPr>
        <w:ind w:firstLine="643"/>
        <w:rPr>
          <w:rFonts w:eastAsia="楷体"/>
          <w:b/>
          <w:bCs/>
        </w:rPr>
      </w:pPr>
      <w:r>
        <w:rPr>
          <w:rStyle w:val="24"/>
        </w:rPr>
        <w:t>（一）建立银政联动工作机制。</w:t>
      </w:r>
      <w:r>
        <w:t>各级农业农村（畜牧兽医）部门要与农行相应分支机构建立顺畅的沟通协作渠道，完善信息共享机制，至少每季开展一次座谈，交流、互通政策信息，协调解决问题障碍。加强业务指导，因地制宜联合组织开展业务培训，推广相关金融产品和服务模式。各级农业农村（畜牧兽医）部门要积极向农行分支机构提供畜牧兽医行业的国家畜禽种业阵型企业、省级以上核心育种场、原种场、扩繁场、畜禽养殖标准化示范场、畜禽屠宰标准化示范场以及龙头企业等资源清单，便于农业银行开展针对性金融支持。</w:t>
      </w:r>
    </w:p>
    <w:p>
      <w:pPr>
        <w:ind w:firstLine="643"/>
      </w:pPr>
      <w:r>
        <w:rPr>
          <w:rStyle w:val="24"/>
        </w:rPr>
        <w:t>（二）配置优惠政策。</w:t>
      </w:r>
      <w:r>
        <w:t>实施减费让利，农业银行对畜牧行业各类经营主体贷款，在政策规定范围内实行优惠利率，监管部门有规定的，严格执行相关规定；对符合条件的农业产业化龙头企业、农民专业合作社，可减免结算账户开立、维护等费用，最大限度降低经营主体资金成本。省农行及各市县分支机构对畜牧行业各经营主体办理的业务，尤其是融资业务，实行优先调查、优先审查、优先放贷，建立绿色通道，在符合监管法规和实质风险可控前提下，简化流程，提高效率；优先安排信贷规模，满足全产业链各主体资金需求。农业农村（畜牧兽医）部门要将符合条件的贷款主体纳入新型农业经营主体贷款贴息支持范围，按要求进行贷款贴息，降低养殖经营主体贷款成本。</w:t>
      </w:r>
    </w:p>
    <w:p>
      <w:pPr>
        <w:ind w:firstLine="643"/>
      </w:pPr>
      <w:r>
        <w:rPr>
          <w:rStyle w:val="24"/>
        </w:rPr>
        <w:t>（三）做好总结宣传工作。</w:t>
      </w:r>
      <w:r>
        <w:t>各级农业农村（畜牧兽医）部门和农业银行各分支机构要在工作实践基础上，及时总结金融支持畜牧业发展的好经验、好做法，加强宣传，积极营造金融助力畜牧业高质量发展的良好氛围。市</w:t>
      </w:r>
      <w:r>
        <w:rPr>
          <w:rFonts w:hint="eastAsia"/>
        </w:rPr>
        <w:t>州</w:t>
      </w:r>
      <w:r>
        <w:t>农业农村（畜牧兽医）部门和农行各市分行于每月10日前将双方合作工作开展情况、经验做法，以及工作协调推进中存在的问题、建议等分别报送省农业农村厅和省农行联系人。</w:t>
      </w:r>
    </w:p>
    <w:p>
      <w:pPr>
        <w:ind w:firstLine="640"/>
        <w:rPr>
          <w:rFonts w:hint="eastAsia"/>
        </w:rPr>
      </w:pPr>
      <w:r>
        <w:rPr>
          <w:rFonts w:hint="eastAsia"/>
        </w:rPr>
        <w:t>本</w:t>
      </w:r>
      <w:r>
        <w:t>方案自发布之日</w:t>
      </w:r>
      <w:r>
        <w:rPr>
          <w:rFonts w:hint="eastAsia"/>
        </w:rPr>
        <w:t>起</w:t>
      </w:r>
      <w:r>
        <w:t>施行</w:t>
      </w:r>
      <w:r>
        <w:rPr>
          <w:rFonts w:hint="eastAsia"/>
        </w:rPr>
        <w:t>，</w:t>
      </w:r>
      <w:r>
        <w:t>有效期</w:t>
      </w:r>
      <w:r>
        <w:rPr>
          <w:rFonts w:hint="eastAsia"/>
        </w:rPr>
        <w:t>5年</w:t>
      </w:r>
      <w:r>
        <w:t>。</w:t>
      </w:r>
    </w:p>
    <w:p>
      <w:pPr>
        <w:ind w:firstLine="640"/>
        <w:rPr>
          <w:rFonts w:hint="eastAsia"/>
        </w:rPr>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5" w:left="1531" w:header="851" w:footer="1588" w:gutter="0"/>
          <w:cols w:space="425" w:num="1"/>
          <w:docGrid w:type="linesAndChars" w:linePitch="579" w:charSpace="0"/>
        </w:sectPr>
      </w:pPr>
    </w:p>
    <w:p>
      <w:pPr>
        <w:ind w:firstLine="640"/>
      </w:pPr>
    </w:p>
    <w:p>
      <w:pPr>
        <w:ind w:firstLine="0" w:firstLineChars="0"/>
      </w:pPr>
      <w:r>
        <w:br w:type="page"/>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pStyle w:val="5"/>
        <w:ind w:firstLine="0" w:firstLineChars="0"/>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620" w:lineRule="exact"/>
        <w:ind w:firstLine="640"/>
      </w:pPr>
    </w:p>
    <w:p>
      <w:pPr>
        <w:spacing w:line="620" w:lineRule="exact"/>
        <w:ind w:firstLine="640"/>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100" w:lineRule="exact"/>
        <w:ind w:firstLine="640"/>
        <w:rPr>
          <w:szCs w:val="32"/>
        </w:rPr>
      </w:pPr>
    </w:p>
    <w:p>
      <w:pPr>
        <w:spacing w:line="520" w:lineRule="exact"/>
        <w:ind w:firstLine="0" w:firstLineChars="0"/>
        <w:rPr>
          <w:szCs w:val="32"/>
        </w:rPr>
      </w:pPr>
      <w:r>
        <w:rPr>
          <w:rFonts w:eastAsia="黑体"/>
          <w:sz w:val="28"/>
          <w:szCs w:val="28"/>
        </w:rPr>
        <w:t>信息公开选项：</w:t>
      </w:r>
      <w:r>
        <w:rPr>
          <w:rFonts w:eastAsia="方正小标宋简体"/>
          <w:sz w:val="28"/>
          <w:szCs w:val="28"/>
        </w:rPr>
        <w:t>公开</w:t>
      </w:r>
    </w:p>
    <w:p>
      <w:pPr>
        <w:spacing w:line="520" w:lineRule="exact"/>
        <w:ind w:firstLine="280" w:firstLineChars="100"/>
      </w:pPr>
      <w:r>
        <w:rPr>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27305</wp:posOffset>
                </wp:positionV>
                <wp:extent cx="5615940" cy="0"/>
                <wp:effectExtent l="6350" t="5080" r="6985" b="13970"/>
                <wp:wrapNone/>
                <wp:docPr id="2052565397" name="Line 5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ln>
                      </wps:spPr>
                      <wps:bodyPr/>
                    </wps:wsp>
                  </a:graphicData>
                </a:graphic>
              </wp:anchor>
            </w:drawing>
          </mc:Choice>
          <mc:Fallback>
            <w:pict>
              <v:line id="Line 52" o:spid="_x0000_s1026" o:spt="20" style="position:absolute;left:0pt;margin-left:-0.3pt;margin-top:2.15pt;height:0pt;width:442.2pt;z-index:251659264;mso-width-relative:page;mso-height-relative:page;" filled="f" stroked="t" coordsize="21600,21600" o:gfxdata="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56hZ7VAAAABQEAAA8AAAAAAAAAAQAgAAAAIgAA&#10;AGRycy9kb3ducmV2LnhtbFBLAQIUABQAAAAIAIdO4kA2hu0Q0gEAAKkDAAAOAAAAAAAAAAEAIAAA&#10;ACQBAABkcnMvZTJvRG9jLnhtbFBLBQYAAAAABgAGAFkBAABoBQAAAAA=&#10;">
                <v:fill on="f" focussize="0,0"/>
                <v:stroke weight="0.35pt" color="#000000" joinstyle="round"/>
                <v:imagedata o:title=""/>
                <o:lock v:ext="edit" aspectratio="f"/>
              </v:line>
            </w:pict>
          </mc:Fallback>
        </mc:AlternateContent>
      </w:r>
      <w:r>
        <w:rPr>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386715</wp:posOffset>
                </wp:positionV>
                <wp:extent cx="5615940" cy="0"/>
                <wp:effectExtent l="10160" t="12065" r="12700" b="6985"/>
                <wp:wrapNone/>
                <wp:docPr id="1463652105" name="Line 5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ln>
                      </wps:spPr>
                      <wps:bodyPr/>
                    </wps:wsp>
                  </a:graphicData>
                </a:graphic>
              </wp:anchor>
            </w:drawing>
          </mc:Choice>
          <mc:Fallback>
            <w:pict>
              <v:line id="Line 53" o:spid="_x0000_s1026" o:spt="20" style="position:absolute;left:0pt;margin-left:0pt;margin-top:30.45pt;height:0pt;width:442.2pt;z-index:251660288;mso-width-relative:page;mso-height-relative:page;" filled="f" stroked="t" coordsize="21600,21600" o:gfxdata="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Jhmb71gAAAAYBAAAPAAAAAAAAAAEAIAAAACIA&#10;AABkcnMvZG93bnJldi54bWxQSwECFAAUAAAACACHTuJAc3oYVNIBAACpAwAADgAAAAAAAAABACAA&#10;AAAlAQAAZHJzL2Uyb0RvYy54bWxQSwUGAAAAAAYABgBZAQAAaQUAAAAA&#10;">
                <v:fill on="f" focussize="0,0"/>
                <v:stroke weight="0.35pt" color="#000000" joinstyle="round"/>
                <v:imagedata o:title=""/>
                <o:lock v:ext="edit" aspectratio="f"/>
              </v:line>
            </w:pict>
          </mc:Fallback>
        </mc:AlternateContent>
      </w:r>
      <w:r>
        <w:rPr>
          <w:color w:val="000000"/>
          <w:sz w:val="28"/>
          <w:szCs w:val="28"/>
        </w:rPr>
        <w:t>湖南省农业农村厅办公室                 2023年11月</w:t>
      </w:r>
      <w:r>
        <w:rPr>
          <w:rFonts w:hint="eastAsia"/>
          <w:color w:val="000000"/>
          <w:sz w:val="28"/>
          <w:szCs w:val="28"/>
        </w:rPr>
        <w:t>23</w:t>
      </w:r>
      <w:r>
        <w:rPr>
          <w:color w:val="000000"/>
          <w:sz w:val="28"/>
          <w:szCs w:val="28"/>
        </w:rPr>
        <w:t>日印发</w:t>
      </w:r>
    </w:p>
    <w:sectPr>
      <w:footerReference r:id="rId11" w:type="default"/>
      <w:pgSz w:w="11906" w:h="16838"/>
      <w:pgMar w:top="2098" w:right="1531" w:bottom="1985" w:left="1531" w:header="851" w:footer="1588" w:gutter="0"/>
      <w:cols w:space="425" w:num="1"/>
      <w:docGrid w:type="linesAndChar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DF382C-8EBC-417E-8FC7-F98115CB6D2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4A24F645-7916-4CDB-80B2-5CE939690C2E}"/>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0" w:firstLineChars="0"/>
      <w:rPr>
        <w:rStyle w:val="17"/>
        <w:sz w:val="28"/>
        <w:szCs w:val="28"/>
      </w:rPr>
    </w:pPr>
    <w:r>
      <w:rPr>
        <w:rStyle w:val="17"/>
        <w:sz w:val="28"/>
        <w:szCs w:val="28"/>
      </w:rPr>
      <w:t>—</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6</w:t>
    </w:r>
    <w:r>
      <w:rPr>
        <w:rStyle w:val="17"/>
        <w:sz w:val="28"/>
        <w:szCs w:val="28"/>
      </w:rPr>
      <w:fldChar w:fldCharType="end"/>
    </w:r>
    <w:r>
      <w:rPr>
        <w:rStyle w:val="17"/>
        <w:sz w:val="28"/>
        <w:szCs w:val="28"/>
      </w:rPr>
      <w:t>—</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360"/>
      <w:rPr>
        <w:rStyle w:val="17"/>
      </w:rPr>
    </w:pPr>
    <w:r>
      <w:rPr>
        <w:rStyle w:val="17"/>
      </w:rPr>
      <w:fldChar w:fldCharType="begin"/>
    </w:r>
    <w:r>
      <w:rPr>
        <w:rStyle w:val="17"/>
      </w:rPr>
      <w:instrText xml:space="preserve">PAGE  </w:instrText>
    </w:r>
    <w:r>
      <w:rPr>
        <w:rStyle w:val="17"/>
      </w:rPr>
      <w:fldChar w:fldCharType="separate"/>
    </w:r>
    <w:r>
      <w:rPr>
        <w:rStyle w:val="17"/>
      </w:rPr>
      <w:t>2</w:t>
    </w:r>
    <w:r>
      <w:rPr>
        <w:rStyle w:val="17"/>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rawingGridHorizontalSpacing w:val="160"/>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3ZGExZjYwMTI4YmMyMDhjZTQxZmYxZDI0ZTcyMmYifQ=="/>
  </w:docVars>
  <w:rsids>
    <w:rsidRoot w:val="00251ED1"/>
    <w:rsid w:val="00006C32"/>
    <w:rsid w:val="000070BB"/>
    <w:rsid w:val="00007908"/>
    <w:rsid w:val="00007A2A"/>
    <w:rsid w:val="00011549"/>
    <w:rsid w:val="0001543F"/>
    <w:rsid w:val="00023A57"/>
    <w:rsid w:val="00027308"/>
    <w:rsid w:val="00031F73"/>
    <w:rsid w:val="0003712D"/>
    <w:rsid w:val="0004127B"/>
    <w:rsid w:val="000457E6"/>
    <w:rsid w:val="000460D7"/>
    <w:rsid w:val="00061E0A"/>
    <w:rsid w:val="00074A5A"/>
    <w:rsid w:val="00075610"/>
    <w:rsid w:val="00081764"/>
    <w:rsid w:val="00090311"/>
    <w:rsid w:val="000C1B41"/>
    <w:rsid w:val="000D695F"/>
    <w:rsid w:val="000D7E84"/>
    <w:rsid w:val="000E4C41"/>
    <w:rsid w:val="000E5D63"/>
    <w:rsid w:val="000F5A62"/>
    <w:rsid w:val="0010709A"/>
    <w:rsid w:val="00122A9A"/>
    <w:rsid w:val="001268CD"/>
    <w:rsid w:val="001277C4"/>
    <w:rsid w:val="00136317"/>
    <w:rsid w:val="00137536"/>
    <w:rsid w:val="001377BA"/>
    <w:rsid w:val="0015554F"/>
    <w:rsid w:val="001667C6"/>
    <w:rsid w:val="001863D9"/>
    <w:rsid w:val="0019261B"/>
    <w:rsid w:val="00195864"/>
    <w:rsid w:val="001C22AE"/>
    <w:rsid w:val="001D0727"/>
    <w:rsid w:val="001D2116"/>
    <w:rsid w:val="001D4AFD"/>
    <w:rsid w:val="001E56FA"/>
    <w:rsid w:val="001F34A1"/>
    <w:rsid w:val="001F7E44"/>
    <w:rsid w:val="00203141"/>
    <w:rsid w:val="00203178"/>
    <w:rsid w:val="00204008"/>
    <w:rsid w:val="0020637D"/>
    <w:rsid w:val="00215AAE"/>
    <w:rsid w:val="00226497"/>
    <w:rsid w:val="00234A52"/>
    <w:rsid w:val="00242B1D"/>
    <w:rsid w:val="00247CFE"/>
    <w:rsid w:val="00251ED1"/>
    <w:rsid w:val="00256467"/>
    <w:rsid w:val="00293EAF"/>
    <w:rsid w:val="00293F32"/>
    <w:rsid w:val="002A3CA4"/>
    <w:rsid w:val="002B4D5A"/>
    <w:rsid w:val="002C02DE"/>
    <w:rsid w:val="002C2BE9"/>
    <w:rsid w:val="002C3CA3"/>
    <w:rsid w:val="002D5F5D"/>
    <w:rsid w:val="002E37FF"/>
    <w:rsid w:val="002F4908"/>
    <w:rsid w:val="002F5464"/>
    <w:rsid w:val="00306C8D"/>
    <w:rsid w:val="00317186"/>
    <w:rsid w:val="00317EE2"/>
    <w:rsid w:val="00322361"/>
    <w:rsid w:val="003326BD"/>
    <w:rsid w:val="00340785"/>
    <w:rsid w:val="00346980"/>
    <w:rsid w:val="00354E3D"/>
    <w:rsid w:val="003627C3"/>
    <w:rsid w:val="00366EC5"/>
    <w:rsid w:val="003812E0"/>
    <w:rsid w:val="003837BF"/>
    <w:rsid w:val="003A225C"/>
    <w:rsid w:val="003B61D2"/>
    <w:rsid w:val="003B68C1"/>
    <w:rsid w:val="003C00A0"/>
    <w:rsid w:val="003C09BA"/>
    <w:rsid w:val="003C49EA"/>
    <w:rsid w:val="003D03FC"/>
    <w:rsid w:val="003D1A2E"/>
    <w:rsid w:val="003D383D"/>
    <w:rsid w:val="003D4160"/>
    <w:rsid w:val="003E073A"/>
    <w:rsid w:val="003E6E7A"/>
    <w:rsid w:val="003F6070"/>
    <w:rsid w:val="003F6FAE"/>
    <w:rsid w:val="004022CC"/>
    <w:rsid w:val="004169B5"/>
    <w:rsid w:val="0042011E"/>
    <w:rsid w:val="0042601C"/>
    <w:rsid w:val="00427D75"/>
    <w:rsid w:val="00446069"/>
    <w:rsid w:val="00450179"/>
    <w:rsid w:val="00454265"/>
    <w:rsid w:val="00457133"/>
    <w:rsid w:val="004645D7"/>
    <w:rsid w:val="0048169E"/>
    <w:rsid w:val="004A0B6C"/>
    <w:rsid w:val="004A4F35"/>
    <w:rsid w:val="004A655E"/>
    <w:rsid w:val="004B4FE9"/>
    <w:rsid w:val="004C572F"/>
    <w:rsid w:val="004D0131"/>
    <w:rsid w:val="004E5DDE"/>
    <w:rsid w:val="004E6FE0"/>
    <w:rsid w:val="004F27E6"/>
    <w:rsid w:val="00501961"/>
    <w:rsid w:val="00520B7F"/>
    <w:rsid w:val="00527AFA"/>
    <w:rsid w:val="00533B48"/>
    <w:rsid w:val="005357A5"/>
    <w:rsid w:val="00547ADF"/>
    <w:rsid w:val="005513D6"/>
    <w:rsid w:val="005630F8"/>
    <w:rsid w:val="005878F3"/>
    <w:rsid w:val="00590276"/>
    <w:rsid w:val="0059583B"/>
    <w:rsid w:val="005B16E7"/>
    <w:rsid w:val="005E38BA"/>
    <w:rsid w:val="005E6337"/>
    <w:rsid w:val="005F2BBC"/>
    <w:rsid w:val="005F5909"/>
    <w:rsid w:val="005F5D78"/>
    <w:rsid w:val="006123FD"/>
    <w:rsid w:val="00620A06"/>
    <w:rsid w:val="006217F7"/>
    <w:rsid w:val="00623F5C"/>
    <w:rsid w:val="00635979"/>
    <w:rsid w:val="00642030"/>
    <w:rsid w:val="00642146"/>
    <w:rsid w:val="0064356C"/>
    <w:rsid w:val="00645DCA"/>
    <w:rsid w:val="00653670"/>
    <w:rsid w:val="00684ACE"/>
    <w:rsid w:val="006867BE"/>
    <w:rsid w:val="00687D51"/>
    <w:rsid w:val="00690E4B"/>
    <w:rsid w:val="0069343F"/>
    <w:rsid w:val="00696567"/>
    <w:rsid w:val="006B1A3C"/>
    <w:rsid w:val="006B2A1B"/>
    <w:rsid w:val="006C1C1F"/>
    <w:rsid w:val="006C1D72"/>
    <w:rsid w:val="006C1E2E"/>
    <w:rsid w:val="006C38AC"/>
    <w:rsid w:val="006C5097"/>
    <w:rsid w:val="006D180D"/>
    <w:rsid w:val="006D1CFF"/>
    <w:rsid w:val="006E5060"/>
    <w:rsid w:val="006E5C7E"/>
    <w:rsid w:val="00706782"/>
    <w:rsid w:val="00711091"/>
    <w:rsid w:val="007130C8"/>
    <w:rsid w:val="00720FB2"/>
    <w:rsid w:val="00723B43"/>
    <w:rsid w:val="00731FD8"/>
    <w:rsid w:val="0073790C"/>
    <w:rsid w:val="0074608C"/>
    <w:rsid w:val="00751B16"/>
    <w:rsid w:val="0075390B"/>
    <w:rsid w:val="007568E8"/>
    <w:rsid w:val="00763741"/>
    <w:rsid w:val="00773DAA"/>
    <w:rsid w:val="00774014"/>
    <w:rsid w:val="00783D94"/>
    <w:rsid w:val="00785BDA"/>
    <w:rsid w:val="00791964"/>
    <w:rsid w:val="007A24C3"/>
    <w:rsid w:val="007A494E"/>
    <w:rsid w:val="007B541B"/>
    <w:rsid w:val="007B6D99"/>
    <w:rsid w:val="007C464B"/>
    <w:rsid w:val="007D0D38"/>
    <w:rsid w:val="007E0820"/>
    <w:rsid w:val="007F60A4"/>
    <w:rsid w:val="0080406F"/>
    <w:rsid w:val="00812925"/>
    <w:rsid w:val="0081409D"/>
    <w:rsid w:val="00821DD4"/>
    <w:rsid w:val="008413A8"/>
    <w:rsid w:val="008623AE"/>
    <w:rsid w:val="00871A8A"/>
    <w:rsid w:val="008801BC"/>
    <w:rsid w:val="0088026E"/>
    <w:rsid w:val="008849F7"/>
    <w:rsid w:val="00894C34"/>
    <w:rsid w:val="008B6A32"/>
    <w:rsid w:val="008C05DE"/>
    <w:rsid w:val="008C17DA"/>
    <w:rsid w:val="008C2769"/>
    <w:rsid w:val="008D7DA5"/>
    <w:rsid w:val="008E7182"/>
    <w:rsid w:val="008F21A2"/>
    <w:rsid w:val="008F55A4"/>
    <w:rsid w:val="008F5E38"/>
    <w:rsid w:val="008F7A7F"/>
    <w:rsid w:val="00901CF8"/>
    <w:rsid w:val="0090777C"/>
    <w:rsid w:val="009114CD"/>
    <w:rsid w:val="0093506A"/>
    <w:rsid w:val="009607C2"/>
    <w:rsid w:val="00964ADC"/>
    <w:rsid w:val="00971C15"/>
    <w:rsid w:val="0097301A"/>
    <w:rsid w:val="00975101"/>
    <w:rsid w:val="00977FED"/>
    <w:rsid w:val="00991342"/>
    <w:rsid w:val="009A23D6"/>
    <w:rsid w:val="009A5AD3"/>
    <w:rsid w:val="009A6FFC"/>
    <w:rsid w:val="009B1A13"/>
    <w:rsid w:val="009B5E18"/>
    <w:rsid w:val="009B6E9B"/>
    <w:rsid w:val="009C4BA5"/>
    <w:rsid w:val="009D40D2"/>
    <w:rsid w:val="009E492A"/>
    <w:rsid w:val="009F168E"/>
    <w:rsid w:val="00A00FAA"/>
    <w:rsid w:val="00A0323E"/>
    <w:rsid w:val="00A25CA1"/>
    <w:rsid w:val="00A27165"/>
    <w:rsid w:val="00A30481"/>
    <w:rsid w:val="00A32391"/>
    <w:rsid w:val="00A35557"/>
    <w:rsid w:val="00A36FEC"/>
    <w:rsid w:val="00A44953"/>
    <w:rsid w:val="00A562EF"/>
    <w:rsid w:val="00A70CA8"/>
    <w:rsid w:val="00A75C4C"/>
    <w:rsid w:val="00A86E3A"/>
    <w:rsid w:val="00AA0F17"/>
    <w:rsid w:val="00AA1884"/>
    <w:rsid w:val="00AA65DD"/>
    <w:rsid w:val="00AA771C"/>
    <w:rsid w:val="00AB6476"/>
    <w:rsid w:val="00AD0CE3"/>
    <w:rsid w:val="00AD4BBF"/>
    <w:rsid w:val="00AD7358"/>
    <w:rsid w:val="00AE253A"/>
    <w:rsid w:val="00AF2506"/>
    <w:rsid w:val="00B01682"/>
    <w:rsid w:val="00B10150"/>
    <w:rsid w:val="00B10943"/>
    <w:rsid w:val="00B147B6"/>
    <w:rsid w:val="00B15CE7"/>
    <w:rsid w:val="00B21482"/>
    <w:rsid w:val="00B229B2"/>
    <w:rsid w:val="00B23B84"/>
    <w:rsid w:val="00B24AE3"/>
    <w:rsid w:val="00B317DB"/>
    <w:rsid w:val="00B4037B"/>
    <w:rsid w:val="00B4762E"/>
    <w:rsid w:val="00B54BBB"/>
    <w:rsid w:val="00B63B0F"/>
    <w:rsid w:val="00B673EA"/>
    <w:rsid w:val="00B718C5"/>
    <w:rsid w:val="00B8517D"/>
    <w:rsid w:val="00B94656"/>
    <w:rsid w:val="00BA6D5E"/>
    <w:rsid w:val="00BA7C79"/>
    <w:rsid w:val="00BB3DE4"/>
    <w:rsid w:val="00BB65B3"/>
    <w:rsid w:val="00BB6AD1"/>
    <w:rsid w:val="00BC4806"/>
    <w:rsid w:val="00BC597F"/>
    <w:rsid w:val="00BC697E"/>
    <w:rsid w:val="00BD6B0F"/>
    <w:rsid w:val="00BD741D"/>
    <w:rsid w:val="00BD7E03"/>
    <w:rsid w:val="00BF39B3"/>
    <w:rsid w:val="00BF3D58"/>
    <w:rsid w:val="00C044E5"/>
    <w:rsid w:val="00C073A0"/>
    <w:rsid w:val="00C1755D"/>
    <w:rsid w:val="00C41B1C"/>
    <w:rsid w:val="00C44200"/>
    <w:rsid w:val="00C539BA"/>
    <w:rsid w:val="00C7197F"/>
    <w:rsid w:val="00C72600"/>
    <w:rsid w:val="00C73CAE"/>
    <w:rsid w:val="00C84896"/>
    <w:rsid w:val="00C8496F"/>
    <w:rsid w:val="00C85C6C"/>
    <w:rsid w:val="00C86A8F"/>
    <w:rsid w:val="00C975DF"/>
    <w:rsid w:val="00CA6D88"/>
    <w:rsid w:val="00CB081F"/>
    <w:rsid w:val="00CC3B15"/>
    <w:rsid w:val="00CC6502"/>
    <w:rsid w:val="00CC6D71"/>
    <w:rsid w:val="00CD4E23"/>
    <w:rsid w:val="00CF0AB6"/>
    <w:rsid w:val="00CF7FE3"/>
    <w:rsid w:val="00D05401"/>
    <w:rsid w:val="00D10CA4"/>
    <w:rsid w:val="00D117AE"/>
    <w:rsid w:val="00D20223"/>
    <w:rsid w:val="00D24718"/>
    <w:rsid w:val="00D24CA8"/>
    <w:rsid w:val="00D37554"/>
    <w:rsid w:val="00D643C9"/>
    <w:rsid w:val="00D66658"/>
    <w:rsid w:val="00D72F2F"/>
    <w:rsid w:val="00D76185"/>
    <w:rsid w:val="00D7641E"/>
    <w:rsid w:val="00D96068"/>
    <w:rsid w:val="00DC738B"/>
    <w:rsid w:val="00DD5443"/>
    <w:rsid w:val="00DF1B80"/>
    <w:rsid w:val="00DF2AA3"/>
    <w:rsid w:val="00DF67C5"/>
    <w:rsid w:val="00DF7149"/>
    <w:rsid w:val="00E03ACE"/>
    <w:rsid w:val="00E045BD"/>
    <w:rsid w:val="00E06649"/>
    <w:rsid w:val="00E06D71"/>
    <w:rsid w:val="00E20D4A"/>
    <w:rsid w:val="00E21A36"/>
    <w:rsid w:val="00E26237"/>
    <w:rsid w:val="00E3159F"/>
    <w:rsid w:val="00E31D9C"/>
    <w:rsid w:val="00E36EE4"/>
    <w:rsid w:val="00E477FC"/>
    <w:rsid w:val="00E56355"/>
    <w:rsid w:val="00E60CDB"/>
    <w:rsid w:val="00E71650"/>
    <w:rsid w:val="00E720E8"/>
    <w:rsid w:val="00E73A06"/>
    <w:rsid w:val="00E845D7"/>
    <w:rsid w:val="00EB13FB"/>
    <w:rsid w:val="00EB18FE"/>
    <w:rsid w:val="00EB6BD2"/>
    <w:rsid w:val="00EB73DF"/>
    <w:rsid w:val="00EC3F7D"/>
    <w:rsid w:val="00EC7DD2"/>
    <w:rsid w:val="00ED2D9D"/>
    <w:rsid w:val="00ED4053"/>
    <w:rsid w:val="00EE4FC6"/>
    <w:rsid w:val="00EF0B1C"/>
    <w:rsid w:val="00EF3047"/>
    <w:rsid w:val="00EF5CF9"/>
    <w:rsid w:val="00F22B4A"/>
    <w:rsid w:val="00F22EBD"/>
    <w:rsid w:val="00F451CB"/>
    <w:rsid w:val="00F472A5"/>
    <w:rsid w:val="00F509BB"/>
    <w:rsid w:val="00F567D6"/>
    <w:rsid w:val="00F7403A"/>
    <w:rsid w:val="00F76780"/>
    <w:rsid w:val="00F7776B"/>
    <w:rsid w:val="00F8230A"/>
    <w:rsid w:val="00F86618"/>
    <w:rsid w:val="00F91377"/>
    <w:rsid w:val="00F96F2F"/>
    <w:rsid w:val="00FA6FE8"/>
    <w:rsid w:val="00FB4C0B"/>
    <w:rsid w:val="00FC3452"/>
    <w:rsid w:val="00FC6789"/>
    <w:rsid w:val="00FC7D16"/>
    <w:rsid w:val="00FE17A9"/>
    <w:rsid w:val="00FE59BB"/>
    <w:rsid w:val="00FE78AD"/>
    <w:rsid w:val="00FF0CA3"/>
    <w:rsid w:val="00FF105C"/>
    <w:rsid w:val="0E956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79" w:lineRule="atLeas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line="760" w:lineRule="exact"/>
      <w:ind w:firstLine="0" w:firstLineChars="0"/>
      <w:jc w:val="center"/>
      <w:outlineLvl w:val="0"/>
    </w:pPr>
    <w:rPr>
      <w:rFonts w:eastAsia="方正小标宋简体"/>
      <w:bCs/>
      <w:kern w:val="44"/>
      <w:sz w:val="44"/>
      <w:szCs w:val="44"/>
    </w:rPr>
  </w:style>
  <w:style w:type="paragraph" w:styleId="3">
    <w:name w:val="heading 2"/>
    <w:basedOn w:val="1"/>
    <w:next w:val="1"/>
    <w:link w:val="26"/>
    <w:qFormat/>
    <w:uiPriority w:val="0"/>
    <w:pPr>
      <w:keepNext/>
      <w:keepLines/>
      <w:outlineLvl w:val="1"/>
    </w:pPr>
    <w:rPr>
      <w:rFonts w:eastAsia="黑体"/>
      <w:bCs/>
      <w:szCs w:val="32"/>
    </w:rPr>
  </w:style>
  <w:style w:type="paragraph" w:styleId="4">
    <w:name w:val="heading 3"/>
    <w:basedOn w:val="1"/>
    <w:next w:val="1"/>
    <w:link w:val="24"/>
    <w:qFormat/>
    <w:uiPriority w:val="0"/>
    <w:pPr>
      <w:outlineLvl w:val="2"/>
    </w:pPr>
    <w:rPr>
      <w:rFonts w:eastAsia="楷体_GB2312"/>
      <w:b/>
      <w:bCs/>
      <w:szCs w:val="32"/>
    </w:rPr>
  </w:style>
  <w:style w:type="paragraph" w:styleId="5">
    <w:name w:val="heading 4"/>
    <w:basedOn w:val="1"/>
    <w:next w:val="1"/>
    <w:link w:val="28"/>
    <w:qFormat/>
    <w:uiPriority w:val="0"/>
    <w:pPr>
      <w:outlineLvl w:val="3"/>
    </w:pPr>
    <w:rPr>
      <w:bCs/>
      <w:szCs w:val="28"/>
    </w:rPr>
  </w:style>
  <w:style w:type="paragraph" w:styleId="6">
    <w:name w:val="heading 6"/>
    <w:basedOn w:val="1"/>
    <w:next w:val="1"/>
    <w:qFormat/>
    <w:uiPriority w:val="0"/>
    <w:pPr>
      <w:keepNext/>
      <w:keepLines/>
      <w:spacing w:before="240" w:after="64" w:line="320" w:lineRule="atLeast"/>
      <w:outlineLvl w:val="5"/>
    </w:pPr>
    <w:rPr>
      <w:rFonts w:ascii="Arial" w:hAnsi="Arial" w:eastAsia="黑体"/>
      <w:b/>
      <w:bCs/>
      <w:sz w:val="24"/>
    </w:rPr>
  </w:style>
  <w:style w:type="paragraph" w:styleId="7">
    <w:name w:val="heading 7"/>
    <w:basedOn w:val="1"/>
    <w:next w:val="1"/>
    <w:qFormat/>
    <w:uiPriority w:val="0"/>
    <w:pPr>
      <w:keepNext/>
      <w:keepLines/>
      <w:spacing w:before="240" w:after="64" w:line="320" w:lineRule="atLeast"/>
      <w:outlineLvl w:val="6"/>
    </w:pPr>
    <w:rPr>
      <w:b/>
      <w:bCs/>
      <w:sz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8">
    <w:name w:val="Body Text 3"/>
    <w:basedOn w:val="1"/>
    <w:qFormat/>
    <w:uiPriority w:val="0"/>
    <w:pPr>
      <w:spacing w:after="120"/>
    </w:pPr>
    <w:rPr>
      <w:sz w:val="16"/>
      <w:szCs w:val="16"/>
    </w:rPr>
  </w:style>
  <w:style w:type="paragraph" w:styleId="9">
    <w:name w:val="Date"/>
    <w:basedOn w:val="1"/>
    <w:next w:val="1"/>
    <w:qFormat/>
    <w:uiPriority w:val="0"/>
    <w:pPr>
      <w:ind w:left="100" w:leftChars="2500"/>
    </w:pPr>
  </w:style>
  <w:style w:type="paragraph" w:styleId="10">
    <w:name w:val="Body Text Indent 2"/>
    <w:basedOn w:val="1"/>
    <w:qFormat/>
    <w:uiPriority w:val="0"/>
    <w:pPr>
      <w:adjustRightInd/>
      <w:snapToGrid/>
      <w:spacing w:line="240" w:lineRule="auto"/>
      <w:ind w:firstLine="420"/>
    </w:pPr>
    <w:rPr>
      <w:rFonts w:ascii="仿宋_GB2312"/>
      <w:color w:val="FF6600"/>
      <w:sz w:val="21"/>
    </w:rPr>
  </w:style>
  <w:style w:type="paragraph" w:styleId="11">
    <w:name w:val="Balloon Text"/>
    <w:basedOn w:val="1"/>
    <w:link w:val="23"/>
    <w:semiHidden/>
    <w:qFormat/>
    <w:uiPriority w:val="0"/>
    <w:pPr>
      <w:adjustRightInd/>
      <w:snapToGrid/>
      <w:spacing w:line="240" w:lineRule="auto"/>
      <w:ind w:firstLine="0" w:firstLineChars="0"/>
    </w:pPr>
    <w:rPr>
      <w:rFonts w:eastAsia="宋体"/>
      <w:sz w:val="18"/>
      <w:szCs w:val="18"/>
    </w:rPr>
  </w:style>
  <w:style w:type="paragraph" w:styleId="12">
    <w:name w:val="footer"/>
    <w:basedOn w:val="1"/>
    <w:link w:val="19"/>
    <w:qFormat/>
    <w:uiPriority w:val="0"/>
    <w:pPr>
      <w:tabs>
        <w:tab w:val="center" w:pos="4153"/>
        <w:tab w:val="right" w:pos="8306"/>
      </w:tabs>
      <w:spacing w:line="240" w:lineRule="atLeast"/>
      <w:jc w:val="left"/>
    </w:pPr>
    <w:rPr>
      <w:sz w:val="18"/>
      <w:szCs w:val="18"/>
    </w:rPr>
  </w:style>
  <w:style w:type="paragraph" w:styleId="13">
    <w:name w:val="header"/>
    <w:basedOn w:val="1"/>
    <w:link w:val="20"/>
    <w:qFormat/>
    <w:uiPriority w:val="0"/>
    <w:pPr>
      <w:pBdr>
        <w:bottom w:val="single" w:color="auto" w:sz="6" w:space="1"/>
      </w:pBdr>
      <w:tabs>
        <w:tab w:val="center" w:pos="4153"/>
        <w:tab w:val="right" w:pos="8306"/>
      </w:tabs>
      <w:spacing w:line="240" w:lineRule="atLeast"/>
      <w:jc w:val="center"/>
    </w:pPr>
    <w:rPr>
      <w:sz w:val="18"/>
      <w:szCs w:val="18"/>
    </w:rPr>
  </w:style>
  <w:style w:type="table" w:styleId="15">
    <w:name w:val="Table Grid"/>
    <w:basedOn w:val="14"/>
    <w:qFormat/>
    <w:uiPriority w:val="0"/>
    <w:pPr>
      <w:widowControl w:val="0"/>
      <w:adjustRightInd w:val="0"/>
      <w:snapToGrid w:val="0"/>
      <w:spacing w:line="59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qFormat/>
    <w:uiPriority w:val="0"/>
    <w:rPr>
      <w:color w:val="0000FF"/>
      <w:u w:val="single"/>
    </w:rPr>
  </w:style>
  <w:style w:type="character" w:customStyle="1" w:styleId="19">
    <w:name w:val="页脚 Char"/>
    <w:link w:val="12"/>
    <w:semiHidden/>
    <w:qFormat/>
    <w:uiPriority w:val="0"/>
    <w:rPr>
      <w:rFonts w:eastAsia="仿宋_GB2312"/>
      <w:kern w:val="2"/>
      <w:sz w:val="18"/>
      <w:szCs w:val="18"/>
      <w:lang w:val="en-US" w:eastAsia="zh-CN" w:bidi="ar-SA"/>
    </w:rPr>
  </w:style>
  <w:style w:type="character" w:customStyle="1" w:styleId="20">
    <w:name w:val="页眉 Char"/>
    <w:link w:val="13"/>
    <w:semiHidden/>
    <w:qFormat/>
    <w:uiPriority w:val="0"/>
    <w:rPr>
      <w:rFonts w:eastAsia="仿宋_GB2312"/>
      <w:kern w:val="2"/>
      <w:sz w:val="18"/>
      <w:szCs w:val="18"/>
      <w:lang w:val="en-US" w:eastAsia="zh-CN" w:bidi="ar-SA"/>
    </w:rPr>
  </w:style>
  <w:style w:type="paragraph" w:customStyle="1" w:styleId="21">
    <w:name w:val="表头"/>
    <w:basedOn w:val="1"/>
    <w:qFormat/>
    <w:uiPriority w:val="0"/>
    <w:pPr>
      <w:spacing w:before="80" w:after="80" w:line="280" w:lineRule="atLeast"/>
      <w:ind w:firstLine="0" w:firstLineChars="0"/>
      <w:jc w:val="center"/>
    </w:pPr>
    <w:rPr>
      <w:rFonts w:eastAsia="黑体" w:cs="宋体"/>
      <w:sz w:val="24"/>
    </w:rPr>
  </w:style>
  <w:style w:type="paragraph" w:customStyle="1" w:styleId="22">
    <w:name w:val="表内文字"/>
    <w:basedOn w:val="1"/>
    <w:qFormat/>
    <w:uiPriority w:val="0"/>
    <w:pPr>
      <w:spacing w:before="60" w:after="60" w:line="280" w:lineRule="atLeast"/>
      <w:ind w:firstLine="0" w:firstLineChars="0"/>
    </w:pPr>
    <w:rPr>
      <w:sz w:val="24"/>
    </w:rPr>
  </w:style>
  <w:style w:type="character" w:customStyle="1" w:styleId="23">
    <w:name w:val="批注框文本 Char"/>
    <w:link w:val="11"/>
    <w:semiHidden/>
    <w:qFormat/>
    <w:uiPriority w:val="0"/>
    <w:rPr>
      <w:rFonts w:eastAsia="宋体"/>
      <w:kern w:val="2"/>
      <w:sz w:val="18"/>
      <w:szCs w:val="18"/>
      <w:lang w:val="en-US" w:eastAsia="zh-CN" w:bidi="ar-SA"/>
    </w:rPr>
  </w:style>
  <w:style w:type="character" w:customStyle="1" w:styleId="24">
    <w:name w:val="标题 3 Char"/>
    <w:link w:val="4"/>
    <w:qFormat/>
    <w:uiPriority w:val="0"/>
    <w:rPr>
      <w:rFonts w:eastAsia="楷体_GB2312"/>
      <w:b/>
      <w:bCs/>
      <w:kern w:val="2"/>
      <w:sz w:val="32"/>
      <w:szCs w:val="32"/>
      <w:lang w:val="en-US" w:eastAsia="zh-CN" w:bidi="ar-SA"/>
    </w:rPr>
  </w:style>
  <w:style w:type="paragraph" w:customStyle="1" w:styleId="25">
    <w:name w:val="p0"/>
    <w:basedOn w:val="1"/>
    <w:qFormat/>
    <w:uiPriority w:val="0"/>
    <w:pPr>
      <w:widowControl/>
      <w:adjustRightInd/>
      <w:snapToGrid/>
      <w:spacing w:line="240" w:lineRule="auto"/>
      <w:ind w:firstLine="0" w:firstLineChars="0"/>
    </w:pPr>
    <w:rPr>
      <w:rFonts w:eastAsia="宋体"/>
      <w:kern w:val="0"/>
      <w:sz w:val="21"/>
      <w:szCs w:val="21"/>
    </w:rPr>
  </w:style>
  <w:style w:type="character" w:customStyle="1" w:styleId="26">
    <w:name w:val="标题 2 Char"/>
    <w:link w:val="3"/>
    <w:qFormat/>
    <w:uiPriority w:val="0"/>
    <w:rPr>
      <w:rFonts w:eastAsia="黑体"/>
      <w:bCs/>
      <w:kern w:val="2"/>
      <w:sz w:val="32"/>
      <w:szCs w:val="32"/>
      <w:lang w:val="en-US" w:eastAsia="zh-CN" w:bidi="ar-SA"/>
    </w:rPr>
  </w:style>
  <w:style w:type="paragraph" w:customStyle="1" w:styleId="27">
    <w:name w:val="样式4"/>
    <w:basedOn w:val="1"/>
    <w:qFormat/>
    <w:uiPriority w:val="0"/>
    <w:pPr>
      <w:adjustRightInd/>
      <w:snapToGrid/>
      <w:spacing w:line="600" w:lineRule="exact"/>
      <w:ind w:firstLine="640"/>
    </w:pPr>
    <w:rPr>
      <w:szCs w:val="32"/>
    </w:rPr>
  </w:style>
  <w:style w:type="character" w:customStyle="1" w:styleId="28">
    <w:name w:val="标题 4 Char"/>
    <w:link w:val="5"/>
    <w:qFormat/>
    <w:uiPriority w:val="0"/>
    <w:rPr>
      <w:rFonts w:eastAsia="仿宋_GB2312"/>
      <w:bCs/>
      <w:kern w:val="2"/>
      <w:sz w:val="32"/>
      <w:szCs w:val="28"/>
      <w:lang w:val="en-US" w:eastAsia="zh-CN" w:bidi="ar-SA"/>
    </w:rPr>
  </w:style>
  <w:style w:type="character" w:customStyle="1" w:styleId="29">
    <w:name w:val=" Char Char4"/>
    <w:qFormat/>
    <w:uiPriority w:val="0"/>
    <w:rPr>
      <w:rFonts w:eastAsia="黑体"/>
      <w:bCs/>
      <w:kern w:val="2"/>
      <w:sz w:val="32"/>
      <w:szCs w:val="32"/>
      <w:lang w:val="en-US" w:eastAsia="zh-CN" w:bidi="ar-SA"/>
    </w:rPr>
  </w:style>
  <w:style w:type="character" w:customStyle="1" w:styleId="30">
    <w:name w:val=" Char Char3"/>
    <w:qFormat/>
    <w:uiPriority w:val="0"/>
    <w:rPr>
      <w:rFonts w:eastAsia="楷体_GB2312"/>
      <w:b/>
      <w:bCs/>
      <w:kern w:val="2"/>
      <w:sz w:val="32"/>
      <w:szCs w:val="32"/>
      <w:lang w:val="en-US" w:eastAsia="zh-CN" w:bidi="ar-SA"/>
    </w:rPr>
  </w:style>
  <w:style w:type="paragraph" w:customStyle="1" w:styleId="31">
    <w:name w:val="List Paragraph"/>
    <w:basedOn w:val="1"/>
    <w:qFormat/>
    <w:uiPriority w:val="0"/>
    <w:pPr>
      <w:adjustRightInd/>
      <w:snapToGrid/>
      <w:spacing w:line="240" w:lineRule="auto"/>
      <w:ind w:firstLine="420"/>
    </w:pPr>
    <w:rPr>
      <w:rFonts w:ascii="Calibri" w:hAnsi="Calibri" w:eastAsia="宋体"/>
      <w:sz w:val="21"/>
      <w:szCs w:val="21"/>
    </w:rPr>
  </w:style>
  <w:style w:type="paragraph" w:customStyle="1" w:styleId="32">
    <w:name w:val="正文 A"/>
    <w:basedOn w:val="1"/>
    <w:qFormat/>
    <w:uiPriority w:val="0"/>
    <w:pPr>
      <w:adjustRightInd/>
      <w:snapToGrid/>
      <w:spacing w:line="240" w:lineRule="auto"/>
      <w:ind w:firstLine="0" w:firstLineChars="0"/>
    </w:pPr>
    <w:rPr>
      <w:rFonts w:ascii="Arial Unicode MS" w:hAnsi="Arial Unicode MS" w:eastAsia="宋体" w:cs="Arial Unicode MS"/>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466</Words>
  <Characters>2660</Characters>
  <Lines>22</Lines>
  <Paragraphs>6</Paragraphs>
  <TotalTime>8</TotalTime>
  <ScaleCrop>false</ScaleCrop>
  <LinksUpToDate>false</LinksUpToDate>
  <CharactersWithSpaces>3120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2023-11-24T09:28:00Z</dcterms:created>
  <dc:creator>walkinnet</dc:creator>
  <cp:lastModifiedBy>Rocy</cp:lastModifiedBy>
  <cp:lastPrinted>2023-11-24T01:04:00Z</cp:lastPrinted>
  <dcterms:modified xsi:type="dcterms:W3CDTF">2023-11-27T07:43:08Z</dcterms:modified>
  <dc:title>湘农业函〔2014〕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3E72427B849A498FB7E43EAB7A4C6ABB_13</vt:lpwstr>
  </property>
</Properties>
</file>