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pPr>
    </w:p>
    <w:tbl>
      <w:tblPr>
        <w:tblStyle w:val="5"/>
        <w:tblW w:w="0" w:type="auto"/>
        <w:jc w:val="center"/>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rPr>
          <w:trHeight w:val="607" w:hRule="atLeast"/>
          <w:jc w:val="center"/>
        </w:trPr>
        <w:tc>
          <w:tcPr>
            <w:tcW w:w="8844" w:type="dxa"/>
          </w:tcPr>
          <w:p>
            <w:pPr>
              <w:jc w:val="center"/>
              <w:rPr>
                <w:rFonts w:hint="eastAsia"/>
                <w:szCs w:val="21"/>
              </w:rPr>
            </w:pPr>
            <w:r>
              <w:rPr>
                <w:rFonts w:hint="eastAsia"/>
                <w:szCs w:val="21"/>
              </w:rPr>
              <w:t>东农联发〔202</w:t>
            </w:r>
            <w:r>
              <w:rPr>
                <w:szCs w:val="21"/>
              </w:rPr>
              <w:t>1</w:t>
            </w:r>
            <w:r>
              <w:rPr>
                <w:rFonts w:hint="eastAsia"/>
                <w:szCs w:val="21"/>
              </w:rPr>
              <w:t>〕1</w:t>
            </w:r>
            <w:r>
              <w:rPr>
                <w:szCs w:val="21"/>
              </w:rPr>
              <w:t xml:space="preserve">2 </w:t>
            </w:r>
            <w:r>
              <w:rPr>
                <w:rFonts w:hint="eastAsia"/>
                <w:szCs w:val="21"/>
              </w:rPr>
              <w:t>号</w:t>
            </w:r>
          </w:p>
          <w:p>
            <w:pPr>
              <w:jc w:val="center"/>
              <w:rPr>
                <w:rFonts w:hint="eastAsia"/>
                <w:szCs w:val="21"/>
              </w:rPr>
            </w:pPr>
          </w:p>
        </w:tc>
      </w:tr>
    </w:tbl>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关于印发《东安县</w:t>
      </w:r>
      <w:r>
        <w:rPr>
          <w:rFonts w:ascii="方正小标宋_GBK" w:hAnsi="方正小标宋_GBK" w:eastAsia="方正小标宋_GBK" w:cs="方正小标宋_GBK"/>
          <w:sz w:val="44"/>
          <w:szCs w:val="44"/>
        </w:rPr>
        <w:t>2021—2023年农业机械</w:t>
      </w:r>
    </w:p>
    <w:p>
      <w:pPr>
        <w:spacing w:line="579"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购置补贴实施方案》的通知</w:t>
      </w:r>
    </w:p>
    <w:p>
      <w:pPr>
        <w:spacing w:line="579" w:lineRule="exact"/>
      </w:pPr>
    </w:p>
    <w:p>
      <w:pPr>
        <w:spacing w:line="660" w:lineRule="exact"/>
      </w:pPr>
      <w:r>
        <w:rPr>
          <w:rFonts w:hint="eastAsia"/>
        </w:rPr>
        <w:t>各乡镇：</w:t>
      </w:r>
    </w:p>
    <w:p>
      <w:pPr>
        <w:spacing w:line="660" w:lineRule="exact"/>
        <w:ind w:firstLine="632" w:firstLineChars="200"/>
      </w:pPr>
      <w:r>
        <w:t xml:space="preserve">   根据《农业农村部办公厅 财政部办公厅关于印发&lt;2021—2023年农机购置补贴实施指导意见&gt;的通知》（农办计财[2021]8号）和《湖南省农业农村厅 湖南省财政厅 关于印发&lt;湖南省2021—2023年农业机械购置补贴实施方案&gt;的通知》（湘农联[2021]54号）文件精神，制定了《东安县2021—2023年农业机械购置补贴实施方案》，现予印发，请遵照执行。</w:t>
      </w:r>
    </w:p>
    <w:p>
      <w:pPr>
        <w:spacing w:line="579" w:lineRule="exact"/>
        <w:ind w:firstLine="1580" w:firstLineChars="500"/>
      </w:pPr>
    </w:p>
    <w:p>
      <w:pPr>
        <w:spacing w:line="579" w:lineRule="exact"/>
        <w:ind w:firstLine="1580" w:firstLineChars="500"/>
      </w:pPr>
    </w:p>
    <w:p>
      <w:pPr>
        <w:wordWrap w:val="0"/>
        <w:spacing w:line="579" w:lineRule="exact"/>
        <w:jc w:val="left"/>
      </w:pPr>
      <w:r>
        <w:rPr>
          <w:rFonts w:hint="eastAsia"/>
        </w:rPr>
        <w:t xml:space="preserve"> </w:t>
      </w:r>
      <w:r>
        <w:t xml:space="preserve">       </w:t>
      </w:r>
      <w:r>
        <w:rPr>
          <w:rFonts w:hint="eastAsia"/>
        </w:rPr>
        <w:t xml:space="preserve">东安县农业农村局 </w:t>
      </w:r>
      <w:r>
        <w:t xml:space="preserve">   </w:t>
      </w:r>
      <w:r>
        <w:rPr>
          <w:rFonts w:hint="eastAsia"/>
        </w:rPr>
        <w:t xml:space="preserve"> </w:t>
      </w:r>
      <w:r>
        <w:t xml:space="preserve">      </w:t>
      </w:r>
      <w:r>
        <w:rPr>
          <w:rFonts w:hint="eastAsia"/>
        </w:rPr>
        <w:t xml:space="preserve">东安县财政局        </w:t>
      </w:r>
      <w:r>
        <w:t xml:space="preserve">                                  </w:t>
      </w:r>
      <w:r>
        <w:rPr>
          <w:rFonts w:hint="eastAsia"/>
        </w:rPr>
        <w:t>202</w:t>
      </w:r>
      <w:r>
        <w:t>1</w:t>
      </w:r>
      <w:r>
        <w:rPr>
          <w:rFonts w:hint="eastAsia"/>
        </w:rPr>
        <w:t>年</w:t>
      </w:r>
      <w:r>
        <w:t>8</w:t>
      </w:r>
      <w:r>
        <w:rPr>
          <w:rFonts w:hint="eastAsia"/>
        </w:rPr>
        <w:t>月</w:t>
      </w:r>
      <w:r>
        <w:t>10</w:t>
      </w:r>
      <w:r>
        <w:rPr>
          <w:rFonts w:hint="eastAsia"/>
        </w:rPr>
        <w:t xml:space="preserve">日     </w:t>
      </w:r>
    </w:p>
    <w:p>
      <w:pPr>
        <w:spacing w:line="579" w:lineRule="exact"/>
        <w:ind w:firstLine="632" w:firstLineChars="200"/>
      </w:pPr>
    </w:p>
    <w:p>
      <w:pPr>
        <w:spacing w:line="579" w:lineRule="exact"/>
        <w:ind w:firstLine="632" w:firstLineChars="200"/>
      </w:pPr>
    </w:p>
    <w:p>
      <w:pPr>
        <w:spacing w:line="579" w:lineRule="exact"/>
        <w:ind w:firstLine="632" w:firstLineChars="200"/>
      </w:pPr>
    </w:p>
    <w:p>
      <w:pPr>
        <w:spacing w:line="579" w:lineRule="exact"/>
      </w:pPr>
    </w:p>
    <w:p>
      <w:pPr>
        <w:widowControl/>
        <w:jc w:val="left"/>
      </w:pPr>
      <w:r>
        <w:br w:type="page"/>
      </w:r>
    </w:p>
    <w:p>
      <w:pPr>
        <w:spacing w:line="579" w:lineRule="exact"/>
        <w:jc w:val="center"/>
        <w:rPr>
          <w:rFonts w:hint="eastAsia" w:ascii="方正小标宋简体" w:eastAsia="方正小标宋简体"/>
          <w:sz w:val="44"/>
          <w:szCs w:val="44"/>
        </w:rPr>
      </w:pPr>
      <w:r>
        <w:rPr>
          <w:rFonts w:hint="eastAsia" w:ascii="方正小标宋简体" w:eastAsia="方正小标宋简体"/>
          <w:sz w:val="44"/>
          <w:szCs w:val="44"/>
        </w:rPr>
        <w:t>东安县2021—2023年农业机械购置</w:t>
      </w:r>
    </w:p>
    <w:p>
      <w:pPr>
        <w:spacing w:line="579" w:lineRule="exact"/>
        <w:jc w:val="center"/>
        <w:rPr>
          <w:rFonts w:hint="eastAsia" w:ascii="方正小标宋简体" w:eastAsia="方正小标宋简体"/>
          <w:sz w:val="44"/>
          <w:szCs w:val="44"/>
        </w:rPr>
      </w:pPr>
      <w:r>
        <w:rPr>
          <w:rFonts w:hint="eastAsia" w:ascii="方正小标宋简体" w:eastAsia="方正小标宋简体"/>
          <w:sz w:val="44"/>
          <w:szCs w:val="44"/>
        </w:rPr>
        <w:t>补贴实施方案</w:t>
      </w:r>
    </w:p>
    <w:p>
      <w:pPr>
        <w:spacing w:line="579" w:lineRule="exact"/>
        <w:ind w:firstLine="632" w:firstLineChars="200"/>
      </w:pPr>
    </w:p>
    <w:p>
      <w:pPr>
        <w:spacing w:line="580" w:lineRule="exact"/>
        <w:ind w:firstLine="632" w:firstLineChars="200"/>
      </w:pPr>
      <w:r>
        <w:rPr>
          <w:rFonts w:hint="eastAsia"/>
        </w:rPr>
        <w:t>为规范实施农机购置补贴政策，充分发挥政策效益，推动本县农业机械向全程全面高质高效转型升级，有效支撑粮食安全、重要农产品供给和农民增收，促进农业高质量发展，特制定本方案。</w:t>
      </w:r>
      <w:r>
        <w:t>  </w:t>
      </w:r>
    </w:p>
    <w:p>
      <w:pPr>
        <w:spacing w:line="580" w:lineRule="exact"/>
        <w:ind w:firstLine="632" w:firstLineChars="200"/>
        <w:rPr>
          <w:rFonts w:ascii="黑体" w:hAnsi="黑体" w:eastAsia="黑体"/>
        </w:rPr>
      </w:pPr>
      <w:r>
        <w:rPr>
          <w:rFonts w:hint="eastAsia" w:ascii="黑体" w:hAnsi="黑体" w:eastAsia="黑体"/>
        </w:rPr>
        <w:t>一、指导思想</w:t>
      </w:r>
    </w:p>
    <w:p>
      <w:pPr>
        <w:spacing w:line="580" w:lineRule="exact"/>
        <w:ind w:firstLine="632" w:firstLineChars="200"/>
      </w:pPr>
      <w:r>
        <w:rPr>
          <w:rFonts w:hint="eastAsia"/>
        </w:rPr>
        <w:t>以</w:t>
      </w:r>
      <w:bookmarkStart w:id="0" w:name="_GoBack"/>
      <w:bookmarkEnd w:id="0"/>
      <w:r>
        <w:rPr>
          <w:rFonts w:hint="eastAsia"/>
        </w:rPr>
        <w:t>习近平新时代中国特色社会主义思想为指导，全面贯彻党的十九大和十九届二中、三中、四中、五中、六中全会精神，认真落实中央和省委省政府“三农”工作部署要求，加快提升农业生产机械化、现代化水平，坚持绿色生态、节能环保、精准高效，促进农业绿色发展；坚持突出重点，保障粮食生产主要环节和主要农产品生产全程机械化的需要；坚持严惩违规行为，确保政策规范廉洁高效实施，不断提升公众满意度和政策实现度。</w:t>
      </w:r>
    </w:p>
    <w:p>
      <w:pPr>
        <w:spacing w:line="580" w:lineRule="exact"/>
        <w:ind w:firstLine="632" w:firstLineChars="200"/>
        <w:rPr>
          <w:rFonts w:ascii="黑体" w:hAnsi="黑体" w:eastAsia="黑体"/>
        </w:rPr>
      </w:pPr>
      <w:r>
        <w:rPr>
          <w:rFonts w:hint="eastAsia" w:ascii="黑体" w:hAnsi="黑体" w:eastAsia="黑体"/>
        </w:rPr>
        <w:t>二、补贴机具种类范围</w:t>
      </w:r>
    </w:p>
    <w:p>
      <w:pPr>
        <w:spacing w:line="580" w:lineRule="exact"/>
        <w:ind w:firstLine="632" w:firstLineChars="200"/>
      </w:pPr>
      <w:r>
        <w:rPr>
          <w:rFonts w:hint="eastAsia"/>
        </w:rPr>
        <w:t>参照《湖南省农业农村厅湖南省财政厅关于印发〈湖南省</w:t>
      </w:r>
      <w:r>
        <w:t>2021—2023年农业机械购置补贴实施方案〉的通知》（湘农联〔2021〕54号）规定的共10个大类21个小类51个品目范围执行。</w:t>
      </w:r>
    </w:p>
    <w:p>
      <w:pPr>
        <w:spacing w:line="580" w:lineRule="exact"/>
        <w:ind w:firstLine="632" w:firstLineChars="200"/>
        <w:rPr>
          <w:rFonts w:ascii="黑体" w:hAnsi="黑体" w:eastAsia="黑体"/>
        </w:rPr>
      </w:pPr>
      <w:r>
        <w:rPr>
          <w:rFonts w:hint="eastAsia" w:ascii="黑体" w:hAnsi="黑体" w:eastAsia="黑体"/>
        </w:rPr>
        <w:t>三、补贴对象和补贴标准</w:t>
      </w:r>
    </w:p>
    <w:p>
      <w:pPr>
        <w:spacing w:line="580" w:lineRule="exact"/>
        <w:ind w:firstLine="632" w:firstLineChars="200"/>
      </w:pPr>
      <w:r>
        <w:rPr>
          <w:rFonts w:hint="eastAsia" w:ascii="楷体_GB2312" w:eastAsia="楷体_GB2312"/>
        </w:rPr>
        <w:t>（一）补贴对象。</w:t>
      </w:r>
      <w:r>
        <w:rPr>
          <w:rFonts w:hint="eastAsia"/>
        </w:rPr>
        <w:t>补贴对象（以下称“购机者”）为东安县从事农业生产的个人和农业生产经营组织，其中农业生产经营组织包括农村集体经济组织、农民专业合作经济组织、农业企业和其他从事农业生产经营的组织。</w:t>
      </w:r>
    </w:p>
    <w:p>
      <w:pPr>
        <w:spacing w:line="580" w:lineRule="exact"/>
        <w:ind w:firstLine="632" w:firstLineChars="200"/>
      </w:pPr>
      <w:r>
        <w:rPr>
          <w:rFonts w:ascii="楷体_GB2312" w:eastAsia="楷体_GB2312"/>
        </w:rPr>
        <w:t>  （二）补贴标准。</w:t>
      </w:r>
      <w:r>
        <w:t>中央财政农机购置补贴实行定额补贴。各档次的补贴额上限依据同档产品上年市场销售均价测算确定，测算比例不超过30%，且通用类机具补贴额不超过农业农村部、财政部发布的最高补贴额。补贴标准参照《湖南省2021年第一批农机购置补贴机具分类分档及补贴额一览表》文件及湖南省农机购置补贴系统（以下简称补贴系统）执行。</w:t>
      </w:r>
    </w:p>
    <w:p>
      <w:pPr>
        <w:spacing w:line="580" w:lineRule="exact"/>
        <w:ind w:firstLine="632" w:firstLineChars="200"/>
        <w:rPr>
          <w:rFonts w:ascii="黑体" w:hAnsi="黑体" w:eastAsia="黑体"/>
        </w:rPr>
      </w:pPr>
      <w:r>
        <w:rPr>
          <w:rFonts w:hint="eastAsia" w:ascii="黑体" w:hAnsi="黑体" w:eastAsia="黑体"/>
        </w:rPr>
        <w:t>四、资金分配与使用</w:t>
      </w:r>
    </w:p>
    <w:p>
      <w:pPr>
        <w:spacing w:line="580" w:lineRule="exact"/>
        <w:ind w:firstLine="632" w:firstLineChars="200"/>
      </w:pPr>
      <w:r>
        <w:rPr>
          <w:rFonts w:hint="eastAsia"/>
        </w:rPr>
        <w:t>补贴资金主要用于支持购置先进适用农业机械、开展农机报废更新和新产品试点等。当年度资金用完即止，未用完的服从调剂或结转下年度使用。农机购置补贴属约束性任务，不得用于其他任务支出。要加强资金使用情况监测，定期调度和公布本地区资金使用进度。</w:t>
      </w:r>
    </w:p>
    <w:p>
      <w:pPr>
        <w:spacing w:line="580" w:lineRule="exact"/>
        <w:ind w:firstLine="632" w:firstLineChars="200"/>
      </w:pPr>
      <w:r>
        <w:rPr>
          <w:rFonts w:hint="eastAsia"/>
        </w:rPr>
        <w:t>农机报废更新补贴按《湖南省农业农村厅湖南省财政厅湖南省商务厅关于印发〈湖南省农业机械报废更新补贴实施方案〉的通知》</w:t>
      </w:r>
      <w:r>
        <w:t>(湘农联〔2020〕76号)要求执行。</w:t>
      </w:r>
    </w:p>
    <w:p>
      <w:pPr>
        <w:spacing w:line="580" w:lineRule="exact"/>
        <w:ind w:firstLine="632" w:firstLineChars="200"/>
        <w:rPr>
          <w:rFonts w:ascii="黑体" w:hAnsi="黑体" w:eastAsia="黑体"/>
        </w:rPr>
      </w:pPr>
      <w:r>
        <w:rPr>
          <w:rFonts w:hint="eastAsia" w:ascii="黑体" w:hAnsi="黑体" w:eastAsia="黑体"/>
        </w:rPr>
        <w:t>五、补贴操作流程</w:t>
      </w:r>
    </w:p>
    <w:p>
      <w:pPr>
        <w:spacing w:line="580" w:lineRule="exact"/>
        <w:ind w:firstLine="632" w:firstLineChars="200"/>
      </w:pPr>
      <w:r>
        <w:rPr>
          <w:rFonts w:hint="eastAsia"/>
        </w:rPr>
        <w:t>农机购置补贴政策按照“自主购机、定额补贴、先购后补、县级结算、直补到卡（户）”方式实施。具体按以下流程操作。</w:t>
      </w:r>
    </w:p>
    <w:p>
      <w:pPr>
        <w:spacing w:line="580" w:lineRule="exact"/>
        <w:ind w:firstLine="632" w:firstLineChars="200"/>
      </w:pPr>
      <w:r>
        <w:rPr>
          <w:rFonts w:hint="eastAsia" w:ascii="楷体_GB2312" w:eastAsia="楷体_GB2312"/>
        </w:rPr>
        <w:t>（一）自主选机购机。</w:t>
      </w:r>
      <w:r>
        <w:rPr>
          <w:rFonts w:hint="eastAsia"/>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w:t>
      </w:r>
    </w:p>
    <w:p>
      <w:pPr>
        <w:spacing w:line="580" w:lineRule="exact"/>
        <w:ind w:firstLine="632" w:firstLineChars="200"/>
      </w:pPr>
      <w:r>
        <w:rPr>
          <w:rFonts w:hint="eastAsia" w:ascii="楷体_GB2312" w:eastAsia="楷体_GB2312"/>
        </w:rPr>
        <w:t>（二）补贴资金申请。</w:t>
      </w:r>
      <w:r>
        <w:rPr>
          <w:rFonts w:hint="eastAsia"/>
        </w:rPr>
        <w:t>购机者到各乡镇受理点提交本人居民身份证或组织机构代码证原件及复印件、购机发票原件及复印件、补贴产品购销合同原件、惠农补贴“一卡通”存折原件及复印件等资料申请补贴，并签署告知承诺书。牌证管理的机具须先办理牌证照，未办理牌证照不予补贴。各乡镇受理点对补贴相关申请资料进行形式审核，符合要求的予以办理申请。</w:t>
      </w:r>
    </w:p>
    <w:p>
      <w:pPr>
        <w:spacing w:line="580" w:lineRule="exact"/>
        <w:ind w:firstLine="632" w:firstLineChars="200"/>
      </w:pPr>
      <w:r>
        <w:rPr>
          <w:rFonts w:hint="eastAsia"/>
        </w:rPr>
        <w:t>推广使用带有人脸识别功能的手机</w:t>
      </w:r>
      <w:r>
        <w:t>App等信息化技术，方便购机者随时在线提交补贴申请、应录尽录，加快实现购机者线下申领补贴“最多跑一次，最多跑一地”。</w:t>
      </w:r>
    </w:p>
    <w:p>
      <w:pPr>
        <w:spacing w:line="580" w:lineRule="exact"/>
        <w:ind w:firstLine="632" w:firstLineChars="200"/>
      </w:pPr>
      <w:r>
        <w:rPr>
          <w:rFonts w:hint="eastAsia"/>
        </w:rPr>
        <w:t>购机者补贴资金申请成功后将相关资料交当地乡镇（街道）农业农村办。</w:t>
      </w:r>
    </w:p>
    <w:p>
      <w:pPr>
        <w:spacing w:line="580" w:lineRule="exact"/>
        <w:ind w:firstLine="632" w:firstLineChars="200"/>
      </w:pPr>
      <w:r>
        <w:rPr>
          <w:rFonts w:hint="eastAsia" w:ascii="楷体_GB2312" w:eastAsia="楷体_GB2312"/>
        </w:rPr>
        <w:t>（三）机具核实。</w:t>
      </w:r>
      <w:r>
        <w:rPr>
          <w:rFonts w:hint="eastAsia"/>
        </w:rPr>
        <w:t>牌证管理机具凭牌证免于现场实物核验。乡镇（街道）农业农村办在收到购机者补贴申请资料后，应于</w:t>
      </w:r>
      <w:r>
        <w:t>15个工作日内安排农机专干主核人（2人以上）进行入户核查（核查内容及标准详见附件），并登陆农机购置补贴辅助管理系统录入相关核查信息。</w:t>
      </w:r>
    </w:p>
    <w:p>
      <w:pPr>
        <w:spacing w:line="580" w:lineRule="exact"/>
        <w:ind w:firstLine="632" w:firstLineChars="200"/>
      </w:pPr>
      <w:r>
        <w:rPr>
          <w:rFonts w:hint="eastAsia" w:ascii="楷体_GB2312" w:eastAsia="楷体_GB2312"/>
        </w:rPr>
        <w:t>（四）补贴审批发放。</w:t>
      </w:r>
      <w:r>
        <w:rPr>
          <w:rFonts w:hint="eastAsia"/>
        </w:rPr>
        <w:t>各乡镇（街道）农业农村办对通过核查的补贴机具进行资料汇总、签字、盖章上报县农机事务中心。县农机事务中心对补贴资料及机具核查结果进行复核，复核通过的向市财政局提出拨付申请，申请通过后由县农机事务中心在惠农补贴“一卡通”系统（个人）或国库集中支付（组织）发放补贴资金。</w:t>
      </w:r>
    </w:p>
    <w:p>
      <w:pPr>
        <w:spacing w:line="580" w:lineRule="exact"/>
        <w:ind w:firstLine="632" w:firstLineChars="200"/>
      </w:pPr>
      <w:r>
        <w:rPr>
          <w:rFonts w:hint="eastAsia"/>
        </w:rPr>
        <w:t>补贴资金要及时发放，当月未审批或未审核的，转下月按程序发放。对安装类、设施类或安全风险较高类补贴机具，可在生产应用一段时期后兑付补贴资金。</w:t>
      </w:r>
    </w:p>
    <w:p>
      <w:pPr>
        <w:spacing w:line="580" w:lineRule="exact"/>
        <w:ind w:firstLine="632" w:firstLineChars="200"/>
        <w:rPr>
          <w:rFonts w:ascii="黑体" w:hAnsi="黑体" w:eastAsia="黑体"/>
        </w:rPr>
      </w:pPr>
      <w:r>
        <w:rPr>
          <w:rFonts w:hint="eastAsia" w:ascii="黑体" w:hAnsi="黑体" w:eastAsia="黑体"/>
        </w:rPr>
        <w:t>六、补贴机具退货规定</w:t>
      </w:r>
    </w:p>
    <w:p>
      <w:pPr>
        <w:spacing w:line="580" w:lineRule="exact"/>
        <w:ind w:firstLine="632" w:firstLineChars="200"/>
      </w:pPr>
      <w:r>
        <w:rPr>
          <w:rFonts w:hint="eastAsia"/>
        </w:rPr>
        <w:t>按照农机产品“三包”退货规定，购机者要求退货或购销双方协商同意退货的，可以退货。</w:t>
      </w:r>
    </w:p>
    <w:p>
      <w:pPr>
        <w:spacing w:line="580" w:lineRule="exact"/>
        <w:ind w:firstLine="632" w:firstLineChars="200"/>
      </w:pPr>
      <w:r>
        <w:rPr>
          <w:rFonts w:hint="eastAsia"/>
        </w:rPr>
        <w:t>已申请补贴但补贴资金未发放，需要退货的，应由经销商在购机发票上签署意见并加盖公章，购机者应及时告知县农机事务中心在补贴系统中将补贴信息作废。</w:t>
      </w:r>
    </w:p>
    <w:p>
      <w:pPr>
        <w:spacing w:line="580" w:lineRule="exact"/>
        <w:ind w:firstLine="632" w:firstLineChars="200"/>
      </w:pPr>
      <w:r>
        <w:rPr>
          <w:rFonts w:hint="eastAsia"/>
        </w:rPr>
        <w:t>补贴资金已发放，需要退货的，购机者将所领补贴款全额汇入财政非税账户，将汇款证明交至县农机事务中心，并告知县农机事务中心将补贴信息作废。</w:t>
      </w:r>
    </w:p>
    <w:p>
      <w:pPr>
        <w:spacing w:line="580" w:lineRule="exact"/>
        <w:ind w:firstLine="632" w:firstLineChars="200"/>
        <w:rPr>
          <w:rFonts w:ascii="黑体" w:hAnsi="黑体" w:eastAsia="黑体"/>
        </w:rPr>
      </w:pPr>
      <w:r>
        <w:rPr>
          <w:rFonts w:hint="eastAsia" w:ascii="黑体" w:hAnsi="黑体" w:eastAsia="黑体"/>
        </w:rPr>
        <w:t>七、工作措施</w:t>
      </w:r>
    </w:p>
    <w:p>
      <w:pPr>
        <w:spacing w:line="580" w:lineRule="exact"/>
        <w:ind w:firstLine="632" w:firstLineChars="200"/>
      </w:pPr>
      <w:r>
        <w:rPr>
          <w:rFonts w:hint="eastAsia" w:ascii="楷体_GB2312" w:eastAsia="楷体_GB2312"/>
        </w:rPr>
        <w:t>（一）加强领导，明确分工。</w:t>
      </w:r>
      <w:r>
        <w:rPr>
          <w:rFonts w:hint="eastAsia"/>
        </w:rPr>
        <w:t>县农机事务中心、财政局要建立健全联合实施和监管机制，切实加强组织协调，密切沟通配合，明确职责分工，形成工作合力。要组织开展业务培训和廉政警示教育，提高补贴工作人员业务素质和风险防控能力。各乡镇（街道）农业农村办负责补贴申请现场核查、汇总、上报。县农机事务中心负责农机购置补贴工作组织实施、审核、监管和资金拨付。县财政局负责农机购置补贴资金监管。</w:t>
      </w:r>
    </w:p>
    <w:p>
      <w:pPr>
        <w:spacing w:line="580" w:lineRule="exact"/>
        <w:ind w:firstLine="632" w:firstLineChars="200"/>
      </w:pPr>
      <w:r>
        <w:rPr>
          <w:rFonts w:hint="eastAsia" w:ascii="楷体_GB2312" w:eastAsia="楷体_GB2312"/>
        </w:rPr>
        <w:t>（二）优化服务，提高效能。</w:t>
      </w:r>
      <w:r>
        <w:rPr>
          <w:rFonts w:hint="eastAsia"/>
        </w:rPr>
        <w:t>要加快补贴申请受理、资料审核、机具核查、资金兑付等工作。积极探索补贴申请、核验、兑付全流程线上办理“三合一”新模式，推进农机购置补贴实施与监管信息化技术集成应用。</w:t>
      </w:r>
    </w:p>
    <w:p>
      <w:pPr>
        <w:spacing w:line="580" w:lineRule="exact"/>
        <w:ind w:firstLine="632" w:firstLineChars="200"/>
      </w:pPr>
      <w:r>
        <w:rPr>
          <w:rFonts w:hint="eastAsia" w:ascii="楷体_GB2312" w:eastAsia="楷体_GB2312"/>
        </w:rPr>
        <w:t>（三）公开信息，接受监督。</w:t>
      </w:r>
      <w:r>
        <w:rPr>
          <w:rFonts w:hint="eastAsia"/>
        </w:rPr>
        <w:t>要因地制宜、综合运用宣传挂图、报纸杂志、广播电视、互联网等方式，以及村务公开等渠道，全方位开展补贴政策与实施工作宣传解读，着力提升政策知晓度</w:t>
      </w:r>
      <w:r>
        <w:t>,切实保障购机者、生产经销企业和广大农民群众的知情权、监督权。在政府门户网站及时完善和更新本级购置补贴信息，对补贴实施方案、补贴额一览表、操作程序、投诉咨询方式、资金规模、实施结算进度、违规查处结果等内容进行全面公开。</w:t>
      </w:r>
    </w:p>
    <w:p>
      <w:pPr>
        <w:spacing w:line="580" w:lineRule="exact"/>
        <w:ind w:firstLine="632" w:firstLineChars="200"/>
      </w:pPr>
      <w:r>
        <w:rPr>
          <w:rFonts w:hint="eastAsia" w:ascii="楷体_GB2312" w:eastAsia="楷体_GB2312"/>
        </w:rPr>
        <w:t>（四）加强监管，严惩违规。</w:t>
      </w:r>
      <w:r>
        <w:rPr>
          <w:rFonts w:hint="eastAsia"/>
        </w:rPr>
        <w:t>全面贯彻《农业农村部办公厅财政部办公厅关于进一步加强农机购置补贴政策监管强化纪律约束的通知》</w:t>
      </w:r>
      <w:r>
        <w:t>(农办机〔2019〕 6 号 ) 、《农业部办公厅财政部办公厅关于印发〈农业机械购置补贴产品违规经营行为处理办法（试行）〉的通知》(农办财〔2017〕26 号) 和本方案要求, 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w:t>
      </w:r>
    </w:p>
    <w:p>
      <w:pPr>
        <w:spacing w:line="580" w:lineRule="exact"/>
        <w:ind w:firstLine="632" w:firstLineChars="200"/>
      </w:pPr>
      <w:r>
        <w:rPr>
          <w:rFonts w:hint="eastAsia"/>
        </w:rPr>
        <w:t>本方案自印发之日起实施，有效期至</w:t>
      </w:r>
      <w:r>
        <w:t>2023年12月31日。</w:t>
      </w:r>
    </w:p>
    <w:p>
      <w:pPr>
        <w:spacing w:line="580" w:lineRule="exact"/>
        <w:ind w:firstLine="632" w:firstLineChars="200"/>
      </w:pPr>
      <w:r>
        <w:rPr>
          <w:rFonts w:hint="eastAsia"/>
        </w:rPr>
        <w:t>该实施方案县农业农村局委托县农机事务中心实施。</w:t>
      </w:r>
    </w:p>
    <w:sectPr>
      <w:footerReference r:id="rId3" w:type="default"/>
      <w:footerReference r:id="rId4" w:type="even"/>
      <w:pgSz w:w="11906" w:h="16838"/>
      <w:pgMar w:top="2098" w:right="1474" w:bottom="1984"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266F41-9F45-40DE-954B-1A6CC4AC94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5FD2D2-C5FD-4999-8331-55562FB626BF}"/>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E3151DC2-2E3D-4C86-B2BB-6A991BFB7C7C}"/>
  </w:font>
  <w:font w:name="方正大黑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4" w:fontKey="{6CF649FB-8849-4556-8592-1CA952AA0BCD}"/>
  </w:font>
  <w:font w:name="楷体_GB2312">
    <w:panose1 w:val="02010609030101010101"/>
    <w:charset w:val="86"/>
    <w:family w:val="modern"/>
    <w:pitch w:val="default"/>
    <w:sig w:usb0="00000001" w:usb1="080E0000" w:usb2="00000000" w:usb3="00000000" w:csb0="00040000" w:csb1="00000000"/>
    <w:embedRegular r:id="rId5" w:fontKey="{41B61A8B-8106-4D06-AD99-D4BF658F9F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46" w:rightChars="108"/>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3775" cy="3175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93775" cy="317500"/>
                      </a:xfrm>
                      <a:prstGeom prst="rect">
                        <a:avLst/>
                      </a:prstGeom>
                      <a:noFill/>
                      <a:ln>
                        <a:noFill/>
                      </a:ln>
                    </wps:spPr>
                    <wps:txbx>
                      <w:txbxContent>
                        <w:p>
                          <w:pPr>
                            <w:pStyle w:val="3"/>
                            <w:spacing w:line="500" w:lineRule="exact"/>
                            <w:ind w:left="320" w:leftChars="100" w:right="320" w:rightChars="100"/>
                            <w:rPr>
                              <w:sz w:val="28"/>
                            </w:rPr>
                          </w:pPr>
                          <w:r>
                            <w:rPr>
                              <w:rFonts w:hint="eastAsia" w:cs="仿宋_GB2312"/>
                              <w:sz w:val="28"/>
                            </w:rPr>
                            <w:t>—</w:t>
                          </w:r>
                          <w:r>
                            <w:rPr>
                              <w:rFonts w:hint="eastAsia"/>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ascii="宋体" w:hAnsi="宋体" w:eastAsia="宋体" w:cs="宋体"/>
                              <w:sz w:val="28"/>
                            </w:rPr>
                            <w:t>7</w:t>
                          </w:r>
                          <w:r>
                            <w:rPr>
                              <w:rFonts w:hint="eastAsia" w:ascii="宋体" w:hAnsi="宋体" w:eastAsia="宋体" w:cs="宋体"/>
                              <w:sz w:val="28"/>
                            </w:rPr>
                            <w:fldChar w:fldCharType="end"/>
                          </w:r>
                          <w:r>
                            <w:rPr>
                              <w:rFonts w:hint="eastAsia"/>
                              <w:sz w:val="28"/>
                            </w:rPr>
                            <w:t xml:space="preserve"> </w:t>
                          </w:r>
                          <w:r>
                            <w:rPr>
                              <w:rFonts w:hint="eastAsia" w:cs="仿宋_GB2312"/>
                              <w:sz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5pt;width:78.25pt;mso-position-horizontal:outside;mso-position-horizontal-relative:margin;mso-wrap-style:none;z-index:251659264;mso-width-relative:page;mso-height-relative:page;" filled="f" stroked="f" coordsize="21600,21600" o:gfxdata="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sp/T0QAAAAQBAAAPAAAAAAAAAAEAIAAAACIAAABkcnMv&#10;ZG93bnJldi54bWxQSwECFAAUAAAACACHTuJAKoElSgoCAAACBAAADgAAAAAAAAABACAAAAAgAQAA&#10;ZHJzL2Uyb0RvYy54bWxQSwUGAAAAAAYABgBZAQAAnAUAAAAA&#10;">
              <v:fill on="f" focussize="0,0"/>
              <v:stroke on="f"/>
              <v:imagedata o:title=""/>
              <o:lock v:ext="edit" aspectratio="f"/>
              <v:textbox inset="0mm,0mm,0mm,0mm" style="mso-fit-shape-to-text:t;">
                <w:txbxContent>
                  <w:p>
                    <w:pPr>
                      <w:pStyle w:val="3"/>
                      <w:spacing w:line="500" w:lineRule="exact"/>
                      <w:ind w:left="320" w:leftChars="100" w:right="320" w:rightChars="100"/>
                      <w:rPr>
                        <w:sz w:val="28"/>
                      </w:rPr>
                    </w:pPr>
                    <w:r>
                      <w:rPr>
                        <w:rFonts w:hint="eastAsia" w:cs="仿宋_GB2312"/>
                        <w:sz w:val="28"/>
                      </w:rPr>
                      <w:t>—</w:t>
                    </w:r>
                    <w:r>
                      <w:rPr>
                        <w:rFonts w:hint="eastAsia"/>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ascii="宋体" w:hAnsi="宋体" w:eastAsia="宋体" w:cs="宋体"/>
                        <w:sz w:val="28"/>
                      </w:rPr>
                      <w:t>7</w:t>
                    </w:r>
                    <w:r>
                      <w:rPr>
                        <w:rFonts w:hint="eastAsia" w:ascii="宋体" w:hAnsi="宋体" w:eastAsia="宋体" w:cs="宋体"/>
                        <w:sz w:val="28"/>
                      </w:rPr>
                      <w:fldChar w:fldCharType="end"/>
                    </w:r>
                    <w:r>
                      <w:rPr>
                        <w:rFonts w:hint="eastAsia"/>
                        <w:sz w:val="28"/>
                      </w:rPr>
                      <w:t xml:space="preserve"> </w:t>
                    </w:r>
                    <w:r>
                      <w:rPr>
                        <w:rFonts w:hint="eastAsia" w:cs="仿宋_GB2312"/>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spacing w:line="500" w:lineRule="exact"/>
                            <w:ind w:left="320" w:leftChars="100"/>
                            <w:rPr>
                              <w:sz w:val="28"/>
                            </w:rPr>
                          </w:pPr>
                          <w:r>
                            <w:rPr>
                              <w:rFonts w:hint="eastAsia" w:cs="仿宋_GB2312"/>
                              <w:sz w:val="28"/>
                            </w:rPr>
                            <w:t>—</w:t>
                          </w: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2</w:t>
                          </w:r>
                          <w:r>
                            <w:rPr>
                              <w:rFonts w:hint="eastAsia"/>
                              <w:sz w:val="28"/>
                            </w:rPr>
                            <w:fldChar w:fldCharType="end"/>
                          </w:r>
                          <w:r>
                            <w:rPr>
                              <w:rFonts w:hint="eastAsia"/>
                              <w:sz w:val="28"/>
                            </w:rPr>
                            <w:t xml:space="preserve"> </w:t>
                          </w:r>
                          <w:r>
                            <w:rPr>
                              <w:rFonts w:hint="eastAsia" w:cs="仿宋_GB2312"/>
                              <w:sz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pStyle w:val="3"/>
                      <w:spacing w:line="500" w:lineRule="exact"/>
                      <w:ind w:left="320" w:leftChars="100"/>
                      <w:rPr>
                        <w:sz w:val="28"/>
                      </w:rPr>
                    </w:pPr>
                    <w:r>
                      <w:rPr>
                        <w:rFonts w:hint="eastAsia" w:cs="仿宋_GB2312"/>
                        <w:sz w:val="28"/>
                      </w:rPr>
                      <w:t>—</w:t>
                    </w: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2</w:t>
                    </w:r>
                    <w:r>
                      <w:rPr>
                        <w:rFonts w:hint="eastAsia"/>
                        <w:sz w:val="28"/>
                      </w:rPr>
                      <w:fldChar w:fldCharType="end"/>
                    </w:r>
                    <w:r>
                      <w:rPr>
                        <w:rFonts w:hint="eastAsia"/>
                        <w:sz w:val="28"/>
                      </w:rPr>
                      <w:t xml:space="preserve"> </w:t>
                    </w:r>
                    <w:r>
                      <w:rPr>
                        <w:rFonts w:hint="eastAsia" w:cs="仿宋_GB2312"/>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GExZjYwMTI4YmMyMDhjZTQxZmYxZDI0ZTcyMmYifQ=="/>
  </w:docVars>
  <w:rsids>
    <w:rsidRoot w:val="00841F52"/>
    <w:rsid w:val="00002C71"/>
    <w:rsid w:val="000425EA"/>
    <w:rsid w:val="00077EE4"/>
    <w:rsid w:val="00127689"/>
    <w:rsid w:val="00172A27"/>
    <w:rsid w:val="001D2192"/>
    <w:rsid w:val="00282E7C"/>
    <w:rsid w:val="002902EF"/>
    <w:rsid w:val="002E6F1B"/>
    <w:rsid w:val="00394683"/>
    <w:rsid w:val="004079E6"/>
    <w:rsid w:val="005E3DE3"/>
    <w:rsid w:val="00736D22"/>
    <w:rsid w:val="007564CA"/>
    <w:rsid w:val="007C70DD"/>
    <w:rsid w:val="00841F52"/>
    <w:rsid w:val="00850459"/>
    <w:rsid w:val="0085565F"/>
    <w:rsid w:val="00A22B9C"/>
    <w:rsid w:val="00AE3F23"/>
    <w:rsid w:val="00BA301E"/>
    <w:rsid w:val="00BB6BF1"/>
    <w:rsid w:val="00BE1136"/>
    <w:rsid w:val="00D12A91"/>
    <w:rsid w:val="00E90258"/>
    <w:rsid w:val="027F7CAD"/>
    <w:rsid w:val="04E63752"/>
    <w:rsid w:val="07747B6D"/>
    <w:rsid w:val="1260206A"/>
    <w:rsid w:val="13996D35"/>
    <w:rsid w:val="15284D71"/>
    <w:rsid w:val="18FF1F0C"/>
    <w:rsid w:val="1970691D"/>
    <w:rsid w:val="19DA0263"/>
    <w:rsid w:val="1F913AF4"/>
    <w:rsid w:val="20827CD6"/>
    <w:rsid w:val="22C67C0E"/>
    <w:rsid w:val="2668191E"/>
    <w:rsid w:val="283F398F"/>
    <w:rsid w:val="2B7A14DE"/>
    <w:rsid w:val="2D2742D2"/>
    <w:rsid w:val="2D8D0E8F"/>
    <w:rsid w:val="2ECF017E"/>
    <w:rsid w:val="302E60F5"/>
    <w:rsid w:val="30532A04"/>
    <w:rsid w:val="31ED5449"/>
    <w:rsid w:val="3A96278C"/>
    <w:rsid w:val="3C022DEC"/>
    <w:rsid w:val="3DC93355"/>
    <w:rsid w:val="3EA636CE"/>
    <w:rsid w:val="4B3B299A"/>
    <w:rsid w:val="52B52855"/>
    <w:rsid w:val="547E4024"/>
    <w:rsid w:val="581C7309"/>
    <w:rsid w:val="5C691D1A"/>
    <w:rsid w:val="640B1CF1"/>
    <w:rsid w:val="6461280F"/>
    <w:rsid w:val="66C97704"/>
    <w:rsid w:val="67471CD7"/>
    <w:rsid w:val="6C3E74BC"/>
    <w:rsid w:val="6CDB2E42"/>
    <w:rsid w:val="6DEE6E42"/>
    <w:rsid w:val="70E11247"/>
    <w:rsid w:val="79C26B11"/>
    <w:rsid w:val="7D0077DB"/>
    <w:rsid w:val="7D6E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page number"/>
    <w:basedOn w:val="6"/>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仿宋_GB2312" w:cs="Times New Roman"/>
      <w:kern w:val="2"/>
      <w:sz w:val="30"/>
      <w:szCs w:val="24"/>
      <w:lang w:val="en-US" w:eastAsia="zh-CN" w:bidi="ar-SA"/>
    </w:rPr>
  </w:style>
  <w:style w:type="character" w:customStyle="1" w:styleId="9">
    <w:name w:val="批注框文本 Char"/>
    <w:basedOn w:val="6"/>
    <w:link w:val="2"/>
    <w:semiHidden/>
    <w:qFormat/>
    <w:uiPriority w:val="99"/>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34892;&#25991;&#36164;&#26009;\&#34892;&#25991;&#27169;&#26495;\&#19996;&#20892;&#32852;&#21457;(&#20108;&#21333;&#203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东农联发(二单位)</Template>
  <Pages>8</Pages>
  <Words>2796</Words>
  <Characters>2891</Characters>
  <Lines>21</Lines>
  <Paragraphs>6</Paragraphs>
  <TotalTime>1</TotalTime>
  <ScaleCrop>false</ScaleCrop>
  <LinksUpToDate>false</LinksUpToDate>
  <CharactersWithSpaces>2978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2023-06-09T02:06:00Z</dcterms:created>
  <dc:creator>天问</dc:creator>
  <cp:lastModifiedBy>万全鹏</cp:lastModifiedBy>
  <cp:lastPrinted>2023-06-09T01:17:00Z</cp:lastPrinted>
  <dcterms:modified xsi:type="dcterms:W3CDTF">2023-07-13T01:11:26Z</dcterms:modified>
  <dc:title>清远市医疗保障局文件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5DC16A36ED22448BBED09437C616BC20</vt:lpwstr>
  </property>
</Properties>
</file>