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color w:val="auto"/>
          <w:kern w:val="0"/>
          <w:sz w:val="30"/>
          <w:szCs w:val="30"/>
          <w:highlight w:val="none"/>
          <w:lang w:val="en-US" w:eastAsia="zh-CN"/>
        </w:rPr>
      </w:pPr>
      <w:r>
        <w:rPr>
          <w:rFonts w:hint="eastAsia" w:ascii="黑体" w:hAnsi="黑体" w:eastAsia="黑体" w:cs="黑体"/>
          <w:color w:val="auto"/>
          <w:kern w:val="0"/>
          <w:sz w:val="30"/>
          <w:szCs w:val="30"/>
          <w:highlight w:val="none"/>
          <w:lang w:eastAsia="zh-CN"/>
        </w:rPr>
        <w:t>附件</w:t>
      </w:r>
      <w:r>
        <w:rPr>
          <w:rFonts w:hint="eastAsia" w:ascii="黑体" w:hAnsi="黑体" w:eastAsia="黑体" w:cs="黑体"/>
          <w:color w:val="auto"/>
          <w:kern w:val="0"/>
          <w:sz w:val="30"/>
          <w:szCs w:val="30"/>
          <w:highlight w:val="none"/>
          <w:lang w:val="en-US" w:eastAsia="zh-CN"/>
        </w:rPr>
        <w:t>4</w:t>
      </w:r>
    </w:p>
    <w:p>
      <w:pPr>
        <w:widowControl/>
        <w:spacing w:line="560" w:lineRule="exact"/>
        <w:jc w:val="center"/>
        <w:rPr>
          <w:rFonts w:hint="eastAsia" w:ascii="华文中宋" w:hAnsi="华文中宋" w:eastAsia="华文中宋" w:cs="宋体"/>
          <w:color w:val="auto"/>
          <w:kern w:val="0"/>
          <w:sz w:val="30"/>
          <w:szCs w:val="30"/>
          <w:highlight w:val="none"/>
          <w:lang w:val="en-US" w:eastAsia="zh-CN"/>
        </w:rPr>
      </w:pPr>
    </w:p>
    <w:p>
      <w:pPr>
        <w:widowControl/>
        <w:spacing w:line="560" w:lineRule="exact"/>
        <w:jc w:val="center"/>
        <w:rPr>
          <w:rFonts w:hint="default" w:ascii="华文中宋" w:hAnsi="华文中宋" w:eastAsia="华文中宋" w:cs="宋体"/>
          <w:color w:val="auto"/>
          <w:kern w:val="0"/>
          <w:sz w:val="30"/>
          <w:szCs w:val="30"/>
          <w:highlight w:val="none"/>
          <w:lang w:val="en-US" w:eastAsia="zh-CN"/>
        </w:rPr>
      </w:pPr>
    </w:p>
    <w:p>
      <w:pPr>
        <w:widowControl/>
        <w:spacing w:line="560" w:lineRule="exact"/>
        <w:jc w:val="center"/>
        <w:rPr>
          <w:rFonts w:hint="eastAsia" w:ascii="方正小标宋简体" w:hAnsi="方正小标宋简体" w:eastAsia="方正小标宋简体" w:cs="方正小标宋简体"/>
          <w:color w:val="auto"/>
          <w:kern w:val="0"/>
          <w:sz w:val="36"/>
          <w:szCs w:val="36"/>
          <w:highlight w:val="none"/>
        </w:rPr>
      </w:pPr>
      <w:r>
        <w:rPr>
          <w:rFonts w:hint="eastAsia" w:ascii="方正小标宋简体" w:hAnsi="方正小标宋简体" w:eastAsia="方正小标宋简体" w:cs="方正小标宋简体"/>
          <w:color w:val="auto"/>
          <w:kern w:val="0"/>
          <w:sz w:val="36"/>
          <w:szCs w:val="36"/>
          <w:highlight w:val="none"/>
        </w:rPr>
        <w:t>农业资源及生态保护补助资金分配测算方法及标准</w:t>
      </w:r>
    </w:p>
    <w:p>
      <w:pPr>
        <w:widowControl/>
        <w:spacing w:line="560" w:lineRule="exact"/>
        <w:ind w:firstLine="540"/>
        <w:rPr>
          <w:rFonts w:ascii="宋体" w:hAnsi="宋体" w:eastAsia="宋体" w:cs="宋体"/>
          <w:color w:val="auto"/>
          <w:kern w:val="0"/>
          <w:sz w:val="30"/>
          <w:szCs w:val="30"/>
          <w:highlight w:val="none"/>
        </w:rPr>
      </w:pPr>
      <w:r>
        <w:rPr>
          <w:rFonts w:hint="eastAsia" w:ascii="华文中宋" w:hAnsi="华文中宋" w:eastAsia="华文中宋" w:cs="宋体"/>
          <w:color w:val="auto"/>
          <w:kern w:val="0"/>
          <w:sz w:val="30"/>
          <w:szCs w:val="30"/>
          <w:highlight w:val="none"/>
        </w:rPr>
        <w:t> </w:t>
      </w:r>
    </w:p>
    <w:p>
      <w:pPr>
        <w:widowControl/>
        <w:spacing w:line="560" w:lineRule="exact"/>
        <w:ind w:firstLine="660"/>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耕地资源保护支出。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东北黑土地保护利用，对每个黑土地保护利用项目县实施定额补助；东北黑土地保护性耕作，根据保护性耕作实施区域任务面积测算；轮作休耕等农业结构调整，根据任务面积、补助标准以及承担地下水超采区综合治理等特定试点任务的定额资金量测算，补助标准按照有关规定执行</w:t>
      </w: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kern w:val="0"/>
          <w:sz w:val="30"/>
          <w:szCs w:val="30"/>
          <w:highlight w:val="none"/>
        </w:rPr>
        <w:t>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试点任务是按照党中央、国务院部署确定的试点任务。</w:t>
      </w:r>
      <w:r>
        <w:rPr>
          <w:rFonts w:hint="eastAsia" w:ascii="仿宋_GB2312" w:hAnsi="宋体" w:eastAsia="仿宋_GB2312" w:cs="宋体"/>
          <w:b/>
          <w:bCs/>
          <w:color w:val="auto"/>
          <w:kern w:val="0"/>
          <w:sz w:val="30"/>
          <w:szCs w:val="30"/>
          <w:highlight w:val="none"/>
        </w:rPr>
        <w:t>指导性任务：</w:t>
      </w:r>
      <w:r>
        <w:rPr>
          <w:rFonts w:hint="eastAsia" w:ascii="仿宋_GB2312" w:hAnsi="宋体" w:eastAsia="仿宋_GB2312" w:cs="宋体"/>
          <w:b w:val="0"/>
          <w:bCs w:val="0"/>
          <w:color w:val="auto"/>
          <w:kern w:val="0"/>
          <w:sz w:val="30"/>
          <w:szCs w:val="30"/>
          <w:highlight w:val="none"/>
          <w:lang w:eastAsia="zh-CN"/>
        </w:rPr>
        <w:t>包括</w:t>
      </w:r>
      <w:r>
        <w:rPr>
          <w:rFonts w:hint="eastAsia" w:ascii="仿宋_GB2312" w:hAnsi="宋体" w:eastAsia="仿宋_GB2312" w:cs="宋体"/>
          <w:color w:val="auto"/>
          <w:kern w:val="0"/>
          <w:sz w:val="30"/>
          <w:szCs w:val="30"/>
          <w:highlight w:val="none"/>
        </w:rPr>
        <w:t>耕地保护与质量提升</w:t>
      </w:r>
      <w:r>
        <w:rPr>
          <w:rFonts w:hint="eastAsia" w:ascii="仿宋_GB2312" w:hAnsi="宋体" w:eastAsia="仿宋_GB2312" w:cs="宋体"/>
          <w:color w:val="auto"/>
          <w:kern w:val="0"/>
          <w:sz w:val="30"/>
          <w:szCs w:val="30"/>
          <w:highlight w:val="none"/>
          <w:lang w:eastAsia="zh-CN"/>
        </w:rPr>
        <w:t>、耕地深松等</w:t>
      </w:r>
      <w:r>
        <w:rPr>
          <w:rFonts w:hint="eastAsia" w:ascii="仿宋_GB2312" w:hAnsi="宋体" w:eastAsia="仿宋_GB2312" w:cs="宋体"/>
          <w:color w:val="auto"/>
          <w:kern w:val="0"/>
          <w:sz w:val="30"/>
          <w:szCs w:val="30"/>
          <w:highlight w:val="none"/>
        </w:rPr>
        <w:t>，根据基础资源（40%）、政策任务（55%）、脱贫地区（5%）等因素测算。其中基础资源因素包括耕地面积</w:t>
      </w:r>
      <w:r>
        <w:rPr>
          <w:rFonts w:hint="eastAsia" w:ascii="仿宋_GB2312" w:hAnsi="宋体" w:eastAsia="仿宋_GB2312" w:cs="宋体"/>
          <w:color w:val="auto"/>
          <w:kern w:val="0"/>
          <w:sz w:val="30"/>
          <w:szCs w:val="30"/>
          <w:highlight w:val="none"/>
          <w:lang w:eastAsia="zh-CN"/>
        </w:rPr>
        <w:t>、粮食产量、适宜深松农作物面积、农林牧渔业产值</w:t>
      </w:r>
      <w:r>
        <w:rPr>
          <w:rFonts w:hint="eastAsia" w:ascii="仿宋_GB2312" w:hAnsi="宋体" w:eastAsia="仿宋_GB2312" w:cs="宋体"/>
          <w:color w:val="auto"/>
          <w:kern w:val="0"/>
          <w:sz w:val="30"/>
          <w:szCs w:val="30"/>
          <w:highlight w:val="none"/>
        </w:rPr>
        <w:t>等，政策任务因素包括退化耕地治理实施面积、</w:t>
      </w:r>
      <w:r>
        <w:rPr>
          <w:rFonts w:hint="eastAsia" w:ascii="仿宋_GB2312" w:hAnsi="宋体" w:eastAsia="仿宋_GB2312" w:cs="宋体"/>
          <w:color w:val="auto"/>
          <w:kern w:val="0"/>
          <w:sz w:val="30"/>
          <w:szCs w:val="30"/>
          <w:highlight w:val="none"/>
          <w:lang w:eastAsia="zh-CN"/>
        </w:rPr>
        <w:t>承担耕地深松</w:t>
      </w:r>
      <w:r>
        <w:rPr>
          <w:rFonts w:hint="eastAsia" w:ascii="仿宋_GB2312" w:hAnsi="宋体" w:eastAsia="仿宋_GB2312" w:cs="宋体"/>
          <w:color w:val="auto"/>
          <w:kern w:val="0"/>
          <w:sz w:val="30"/>
          <w:szCs w:val="30"/>
          <w:highlight w:val="none"/>
        </w:rPr>
        <w:t>任务面积等。</w:t>
      </w:r>
    </w:p>
    <w:p>
      <w:pPr>
        <w:widowControl/>
        <w:spacing w:line="560" w:lineRule="exact"/>
        <w:rPr>
          <w:rFonts w:ascii="宋体" w:hAnsi="宋体" w:eastAsia="宋体" w:cs="宋体"/>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=黑土地保护项目县数量×定额补助金额+保护性耕作试点面积×试点补助标准+轮作面积×补助标准+休耕面积×补助标准+承担特</w:t>
      </w:r>
      <w:r>
        <w:rPr>
          <w:rFonts w:hint="eastAsia" w:ascii="仿宋_GB2312" w:hAnsi="宋体" w:eastAsia="仿宋_GB2312" w:cs="宋体"/>
          <w:color w:val="auto"/>
          <w:kern w:val="0"/>
          <w:sz w:val="30"/>
          <w:szCs w:val="30"/>
          <w:highlight w:val="none"/>
          <w:lang w:eastAsia="zh-CN"/>
        </w:rPr>
        <w:t>定</w:t>
      </w:r>
      <w:r>
        <w:rPr>
          <w:rFonts w:hint="eastAsia" w:ascii="仿宋_GB2312" w:hAnsi="宋体" w:eastAsia="仿宋_GB2312" w:cs="宋体"/>
          <w:color w:val="auto"/>
          <w:kern w:val="0"/>
          <w:sz w:val="30"/>
          <w:szCs w:val="30"/>
          <w:highlight w:val="none"/>
        </w:rPr>
        <w:t>试点任务的定额资金量+∑耕地</w:t>
      </w:r>
      <w:r>
        <w:rPr>
          <w:rFonts w:hint="eastAsia" w:ascii="仿宋_GB2312" w:hAnsi="宋体" w:eastAsia="仿宋_GB2312" w:cs="宋体"/>
          <w:color w:val="auto"/>
          <w:kern w:val="0"/>
          <w:sz w:val="30"/>
          <w:szCs w:val="30"/>
          <w:highlight w:val="none"/>
          <w:lang w:eastAsia="zh-CN"/>
        </w:rPr>
        <w:t>资源</w:t>
      </w:r>
      <w:r>
        <w:rPr>
          <w:rFonts w:hint="eastAsia" w:ascii="仿宋_GB2312" w:hAnsi="宋体" w:eastAsia="仿宋_GB2312" w:cs="宋体"/>
          <w:color w:val="auto"/>
          <w:kern w:val="0"/>
          <w:sz w:val="30"/>
          <w:szCs w:val="30"/>
          <w:highlight w:val="none"/>
        </w:rPr>
        <w:t>保护</w:t>
      </w:r>
      <w:r>
        <w:rPr>
          <w:rFonts w:hint="eastAsia" w:ascii="仿宋_GB2312" w:hAnsi="宋体" w:eastAsia="仿宋_GB2312" w:cs="宋体"/>
          <w:color w:val="auto"/>
          <w:kern w:val="0"/>
          <w:sz w:val="30"/>
          <w:szCs w:val="30"/>
          <w:highlight w:val="none"/>
          <w:lang w:eastAsia="zh-CN"/>
        </w:rPr>
        <w:t>指导性任务</w:t>
      </w:r>
      <w:r>
        <w:rPr>
          <w:rFonts w:hint="eastAsia" w:ascii="仿宋_GB2312" w:hAnsi="宋体" w:eastAsia="仿宋_GB2312" w:cs="宋体"/>
          <w:color w:val="auto"/>
          <w:kern w:val="0"/>
          <w:sz w:val="30"/>
          <w:szCs w:val="30"/>
          <w:highlight w:val="none"/>
        </w:rPr>
        <w:t>资金规模×（基础资源因素×40%+政策任务因素×55%+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60"/>
        <w:rPr>
          <w:rFonts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w:t>
      </w:r>
    </w:p>
    <w:p>
      <w:pPr>
        <w:widowControl/>
        <w:spacing w:line="560" w:lineRule="exact"/>
        <w:ind w:firstLine="645"/>
        <w:rPr>
          <w:rFonts w:ascii="宋体" w:hAnsi="宋体" w:eastAsia="宋体"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渔业资源保护支出。</w:t>
      </w:r>
      <w:r>
        <w:rPr>
          <w:rFonts w:hint="eastAsia" w:ascii="仿宋_GB2312" w:hAnsi="宋体" w:eastAsia="仿宋_GB2312" w:cs="宋体"/>
          <w:color w:val="auto"/>
          <w:kern w:val="0"/>
          <w:sz w:val="30"/>
          <w:szCs w:val="30"/>
          <w:highlight w:val="none"/>
        </w:rPr>
        <w:t>为</w:t>
      </w:r>
      <w:r>
        <w:rPr>
          <w:rFonts w:hint="eastAsia" w:ascii="仿宋_GB2312" w:hAnsi="宋体" w:eastAsia="仿宋_GB2312" w:cs="宋体"/>
          <w:b w:val="0"/>
          <w:bCs/>
          <w:color w:val="auto"/>
          <w:kern w:val="0"/>
          <w:sz w:val="30"/>
          <w:szCs w:val="30"/>
          <w:highlight w:val="none"/>
        </w:rPr>
        <w:t>指导性任务</w:t>
      </w:r>
      <w:r>
        <w:rPr>
          <w:rFonts w:hint="eastAsia" w:ascii="仿宋_GB2312" w:hAnsi="宋体" w:eastAsia="仿宋_GB2312" w:cs="宋体"/>
          <w:bCs/>
          <w:color w:val="auto"/>
          <w:kern w:val="0"/>
          <w:sz w:val="30"/>
          <w:szCs w:val="30"/>
          <w:highlight w:val="none"/>
        </w:rPr>
        <w:t>，</w:t>
      </w:r>
      <w:r>
        <w:rPr>
          <w:rFonts w:hint="eastAsia" w:ascii="仿宋_GB2312" w:hAnsi="宋体" w:eastAsia="仿宋_GB2312" w:cs="宋体"/>
          <w:color w:val="auto"/>
          <w:kern w:val="0"/>
          <w:sz w:val="30"/>
          <w:szCs w:val="30"/>
          <w:highlight w:val="none"/>
        </w:rPr>
        <w:t>渔业增殖放流根据基础资源（40%）、政策任务（55%）、脱贫地区（5%）等因素测算。其中基础资源因素包括适宜放流水域面积、水生生物保护区面积、水生生物保护区数量等，政策任务因素包括放流水生动物物种数量等。</w:t>
      </w:r>
    </w:p>
    <w:p>
      <w:pPr>
        <w:widowControl/>
        <w:spacing w:line="560" w:lineRule="exact"/>
        <w:rPr>
          <w:rFonts w:ascii="宋体" w:hAnsi="宋体" w:eastAsia="宋体" w:cs="宋体"/>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渔业增殖放流资金规模×（基础资源因素×40%+政策任务因素×55%+</w:t>
      </w:r>
      <w:r>
        <w:rPr>
          <w:rFonts w:hint="eastAsia" w:ascii="仿宋_GB2312" w:hAnsi="宋体" w:eastAsia="仿宋_GB2312" w:cs="宋体"/>
          <w:color w:val="auto"/>
          <w:kern w:val="0"/>
          <w:sz w:val="30"/>
          <w:szCs w:val="30"/>
          <w:highlight w:val="none"/>
          <w:lang w:eastAsia="zh-CN"/>
        </w:rPr>
        <w:t>脱贫地区因素</w:t>
      </w:r>
      <w:r>
        <w:rPr>
          <w:rFonts w:hint="eastAsia" w:ascii="仿宋_GB2312" w:hAnsi="宋体" w:eastAsia="仿宋_GB2312" w:cs="宋体"/>
          <w:color w:val="auto"/>
          <w:kern w:val="0"/>
          <w:sz w:val="30"/>
          <w:szCs w:val="30"/>
          <w:highlight w:val="none"/>
        </w:rPr>
        <w:t>×5%）</w:t>
      </w:r>
    </w:p>
    <w:p>
      <w:pPr>
        <w:widowControl/>
        <w:spacing w:line="560" w:lineRule="exact"/>
        <w:ind w:firstLine="645"/>
        <w:rPr>
          <w:rFonts w:ascii="宋体" w:hAnsi="宋体" w:eastAsia="宋体" w:cs="宋体"/>
          <w:color w:val="auto"/>
          <w:kern w:val="0"/>
          <w:sz w:val="30"/>
          <w:szCs w:val="30"/>
          <w:highlight w:val="none"/>
        </w:rPr>
      </w:pPr>
      <w:r>
        <w:rPr>
          <w:rFonts w:hint="eastAsia" w:ascii="宋体" w:hAnsi="宋体" w:eastAsia="宋体" w:cs="宋体"/>
          <w:b/>
          <w:bCs/>
          <w:color w:val="auto"/>
          <w:kern w:val="0"/>
          <w:sz w:val="30"/>
          <w:szCs w:val="30"/>
          <w:highlight w:val="none"/>
        </w:rPr>
        <w:t> </w:t>
      </w:r>
    </w:p>
    <w:p>
      <w:pPr>
        <w:widowControl/>
        <w:spacing w:line="560" w:lineRule="exact"/>
        <w:ind w:firstLine="660"/>
        <w:rPr>
          <w:rFonts w:hint="eastAsia" w:ascii="宋体" w:hAnsi="宋体" w:eastAsia="宋体" w:cs="宋体"/>
          <w:b/>
          <w:bCs/>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草原生态保护补助奖励支出。</w:t>
      </w:r>
      <w:r>
        <w:rPr>
          <w:rFonts w:hint="eastAsia" w:ascii="仿宋_GB2312" w:hAnsi="宋体" w:eastAsia="仿宋_GB2312" w:cs="宋体"/>
          <w:color w:val="auto"/>
          <w:kern w:val="0"/>
          <w:sz w:val="30"/>
          <w:szCs w:val="30"/>
          <w:highlight w:val="none"/>
        </w:rPr>
        <w:t>为约束性任务，草原禁牧补助与草畜平衡奖励根据禁牧面积、草畜平衡面积和补助标准测算，补助标准依据有关规定执行。</w:t>
      </w:r>
    </w:p>
    <w:p>
      <w:pPr>
        <w:widowControl/>
        <w:spacing w:line="560" w:lineRule="exact"/>
        <w:rPr>
          <w:rFonts w:hint="eastAsia" w:ascii="仿宋_GB2312" w:hAnsi="宋体" w:eastAsia="仿宋_GB2312" w:cs="宋体"/>
          <w:color w:val="auto"/>
          <w:kern w:val="0"/>
          <w:sz w:val="30"/>
          <w:szCs w:val="30"/>
          <w:highlight w:val="none"/>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禁牧面积×补助标准+草畜平衡面积×补助标准</w:t>
      </w:r>
    </w:p>
    <w:p>
      <w:pPr>
        <w:widowControl/>
        <w:spacing w:line="560" w:lineRule="exact"/>
        <w:ind w:firstLine="660"/>
        <w:rPr>
          <w:rFonts w:hint="eastAsia" w:ascii="仿宋_GB2312" w:hAnsi="宋体" w:eastAsia="仿宋_GB2312" w:cs="宋体"/>
          <w:color w:val="auto"/>
          <w:kern w:val="0"/>
          <w:sz w:val="30"/>
          <w:szCs w:val="30"/>
          <w:highlight w:val="none"/>
        </w:rPr>
      </w:pPr>
    </w:p>
    <w:p>
      <w:pPr>
        <w:widowControl/>
        <w:spacing w:line="560" w:lineRule="exact"/>
        <w:ind w:firstLine="660"/>
        <w:rPr>
          <w:rFonts w:hint="eastAsia" w:ascii="仿宋_GB2312" w:hAnsi="宋体" w:eastAsia="仿宋_GB2312" w:cs="宋体"/>
          <w:color w:val="auto"/>
          <w:kern w:val="0"/>
          <w:sz w:val="30"/>
          <w:szCs w:val="30"/>
          <w:highlight w:val="none"/>
        </w:rPr>
      </w:pPr>
      <w:r>
        <w:rPr>
          <w:rFonts w:hint="eastAsia" w:ascii="方正仿宋_GBK" w:hAnsi="方正仿宋_GBK" w:eastAsia="方正仿宋_GBK" w:cs="方正仿宋_GBK"/>
          <w:b/>
          <w:bCs/>
          <w:color w:val="auto"/>
          <w:kern w:val="0"/>
          <w:sz w:val="30"/>
          <w:szCs w:val="30"/>
          <w:highlight w:val="none"/>
          <w:lang w:eastAsia="zh-CN"/>
        </w:rPr>
        <w:t>——</w:t>
      </w:r>
      <w:r>
        <w:rPr>
          <w:rFonts w:hint="eastAsia" w:ascii="宋体" w:hAnsi="宋体" w:eastAsia="宋体" w:cs="宋体"/>
          <w:b/>
          <w:bCs/>
          <w:color w:val="auto"/>
          <w:kern w:val="0"/>
          <w:sz w:val="30"/>
          <w:szCs w:val="30"/>
          <w:highlight w:val="none"/>
        </w:rPr>
        <w:t>农业废弃物资源化利用支出。</w:t>
      </w:r>
      <w:r>
        <w:rPr>
          <w:rFonts w:hint="eastAsia" w:ascii="仿宋_GB2312" w:hAnsi="宋体" w:eastAsia="仿宋_GB2312" w:cs="宋体"/>
          <w:b/>
          <w:bCs/>
          <w:color w:val="auto"/>
          <w:kern w:val="0"/>
          <w:sz w:val="30"/>
          <w:szCs w:val="30"/>
          <w:highlight w:val="none"/>
        </w:rPr>
        <w:t>约束性任务：</w:t>
      </w:r>
      <w:r>
        <w:rPr>
          <w:rFonts w:hint="eastAsia" w:ascii="仿宋_GB2312" w:hAnsi="宋体" w:eastAsia="仿宋_GB2312" w:cs="宋体"/>
          <w:color w:val="auto"/>
          <w:kern w:val="0"/>
          <w:sz w:val="30"/>
          <w:szCs w:val="30"/>
          <w:highlight w:val="none"/>
        </w:rPr>
        <w:t>秸秆综合利用，根据基础资源</w:t>
      </w:r>
      <w:r>
        <w:rPr>
          <w:rFonts w:hint="eastAsia" w:ascii="仿宋_GB2312" w:hAnsi="宋体" w:eastAsia="仿宋_GB2312" w:cs="宋体"/>
          <w:color w:val="auto"/>
          <w:kern w:val="0"/>
          <w:sz w:val="30"/>
          <w:szCs w:val="30"/>
          <w:highlight w:val="none"/>
          <w:lang w:eastAsia="zh-CN"/>
        </w:rPr>
        <w:t>因素</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7</w:t>
      </w:r>
      <w:r>
        <w:rPr>
          <w:rFonts w:hint="eastAsia" w:ascii="仿宋_GB2312" w:hAnsi="宋体" w:eastAsia="仿宋_GB2312" w:cs="宋体"/>
          <w:color w:val="auto"/>
          <w:kern w:val="0"/>
          <w:sz w:val="30"/>
          <w:szCs w:val="30"/>
          <w:highlight w:val="none"/>
        </w:rPr>
        <w:t>0%）、政策</w:t>
      </w:r>
      <w:r>
        <w:rPr>
          <w:rFonts w:hint="eastAsia" w:ascii="仿宋_GB2312" w:hAnsi="宋体" w:eastAsia="仿宋_GB2312" w:cs="宋体"/>
          <w:color w:val="auto"/>
          <w:kern w:val="0"/>
          <w:sz w:val="30"/>
          <w:szCs w:val="30"/>
          <w:highlight w:val="none"/>
          <w:lang w:eastAsia="zh-CN"/>
        </w:rPr>
        <w:t>任务因素</w:t>
      </w:r>
      <w:r>
        <w:rPr>
          <w:rFonts w:hint="eastAsia"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lang w:val="en-US" w:eastAsia="zh-CN"/>
        </w:rPr>
        <w:t>3</w:t>
      </w:r>
      <w:r>
        <w:rPr>
          <w:rFonts w:hint="eastAsia" w:ascii="仿宋_GB2312" w:hAnsi="宋体" w:eastAsia="仿宋_GB2312" w:cs="宋体"/>
          <w:color w:val="auto"/>
          <w:kern w:val="0"/>
          <w:sz w:val="30"/>
          <w:szCs w:val="30"/>
          <w:highlight w:val="none"/>
        </w:rPr>
        <w:t>0%）测算，基础资源因素包括秸秆综合利用量等，政策</w:t>
      </w:r>
      <w:r>
        <w:rPr>
          <w:rFonts w:hint="eastAsia" w:ascii="仿宋_GB2312" w:hAnsi="宋体" w:eastAsia="仿宋_GB2312" w:cs="宋体"/>
          <w:color w:val="auto"/>
          <w:kern w:val="0"/>
          <w:sz w:val="30"/>
          <w:szCs w:val="30"/>
          <w:highlight w:val="none"/>
          <w:lang w:eastAsia="zh-CN"/>
        </w:rPr>
        <w:t>任务</w:t>
      </w:r>
      <w:r>
        <w:rPr>
          <w:rFonts w:hint="eastAsia" w:ascii="仿宋_GB2312" w:hAnsi="宋体" w:eastAsia="仿宋_GB2312" w:cs="宋体"/>
          <w:color w:val="auto"/>
          <w:kern w:val="0"/>
          <w:sz w:val="30"/>
          <w:szCs w:val="30"/>
          <w:highlight w:val="none"/>
        </w:rPr>
        <w:t>因素包括秸秆综合利用重点县数、重点难点地区等。地膜科学使用回收，根据推广应用面积测算。特定试点任务是按照党中央、国务院部署确定的试点任务。绿色种养循环农业试点，按每个试点县实施定额补助。</w:t>
      </w:r>
    </w:p>
    <w:p>
      <w:pPr>
        <w:widowControl/>
        <w:spacing w:line="560" w:lineRule="exact"/>
        <w:rPr>
          <w:rFonts w:hint="eastAsia" w:ascii="仿宋_GB2312" w:hAnsi="宋体" w:eastAsia="仿宋_GB2312" w:cs="宋体"/>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 xml:space="preserve">    </w:t>
      </w:r>
      <w:r>
        <w:rPr>
          <w:rFonts w:hint="eastAsia" w:ascii="宋体" w:hAnsi="宋体" w:eastAsia="宋体" w:cs="宋体"/>
          <w:b/>
          <w:bCs/>
          <w:color w:val="auto"/>
          <w:kern w:val="0"/>
          <w:sz w:val="30"/>
          <w:szCs w:val="30"/>
          <w:highlight w:val="none"/>
        </w:rPr>
        <w:t>计算方法：</w:t>
      </w:r>
      <w:r>
        <w:rPr>
          <w:rFonts w:hint="eastAsia" w:ascii="仿宋_GB2312" w:hAnsi="宋体" w:eastAsia="仿宋_GB2312" w:cs="宋体"/>
          <w:b/>
          <w:bCs/>
          <w:color w:val="auto"/>
          <w:kern w:val="0"/>
          <w:sz w:val="30"/>
          <w:szCs w:val="30"/>
          <w:highlight w:val="none"/>
        </w:rPr>
        <w:t>补助经费=</w:t>
      </w:r>
      <w:r>
        <w:rPr>
          <w:rFonts w:hint="eastAsia" w:ascii="仿宋_GB2312" w:hAnsi="宋体" w:eastAsia="仿宋_GB2312" w:cs="宋体"/>
          <w:color w:val="auto"/>
          <w:kern w:val="0"/>
          <w:sz w:val="30"/>
          <w:szCs w:val="30"/>
          <w:highlight w:val="none"/>
        </w:rPr>
        <w:t>秸秆综合利用资金规模×（基础资源因素×</w:t>
      </w:r>
      <w:r>
        <w:rPr>
          <w:rFonts w:ascii="仿宋_GB2312" w:hAnsi="宋体" w:eastAsia="仿宋_GB2312" w:cs="宋体"/>
          <w:color w:val="auto"/>
          <w:kern w:val="0"/>
          <w:sz w:val="30"/>
          <w:szCs w:val="30"/>
          <w:highlight w:val="none"/>
        </w:rPr>
        <w:t>70%+政策</w:t>
      </w:r>
      <w:r>
        <w:rPr>
          <w:rFonts w:hint="eastAsia" w:ascii="仿宋_GB2312" w:hAnsi="宋体" w:eastAsia="仿宋_GB2312" w:cs="宋体"/>
          <w:color w:val="auto"/>
          <w:kern w:val="0"/>
          <w:sz w:val="30"/>
          <w:szCs w:val="30"/>
          <w:highlight w:val="none"/>
          <w:lang w:eastAsia="zh-CN"/>
        </w:rPr>
        <w:t>任务</w:t>
      </w:r>
      <w:r>
        <w:rPr>
          <w:rFonts w:ascii="仿宋_GB2312" w:hAnsi="宋体" w:eastAsia="仿宋_GB2312" w:cs="宋体"/>
          <w:color w:val="auto"/>
          <w:kern w:val="0"/>
          <w:sz w:val="30"/>
          <w:szCs w:val="30"/>
          <w:highlight w:val="none"/>
        </w:rPr>
        <w:t>因素×</w:t>
      </w:r>
      <w:r>
        <w:rPr>
          <w:rFonts w:hint="eastAsia" w:ascii="仿宋_GB2312" w:hAnsi="宋体" w:eastAsia="仿宋_GB2312" w:cs="宋体"/>
          <w:color w:val="auto"/>
          <w:kern w:val="0"/>
          <w:sz w:val="30"/>
          <w:szCs w:val="30"/>
          <w:highlight w:val="none"/>
          <w:lang w:val="en-US" w:eastAsia="zh-CN"/>
        </w:rPr>
        <w:t>3</w:t>
      </w:r>
      <w:r>
        <w:rPr>
          <w:rFonts w:ascii="仿宋_GB2312" w:hAnsi="宋体" w:eastAsia="仿宋_GB2312" w:cs="宋体"/>
          <w:color w:val="auto"/>
          <w:kern w:val="0"/>
          <w:sz w:val="30"/>
          <w:szCs w:val="30"/>
          <w:highlight w:val="none"/>
        </w:rPr>
        <w:t>0%</w:t>
      </w:r>
      <w:r>
        <w:rPr>
          <w:rFonts w:hint="eastAsia" w:ascii="仿宋_GB2312" w:hAnsi="宋体" w:eastAsia="仿宋_GB2312" w:cs="宋体"/>
          <w:color w:val="auto"/>
          <w:kern w:val="0"/>
          <w:sz w:val="30"/>
          <w:szCs w:val="30"/>
          <w:highlight w:val="none"/>
          <w:lang w:eastAsia="zh-CN"/>
        </w:rPr>
        <w:t>）</w:t>
      </w:r>
      <w:bookmarkStart w:id="0" w:name="_GoBack"/>
      <w:bookmarkEnd w:id="0"/>
      <w:r>
        <w:rPr>
          <w:rFonts w:ascii="仿宋_GB2312" w:hAnsi="宋体" w:eastAsia="仿宋_GB2312" w:cs="宋体"/>
          <w:color w:val="auto"/>
          <w:kern w:val="0"/>
          <w:sz w:val="30"/>
          <w:szCs w:val="30"/>
          <w:highlight w:val="none"/>
        </w:rPr>
        <w:t>+</w:t>
      </w:r>
      <w:r>
        <w:rPr>
          <w:rFonts w:hint="eastAsia" w:ascii="仿宋_GB2312" w:hAnsi="宋体" w:eastAsia="仿宋_GB2312" w:cs="宋体"/>
          <w:color w:val="auto"/>
          <w:kern w:val="0"/>
          <w:sz w:val="30"/>
          <w:szCs w:val="30"/>
          <w:highlight w:val="none"/>
        </w:rPr>
        <w:t>地膜科学使用回收面积×补助标准+承担特定试点任务的定额资金量+绿色种养循环农业试点县数量×定额补助金额</w:t>
      </w:r>
    </w:p>
    <w:p>
      <w:pPr>
        <w:widowControl/>
        <w:spacing w:line="560" w:lineRule="exact"/>
        <w:rPr>
          <w:rFonts w:hint="eastAsia" w:ascii="仿宋_GB2312" w:hAnsi="宋体" w:eastAsia="仿宋_GB2312" w:cs="宋体"/>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 xml:space="preserve">    </w:t>
      </w:r>
      <w:r>
        <w:rPr>
          <w:rFonts w:hint="eastAsia" w:ascii="仿宋_GB2312" w:hAnsi="宋体" w:eastAsia="仿宋_GB2312" w:cs="宋体"/>
          <w:color w:val="auto"/>
          <w:kern w:val="0"/>
          <w:sz w:val="30"/>
          <w:szCs w:val="30"/>
          <w:highlight w:val="none"/>
          <w:lang w:eastAsia="zh-CN"/>
        </w:rPr>
        <w:t>注：除</w:t>
      </w:r>
      <w:r>
        <w:rPr>
          <w:rFonts w:hint="eastAsia" w:ascii="仿宋_GB2312" w:hAnsi="宋体" w:eastAsia="仿宋_GB2312" w:cs="宋体"/>
          <w:color w:val="auto"/>
          <w:kern w:val="0"/>
          <w:sz w:val="30"/>
          <w:szCs w:val="30"/>
          <w:highlight w:val="none"/>
        </w:rPr>
        <w:t>对农牧民直接补贴</w:t>
      </w:r>
      <w:r>
        <w:rPr>
          <w:rFonts w:hint="eastAsia" w:ascii="仿宋_GB2312" w:hAnsi="宋体" w:eastAsia="仿宋_GB2312" w:cs="宋体"/>
          <w:color w:val="auto"/>
          <w:kern w:val="0"/>
          <w:sz w:val="30"/>
          <w:szCs w:val="30"/>
          <w:highlight w:val="none"/>
          <w:lang w:eastAsia="zh-CN"/>
        </w:rPr>
        <w:t>、采取项目法管理、实行定额补助等任务资金外，其他资金测算原则上应</w:t>
      </w:r>
      <w:r>
        <w:rPr>
          <w:rFonts w:hint="eastAsia" w:ascii="仿宋_GB2312" w:hAnsi="宋体" w:eastAsia="仿宋_GB2312" w:cs="宋体"/>
          <w:color w:val="auto"/>
          <w:kern w:val="0"/>
          <w:sz w:val="30"/>
          <w:szCs w:val="30"/>
          <w:highlight w:val="none"/>
        </w:rPr>
        <w:t>根据绩效评价结果等</w:t>
      </w:r>
      <w:r>
        <w:rPr>
          <w:rFonts w:hint="eastAsia" w:ascii="仿宋_GB2312" w:hAnsi="宋体" w:eastAsia="仿宋_GB2312" w:cs="宋体"/>
          <w:color w:val="auto"/>
          <w:kern w:val="0"/>
          <w:sz w:val="30"/>
          <w:szCs w:val="30"/>
          <w:highlight w:val="none"/>
          <w:lang w:eastAsia="zh-CN"/>
        </w:rPr>
        <w:t>合理设置调节系数</w:t>
      </w:r>
      <w:r>
        <w:rPr>
          <w:rFonts w:hint="eastAsia" w:ascii="仿宋_GB2312" w:hAnsi="宋体" w:eastAsia="仿宋_GB2312" w:cs="宋体"/>
          <w:color w:val="auto"/>
          <w:kern w:val="0"/>
          <w:sz w:val="30"/>
          <w:szCs w:val="30"/>
          <w:highlight w:val="none"/>
        </w:rPr>
        <w:t>进行适当调节</w:t>
      </w:r>
      <w:r>
        <w:rPr>
          <w:rFonts w:hint="eastAsia" w:ascii="仿宋_GB2312" w:hAnsi="宋体" w:eastAsia="仿宋_GB2312" w:cs="宋体"/>
          <w:color w:val="auto"/>
          <w:kern w:val="0"/>
          <w:sz w:val="30"/>
          <w:szCs w:val="30"/>
          <w:highlight w:val="none"/>
          <w:lang w:eastAsia="zh-CN"/>
        </w:rPr>
        <w: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21B27BB-6D48-4427-AC66-66B81A3F4B54}"/>
  </w:font>
  <w:font w:name="华文中宋">
    <w:panose1 w:val="02010600040101010101"/>
    <w:charset w:val="86"/>
    <w:family w:val="auto"/>
    <w:pitch w:val="default"/>
    <w:sig w:usb0="00000287" w:usb1="080F0000" w:usb2="00000000" w:usb3="00000000" w:csb0="0004009F" w:csb1="DFD70000"/>
    <w:embedRegular r:id="rId2" w:fontKey="{D5A49697-F66F-4BCA-8943-3AEC3F1CCD9A}"/>
  </w:font>
  <w:font w:name="方正小标宋简体">
    <w:panose1 w:val="02000000000000000000"/>
    <w:charset w:val="86"/>
    <w:family w:val="auto"/>
    <w:pitch w:val="default"/>
    <w:sig w:usb0="00000001" w:usb1="08000000" w:usb2="00000000" w:usb3="00000000" w:csb0="00040000" w:csb1="00000000"/>
    <w:embedRegular r:id="rId3" w:fontKey="{EF66054D-BB6F-4495-9FAE-D367F58620F3}"/>
  </w:font>
  <w:font w:name="方正仿宋_GBK">
    <w:altName w:val="Arial Unicode MS"/>
    <w:panose1 w:val="02000000000000000000"/>
    <w:charset w:val="86"/>
    <w:family w:val="auto"/>
    <w:pitch w:val="default"/>
    <w:sig w:usb0="00000000" w:usb1="00000000" w:usb2="00000000" w:usb3="00000000" w:csb0="00040000" w:csb1="00000000"/>
    <w:embedRegular r:id="rId4" w:fontKey="{C0F3BAFF-82EE-4D11-BEE0-645A601CC566}"/>
  </w:font>
  <w:font w:name="仿宋_GB2312">
    <w:panose1 w:val="02010609030101010101"/>
    <w:charset w:val="86"/>
    <w:family w:val="modern"/>
    <w:pitch w:val="default"/>
    <w:sig w:usb0="00000001" w:usb1="080E0000" w:usb2="00000000" w:usb3="00000000" w:csb0="00040000" w:csb1="00000000"/>
    <w:embedRegular r:id="rId5" w:fontKey="{F24E28A2-2079-4DCE-A8B0-B864544379E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3EAB0813"/>
    <w:rsid w:val="44553A55"/>
    <w:rsid w:val="65CE2728"/>
    <w:rsid w:val="7CFFB589"/>
    <w:rsid w:val="7EDCF796"/>
    <w:rsid w:val="7FE6B17A"/>
    <w:rsid w:val="7FEE1066"/>
    <w:rsid w:val="CFEF965D"/>
    <w:rsid w:val="DF3605BF"/>
    <w:rsid w:val="E7DE1922"/>
    <w:rsid w:val="EB7BFAF8"/>
    <w:rsid w:val="FDD91DEC"/>
    <w:rsid w:val="FEFC633A"/>
    <w:rsid w:val="FF661A82"/>
    <w:rsid w:val="FFEF661D"/>
    <w:rsid w:val="FFF72907"/>
    <w:rsid w:val="FFFF0629"/>
    <w:rsid w:val="FFFF5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桃桃猫</cp:lastModifiedBy>
  <cp:lastPrinted>2022-04-12T00:25:00Z</cp:lastPrinted>
  <dcterms:modified xsi:type="dcterms:W3CDTF">2023-10-18T01:45:11Z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FA9FD7A359C440EF83F4E1B36C90D61C_12</vt:lpwstr>
  </property>
</Properties>
</file>