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93C036">
      <w:pPr>
        <w:spacing w:line="440" w:lineRule="atLeast"/>
        <w:ind w:firstLine="640"/>
        <w:rPr>
          <w:color w:val="000000"/>
        </w:rPr>
      </w:pPr>
      <w:bookmarkStart w:id="0" w:name="OLE_LINK1"/>
    </w:p>
    <w:p w14:paraId="3A3D4A25">
      <w:pPr>
        <w:pStyle w:val="2"/>
        <w:spacing w:line="660" w:lineRule="exact"/>
        <w:rPr>
          <w:color w:val="000000"/>
          <w:spacing w:val="20"/>
        </w:rPr>
      </w:pPr>
    </w:p>
    <w:p w14:paraId="05FF2D00">
      <w:pPr>
        <w:pStyle w:val="2"/>
        <w:spacing w:line="660" w:lineRule="exact"/>
        <w:rPr>
          <w:color w:val="000000"/>
          <w:spacing w:val="20"/>
        </w:rPr>
      </w:pPr>
      <w:r>
        <w:rPr>
          <w:color w:val="000000"/>
          <w:spacing w:val="20"/>
        </w:rPr>
        <w:t>湖南省农业农村厅</w:t>
      </w:r>
    </w:p>
    <w:bookmarkEnd w:id="0"/>
    <w:p w14:paraId="6EF35C07">
      <w:pPr>
        <w:pStyle w:val="2"/>
        <w:spacing w:line="660" w:lineRule="exact"/>
        <w:rPr>
          <w:color w:val="000000"/>
          <w:spacing w:val="-4"/>
        </w:rPr>
      </w:pPr>
      <w:r>
        <w:rPr>
          <w:color w:val="000000"/>
          <w:spacing w:val="-4"/>
        </w:rPr>
        <w:t>关于印发《“十四五”湖南省种植业发展规划》的</w:t>
      </w:r>
    </w:p>
    <w:p w14:paraId="5A7FCF0C">
      <w:pPr>
        <w:pStyle w:val="2"/>
        <w:spacing w:line="660" w:lineRule="exact"/>
        <w:rPr>
          <w:color w:val="000000"/>
          <w:spacing w:val="-4"/>
        </w:rPr>
      </w:pPr>
      <w:r>
        <w:rPr>
          <w:color w:val="000000"/>
          <w:spacing w:val="-4"/>
        </w:rPr>
        <w:t>通  知</w:t>
      </w:r>
    </w:p>
    <w:p w14:paraId="22704E1A">
      <w:pPr>
        <w:spacing w:line="530" w:lineRule="atLeast"/>
        <w:ind w:left="0" w:leftChars="0" w:firstLine="0" w:firstLineChars="0"/>
        <w:jc w:val="center"/>
        <w:rPr>
          <w:rFonts w:hint="eastAsia"/>
          <w:color w:val="000000"/>
          <w:sz w:val="32"/>
          <w:szCs w:val="32"/>
          <w:lang w:eastAsia="zh-CN"/>
        </w:rPr>
      </w:pPr>
      <w:r>
        <w:rPr>
          <w:rFonts w:hint="eastAsia"/>
          <w:color w:val="000000"/>
          <w:sz w:val="32"/>
          <w:szCs w:val="32"/>
          <w:lang w:eastAsia="zh-CN"/>
        </w:rPr>
        <w:t>（</w:t>
      </w:r>
      <w:r>
        <w:rPr>
          <w:color w:val="000000"/>
          <w:sz w:val="32"/>
          <w:szCs w:val="32"/>
        </w:rPr>
        <w:t>湘农发〔2022〕49号</w:t>
      </w:r>
      <w:r>
        <w:rPr>
          <w:rFonts w:hint="eastAsia"/>
          <w:color w:val="000000"/>
          <w:sz w:val="32"/>
          <w:szCs w:val="32"/>
          <w:lang w:eastAsia="zh-CN"/>
        </w:rPr>
        <w:t>）</w:t>
      </w:r>
    </w:p>
    <w:p w14:paraId="37808D51">
      <w:pPr>
        <w:spacing w:line="530" w:lineRule="atLeast"/>
        <w:ind w:left="0" w:leftChars="0" w:firstLine="0" w:firstLineChars="0"/>
        <w:jc w:val="center"/>
        <w:rPr>
          <w:rFonts w:hint="eastAsia"/>
          <w:color w:val="000000"/>
          <w:sz w:val="32"/>
          <w:szCs w:val="32"/>
          <w:lang w:eastAsia="zh-CN"/>
        </w:rPr>
      </w:pPr>
    </w:p>
    <w:p w14:paraId="4E0DE5E0">
      <w:pPr>
        <w:spacing w:line="530" w:lineRule="atLeast"/>
        <w:ind w:firstLine="0" w:firstLineChars="0"/>
        <w:rPr>
          <w:color w:val="000000"/>
        </w:rPr>
      </w:pPr>
      <w:r>
        <w:rPr>
          <w:color w:val="000000"/>
        </w:rPr>
        <w:t>各市州、县市区农业农村局，厅机关各处室、厅直各单位： </w:t>
      </w:r>
    </w:p>
    <w:p w14:paraId="1E3419B5">
      <w:pPr>
        <w:spacing w:line="530" w:lineRule="atLeast"/>
        <w:ind w:firstLine="640"/>
        <w:rPr>
          <w:color w:val="000000"/>
        </w:rPr>
      </w:pPr>
      <w:r>
        <w:rPr>
          <w:color w:val="000000"/>
        </w:rPr>
        <w:t>为保障粮食等重要农产品供给安全，加快种植业全面转型升级，推进种植业高质量发展，根据《“十四五”全国种植业发展规划》，我厅组织编制了《“十四五”湖南省种植业发展规划》，现印发给你们，请结合实际，认真组织实施。</w:t>
      </w:r>
    </w:p>
    <w:p w14:paraId="076EAC0B">
      <w:pPr>
        <w:spacing w:line="530" w:lineRule="atLeast"/>
        <w:ind w:firstLine="640"/>
        <w:rPr>
          <w:rFonts w:eastAsia="华文仿宋"/>
          <w:color w:val="000000"/>
          <w:szCs w:val="32"/>
        </w:rPr>
      </w:pPr>
      <w:r>
        <w:rPr>
          <w:rFonts w:eastAsia="华文仿宋"/>
          <w:color w:val="000000"/>
          <w:szCs w:val="32"/>
        </w:rPr>
        <w:t xml:space="preserve"> </w:t>
      </w:r>
    </w:p>
    <w:p w14:paraId="24582603">
      <w:pPr>
        <w:spacing w:line="530" w:lineRule="atLeast"/>
        <w:ind w:firstLine="640"/>
        <w:rPr>
          <w:rFonts w:eastAsia="华文仿宋"/>
          <w:color w:val="000000"/>
          <w:szCs w:val="32"/>
        </w:rPr>
      </w:pPr>
    </w:p>
    <w:p w14:paraId="2E279B23">
      <w:pPr>
        <w:spacing w:line="530" w:lineRule="atLeast"/>
        <w:ind w:right="640" w:rightChars="200" w:firstLine="0" w:firstLineChars="0"/>
        <w:rPr>
          <w:color w:val="000000"/>
          <w:spacing w:val="20"/>
          <w:szCs w:val="32"/>
        </w:rPr>
      </w:pPr>
      <w:r>
        <w:rPr>
          <w:color w:val="000000"/>
          <w:spacing w:val="20"/>
        </w:rPr>
        <w:t xml:space="preserve">                        </w:t>
      </w:r>
      <w:r>
        <w:rPr>
          <w:color w:val="000000"/>
          <w:spacing w:val="20"/>
          <w:szCs w:val="32"/>
        </w:rPr>
        <w:t xml:space="preserve">  湖南省农业农村厅</w:t>
      </w:r>
    </w:p>
    <w:p w14:paraId="52F06031">
      <w:pPr>
        <w:spacing w:line="530" w:lineRule="atLeast"/>
        <w:ind w:firstLine="560" w:firstLineChars="175"/>
        <w:rPr>
          <w:color w:val="000000"/>
        </w:rPr>
      </w:pPr>
      <w:r>
        <w:rPr>
          <w:color w:val="000000"/>
        </w:rPr>
        <w:t xml:space="preserve">                              </w:t>
      </w:r>
      <w:r>
        <w:rPr>
          <w:rFonts w:hint="eastAsia"/>
          <w:color w:val="000000"/>
          <w:lang w:val="en-US" w:eastAsia="zh-CN"/>
        </w:rPr>
        <w:t xml:space="preserve"> </w:t>
      </w:r>
      <w:r>
        <w:rPr>
          <w:color w:val="000000"/>
        </w:rPr>
        <w:t>2022年6月28日</w:t>
      </w:r>
    </w:p>
    <w:p w14:paraId="40490683">
      <w:pPr>
        <w:spacing w:line="530" w:lineRule="atLeast"/>
        <w:ind w:firstLine="560" w:firstLineChars="175"/>
        <w:rPr>
          <w:color w:val="000000"/>
        </w:rPr>
      </w:pPr>
    </w:p>
    <w:p w14:paraId="76F85A18">
      <w:pPr>
        <w:spacing w:line="530" w:lineRule="atLeast"/>
        <w:ind w:firstLine="560" w:firstLineChars="175"/>
        <w:rPr>
          <w:color w:val="000000"/>
        </w:rPr>
      </w:pPr>
    </w:p>
    <w:p w14:paraId="2FDB8173">
      <w:pPr>
        <w:spacing w:line="530" w:lineRule="atLeast"/>
        <w:ind w:firstLine="560" w:firstLineChars="175"/>
        <w:rPr>
          <w:color w:val="000000"/>
        </w:rPr>
      </w:pPr>
    </w:p>
    <w:p w14:paraId="31AAD1AB">
      <w:pPr>
        <w:spacing w:line="530" w:lineRule="atLeast"/>
        <w:ind w:firstLine="560" w:firstLineChars="175"/>
        <w:rPr>
          <w:color w:val="000000"/>
        </w:rPr>
      </w:pPr>
    </w:p>
    <w:p w14:paraId="63F76BA9">
      <w:pPr>
        <w:spacing w:line="530" w:lineRule="atLeast"/>
        <w:ind w:firstLine="560" w:firstLineChars="175"/>
        <w:rPr>
          <w:color w:val="000000"/>
        </w:rPr>
      </w:pPr>
    </w:p>
    <w:p w14:paraId="098173D0">
      <w:pPr>
        <w:spacing w:line="530" w:lineRule="atLeast"/>
        <w:ind w:firstLine="560" w:firstLineChars="175"/>
        <w:rPr>
          <w:color w:val="000000"/>
        </w:rPr>
      </w:pPr>
    </w:p>
    <w:p w14:paraId="0F424E75">
      <w:pPr>
        <w:ind w:firstLine="640"/>
        <w:rPr>
          <w:kern w:val="0"/>
        </w:rPr>
      </w:pPr>
    </w:p>
    <w:p w14:paraId="2F7CC916">
      <w:pPr>
        <w:pStyle w:val="2"/>
        <w:rPr>
          <w:color w:val="000000"/>
          <w:kern w:val="0"/>
        </w:rPr>
      </w:pPr>
      <w:bookmarkStart w:id="1" w:name="_Toc6293"/>
      <w:r>
        <w:rPr>
          <w:color w:val="000000"/>
          <w:kern w:val="0"/>
        </w:rPr>
        <w:t>“十四五”湖南省种植业发展规划</w:t>
      </w:r>
      <w:bookmarkEnd w:id="1"/>
    </w:p>
    <w:p w14:paraId="6D260F53">
      <w:pPr>
        <w:spacing w:line="550" w:lineRule="atLeast"/>
        <w:ind w:firstLine="640"/>
        <w:rPr>
          <w:color w:val="000000"/>
          <w:kern w:val="0"/>
        </w:rPr>
      </w:pPr>
    </w:p>
    <w:p w14:paraId="25B98CD1">
      <w:pPr>
        <w:spacing w:line="550" w:lineRule="atLeast"/>
        <w:ind w:firstLine="640"/>
        <w:rPr>
          <w:color w:val="000000"/>
          <w:kern w:val="0"/>
        </w:rPr>
      </w:pPr>
      <w:r>
        <w:rPr>
          <w:color w:val="000000"/>
          <w:kern w:val="0"/>
        </w:rPr>
        <w:t>种植业是农业的基础产业，是保障</w:t>
      </w:r>
      <w:r>
        <w:rPr>
          <w:color w:val="000000"/>
        </w:rPr>
        <w:t>粮食</w:t>
      </w:r>
      <w:r>
        <w:rPr>
          <w:color w:val="000000"/>
          <w:kern w:val="0"/>
        </w:rPr>
        <w:t>等重要农产品有效供给的战略产业。“十四五”是湖南省谱写高质量发展新篇章、开启社会主义现代化建设新征程的关键时期。为深入贯彻党的十九大和</w:t>
      </w:r>
      <w:r>
        <w:rPr>
          <w:rFonts w:hint="eastAsia"/>
          <w:color w:val="000000"/>
          <w:kern w:val="0"/>
          <w:lang w:eastAsia="zh-CN"/>
        </w:rPr>
        <w:t>十九届历次全会精神</w:t>
      </w:r>
      <w:r>
        <w:rPr>
          <w:color w:val="000000"/>
          <w:kern w:val="0"/>
        </w:rPr>
        <w:t>，着力强化粮食和重要农产品稳产保供，加快推进种植业高质量发展，根据《湖南省国民经济和社会发展第十四个五年规划和二</w:t>
      </w:r>
      <w:r>
        <w:rPr>
          <w:rFonts w:hint="eastAsia"/>
          <w:color w:val="000000"/>
          <w:kern w:val="0"/>
        </w:rPr>
        <w:t>O</w:t>
      </w:r>
      <w:r>
        <w:rPr>
          <w:color w:val="000000"/>
          <w:kern w:val="0"/>
        </w:rPr>
        <w:t>三五年远景目标纲要》、《“十四五”全国种植业发展规划》精神，结合《湖南省“十四五”农业农村现代化规划》，特编制本规划。</w:t>
      </w:r>
    </w:p>
    <w:p w14:paraId="6E64B2BE">
      <w:pPr>
        <w:spacing w:line="550" w:lineRule="atLeast"/>
        <w:ind w:firstLine="640"/>
        <w:rPr>
          <w:color w:val="000000"/>
          <w:kern w:val="0"/>
        </w:rPr>
      </w:pPr>
    </w:p>
    <w:p w14:paraId="413466D9">
      <w:pPr>
        <w:spacing w:line="550" w:lineRule="atLeast"/>
        <w:ind w:firstLine="0" w:firstLineChars="0"/>
        <w:jc w:val="center"/>
        <w:outlineLvl w:val="0"/>
        <w:rPr>
          <w:rFonts w:eastAsia="黑体"/>
          <w:bCs/>
          <w:color w:val="000000"/>
          <w:kern w:val="44"/>
          <w:sz w:val="36"/>
          <w:szCs w:val="36"/>
        </w:rPr>
      </w:pPr>
      <w:bookmarkStart w:id="2" w:name="_Toc105594888"/>
      <w:bookmarkStart w:id="3" w:name="_Toc11407"/>
      <w:r>
        <w:rPr>
          <w:rFonts w:eastAsia="黑体"/>
          <w:bCs/>
          <w:color w:val="000000"/>
          <w:kern w:val="44"/>
          <w:sz w:val="36"/>
          <w:szCs w:val="36"/>
        </w:rPr>
        <w:t>第一章 规划背景</w:t>
      </w:r>
      <w:bookmarkEnd w:id="2"/>
      <w:bookmarkEnd w:id="3"/>
    </w:p>
    <w:p w14:paraId="6953DA6C">
      <w:pPr>
        <w:spacing w:line="550" w:lineRule="atLeast"/>
        <w:ind w:firstLine="0" w:firstLineChars="0"/>
        <w:jc w:val="center"/>
        <w:outlineLvl w:val="1"/>
        <w:rPr>
          <w:rFonts w:eastAsia="黑体"/>
          <w:bCs/>
          <w:color w:val="000000"/>
          <w:kern w:val="0"/>
          <w:szCs w:val="32"/>
        </w:rPr>
      </w:pPr>
      <w:bookmarkStart w:id="4" w:name="_Toc105594889"/>
    </w:p>
    <w:p w14:paraId="522613F6">
      <w:pPr>
        <w:numPr>
          <w:ilvl w:val="0"/>
          <w:numId w:val="1"/>
        </w:numPr>
        <w:spacing w:line="550" w:lineRule="atLeast"/>
        <w:ind w:firstLineChars="0"/>
        <w:jc w:val="center"/>
        <w:outlineLvl w:val="1"/>
        <w:rPr>
          <w:rFonts w:eastAsia="黑体"/>
          <w:bCs/>
          <w:color w:val="000000"/>
          <w:kern w:val="0"/>
          <w:szCs w:val="32"/>
        </w:rPr>
      </w:pPr>
      <w:bookmarkStart w:id="5" w:name="_Toc13445"/>
      <w:r>
        <w:rPr>
          <w:rFonts w:eastAsia="黑体"/>
          <w:bCs/>
          <w:color w:val="000000"/>
          <w:kern w:val="0"/>
          <w:szCs w:val="32"/>
        </w:rPr>
        <w:t>发展基础</w:t>
      </w:r>
      <w:bookmarkEnd w:id="4"/>
      <w:bookmarkEnd w:id="5"/>
    </w:p>
    <w:p w14:paraId="5BE8543E">
      <w:pPr>
        <w:spacing w:line="550" w:lineRule="atLeast"/>
        <w:ind w:firstLine="640"/>
        <w:rPr>
          <w:color w:val="000000"/>
          <w:kern w:val="0"/>
        </w:rPr>
      </w:pPr>
    </w:p>
    <w:p w14:paraId="2AC37741">
      <w:pPr>
        <w:spacing w:line="550" w:lineRule="atLeast"/>
        <w:ind w:firstLine="640"/>
        <w:rPr>
          <w:color w:val="000000"/>
          <w:kern w:val="0"/>
        </w:rPr>
      </w:pPr>
      <w:r>
        <w:rPr>
          <w:color w:val="000000"/>
          <w:kern w:val="0"/>
        </w:rPr>
        <w:t>“十三五”时期，全省各地认真贯彻省委、省政府的部署要求，坚持新发展理念，深入实施“藏粮于地、藏粮于技”战略，克服各种不利因素和自然灾害，种植业发展取得历史性成就，粮油生产稳定发展，棉花生产稳定恢复，菜果茶药生产特色化发展，结构布局持续优化，种植业绿色发展迈出新步伐，为有效应对各种挑战，加速推进种植业高质量发展奠定了坚实基础。</w:t>
      </w:r>
    </w:p>
    <w:p w14:paraId="5BF8D249">
      <w:pPr>
        <w:spacing w:line="550" w:lineRule="atLeast"/>
        <w:ind w:firstLine="643"/>
        <w:rPr>
          <w:color w:val="000000"/>
        </w:rPr>
      </w:pPr>
      <w:bookmarkStart w:id="6" w:name="_Toc743"/>
      <w:r>
        <w:rPr>
          <w:rFonts w:eastAsia="楷体_GB2312"/>
          <w:b/>
          <w:bCs/>
          <w:color w:val="000000"/>
          <w:szCs w:val="32"/>
        </w:rPr>
        <w:t>粮食等重要农产品保供能力稳步提升。</w:t>
      </w:r>
      <w:bookmarkEnd w:id="6"/>
      <w:r>
        <w:rPr>
          <w:color w:val="000000"/>
        </w:rPr>
        <w:t>“十三五”时期，粮食播种面积和产量稳定在7000万亩、3000万吨左右，水稻面积稳居全国第1位。2020年油料（不含木本油料）、棉花产量分别达到260.7万吨、7.9万吨，与往年基本持平。蔬菜、水果、茶叶等产品产量分别达到4110.1万吨、743.4万吨、25万吨，比2015年分别增长3.7%、36.3%、41.1%。在粮油产业稳定发展的同时，产品结构不断优化，质量效益不断提升。</w:t>
      </w:r>
    </w:p>
    <w:p w14:paraId="58CAF560">
      <w:pPr>
        <w:spacing w:line="550" w:lineRule="atLeast"/>
        <w:ind w:firstLine="643"/>
        <w:rPr>
          <w:color w:val="000000"/>
        </w:rPr>
      </w:pPr>
      <w:bookmarkStart w:id="7" w:name="_Toc3875"/>
      <w:bookmarkStart w:id="8" w:name="_Toc17850"/>
      <w:r>
        <w:rPr>
          <w:rFonts w:eastAsia="楷体_GB2312"/>
          <w:b/>
          <w:bCs/>
          <w:color w:val="000000"/>
          <w:szCs w:val="32"/>
        </w:rPr>
        <w:t>种植业供给侧结构性改革深入推进。</w:t>
      </w:r>
      <w:bookmarkEnd w:id="7"/>
      <w:r>
        <w:rPr>
          <w:color w:val="000000"/>
        </w:rPr>
        <w:t>优化粮食生产布局，划定粮食生产功能区、重要农产品生产保护区和特色农产品优势区。在稳定水稻面积的基础上，优质稻面积逐年增加。2020年，全省大豆种植面积172.</w:t>
      </w:r>
      <w:r>
        <w:rPr>
          <w:rFonts w:hint="eastAsia"/>
          <w:color w:val="000000"/>
        </w:rPr>
        <w:t>0</w:t>
      </w:r>
      <w:r>
        <w:rPr>
          <w:color w:val="000000"/>
        </w:rPr>
        <w:t>万亩，比2015年增加26.9万亩，大豆生产日益向湘中、湘南优势区聚集；玉米主要向湘南、湘中、湘西北发展，主要分布在邵阳市、怀化市、郴州市、岳阳市、娄底市、张家界市、湘西自治州；油菜生产</w:t>
      </w:r>
      <w:r>
        <w:rPr>
          <w:rFonts w:hint="eastAsia"/>
          <w:color w:val="000000"/>
        </w:rPr>
        <w:t>坚持</w:t>
      </w:r>
      <w:r>
        <w:rPr>
          <w:color w:val="000000"/>
        </w:rPr>
        <w:t>“北稳西进南扩”发展战略持续推进；优质稻谷、优质食用大豆、双低油菜、“湘江源”蔬菜、</w:t>
      </w:r>
      <w:r>
        <w:rPr>
          <w:rFonts w:hint="eastAsia"/>
          <w:color w:val="000000"/>
        </w:rPr>
        <w:t>湖南辣椒、</w:t>
      </w:r>
      <w:r>
        <w:rPr>
          <w:color w:val="000000"/>
        </w:rPr>
        <w:t>五彩湘茶、早中熟柑橘等绿色优质农产品供给稳步增长。</w:t>
      </w:r>
    </w:p>
    <w:p w14:paraId="0503EB1A">
      <w:pPr>
        <w:spacing w:line="550" w:lineRule="atLeast"/>
        <w:ind w:firstLine="643"/>
        <w:rPr>
          <w:color w:val="000000"/>
        </w:rPr>
      </w:pPr>
      <w:r>
        <w:rPr>
          <w:rFonts w:eastAsia="楷体_GB2312"/>
          <w:b/>
          <w:bCs/>
          <w:color w:val="000000"/>
          <w:szCs w:val="32"/>
        </w:rPr>
        <w:t>设施装备和科技支撑持续增强。</w:t>
      </w:r>
      <w:bookmarkEnd w:id="8"/>
      <w:r>
        <w:rPr>
          <w:color w:val="000000"/>
          <w:szCs w:val="32"/>
        </w:rPr>
        <w:t>2020年底，全省高标准农田保有量为3152万亩，</w:t>
      </w:r>
      <w:r>
        <w:rPr>
          <w:color w:val="000000"/>
        </w:rPr>
        <w:t>深入开展耕地质量保护与提升行动，启动耕地退化治理。实施高效节水行动，全省节水灌溉面积708.3万亩。农业机械化生产广泛应用，2020年农作物耕种收综合机械化率52.1%，比2015年提高8.3个百分点。科技支撑持续增强，推广粮油等新品种，主要农作物良种覆盖率96%。开展绿色高质高效行动，集成组装一批资源节约、生态环保的可复制的绿色安全技术模式，助力粮食等重要农产品产量与质量提升。</w:t>
      </w:r>
    </w:p>
    <w:p w14:paraId="2D39319E">
      <w:pPr>
        <w:spacing w:line="550" w:lineRule="atLeast"/>
        <w:ind w:firstLine="643"/>
        <w:rPr>
          <w:color w:val="000000"/>
        </w:rPr>
      </w:pPr>
      <w:bookmarkStart w:id="9" w:name="_Toc3012"/>
      <w:r>
        <w:rPr>
          <w:rFonts w:eastAsia="楷体_GB2312"/>
          <w:b/>
          <w:bCs/>
          <w:color w:val="000000"/>
          <w:szCs w:val="32"/>
        </w:rPr>
        <w:t>农业绿色生产方式全面推进。</w:t>
      </w:r>
      <w:bookmarkEnd w:id="9"/>
      <w:r>
        <w:rPr>
          <w:color w:val="000000"/>
        </w:rPr>
        <w:t>实施化肥和化学农药减量增效行动，2020年化肥、农药使用量较2015年分别减少9.3%、22%，化肥使用量连续5年保持负增长，农药使用量连续7年负增长， 2020年全省化肥、农药利用率均达到40%。农业绿色发展水平进一步提升，</w:t>
      </w:r>
      <w:r>
        <w:rPr>
          <w:color w:val="000000"/>
          <w:szCs w:val="32"/>
        </w:rPr>
        <w:t>秸秆综合利用率达到86%，农膜回收率达到81%</w:t>
      </w:r>
      <w:r>
        <w:rPr>
          <w:color w:val="000000"/>
        </w:rPr>
        <w:t>。实施耕地轮作休耕试点，初步形成了轮作为主、休耕为辅，种地养地结合、生产生态相协调的绿色种植制度。</w:t>
      </w:r>
    </w:p>
    <w:p w14:paraId="41626BAC">
      <w:pPr>
        <w:spacing w:line="550" w:lineRule="atLeast"/>
        <w:ind w:firstLine="640"/>
        <w:rPr>
          <w:color w:val="000000"/>
        </w:rPr>
      </w:pPr>
    </w:p>
    <w:p w14:paraId="5BCA292B">
      <w:pPr>
        <w:numPr>
          <w:ilvl w:val="0"/>
          <w:numId w:val="1"/>
        </w:numPr>
        <w:spacing w:line="550" w:lineRule="atLeast"/>
        <w:ind w:firstLineChars="0"/>
        <w:jc w:val="center"/>
        <w:outlineLvl w:val="1"/>
        <w:rPr>
          <w:rFonts w:eastAsia="黑体"/>
          <w:bCs/>
          <w:color w:val="000000"/>
          <w:kern w:val="0"/>
          <w:szCs w:val="32"/>
        </w:rPr>
      </w:pPr>
      <w:bookmarkStart w:id="10" w:name="_Toc105594890"/>
      <w:bookmarkStart w:id="11" w:name="_Toc18730"/>
      <w:r>
        <w:rPr>
          <w:rFonts w:eastAsia="黑体"/>
          <w:bCs/>
          <w:color w:val="000000"/>
          <w:kern w:val="0"/>
          <w:szCs w:val="32"/>
        </w:rPr>
        <w:t>面临的挑战</w:t>
      </w:r>
      <w:bookmarkEnd w:id="10"/>
      <w:bookmarkEnd w:id="11"/>
    </w:p>
    <w:p w14:paraId="6F4F1319">
      <w:pPr>
        <w:spacing w:line="550" w:lineRule="atLeast"/>
        <w:ind w:firstLine="640"/>
        <w:rPr>
          <w:color w:val="000000"/>
        </w:rPr>
      </w:pPr>
    </w:p>
    <w:p w14:paraId="59DA5955">
      <w:pPr>
        <w:spacing w:line="550" w:lineRule="atLeast"/>
        <w:ind w:firstLine="648"/>
        <w:rPr>
          <w:color w:val="000000"/>
          <w:spacing w:val="2"/>
        </w:rPr>
      </w:pPr>
      <w:r>
        <w:rPr>
          <w:color w:val="000000"/>
          <w:spacing w:val="2"/>
        </w:rPr>
        <w:t>“十四五”时期，国内外环境发生深刻复杂变化，确保粮食等重要农产品供给安全的要求越来越高，种植业发展面临诸多挑战。</w:t>
      </w:r>
    </w:p>
    <w:p w14:paraId="40C12309">
      <w:pPr>
        <w:spacing w:line="550" w:lineRule="atLeast"/>
        <w:ind w:firstLine="643"/>
        <w:rPr>
          <w:color w:val="000000"/>
        </w:rPr>
      </w:pPr>
      <w:bookmarkStart w:id="12" w:name="_Toc15258"/>
      <w:r>
        <w:rPr>
          <w:rFonts w:eastAsia="楷体_GB2312"/>
          <w:b/>
          <w:bCs/>
          <w:color w:val="000000"/>
          <w:szCs w:val="32"/>
        </w:rPr>
        <w:t>资源与环境的双重约束。</w:t>
      </w:r>
      <w:bookmarkEnd w:id="12"/>
      <w:r>
        <w:rPr>
          <w:color w:val="000000"/>
        </w:rPr>
        <w:t>生态环境、资源条件一直是种植业持续稳定发展的“紧箍咒”。当前，生态环境保护处于负重前行的关键期、攻坚期、窗口期。土地资源超</w:t>
      </w:r>
      <w:r>
        <w:rPr>
          <w:rFonts w:hint="eastAsia"/>
          <w:color w:val="000000"/>
        </w:rPr>
        <w:t>负</w:t>
      </w:r>
      <w:r>
        <w:rPr>
          <w:color w:val="000000"/>
        </w:rPr>
        <w:t>荷，人增地减趋势仍会继续。部分地域耕地面积总量减少、耕地质量退化严重，质量下降，提升耕地质量难度增大。水资源在地域、时空上分布不均匀。在过去几十年，种植业投入品的使用量大幅增加，带来环境污染、资源利用率低、增产不增收等问题。</w:t>
      </w:r>
    </w:p>
    <w:p w14:paraId="5E435B7F">
      <w:pPr>
        <w:spacing w:line="550" w:lineRule="atLeast"/>
        <w:ind w:firstLine="643"/>
        <w:rPr>
          <w:color w:val="000000"/>
          <w:kern w:val="0"/>
        </w:rPr>
      </w:pPr>
      <w:bookmarkStart w:id="13" w:name="_Toc6355"/>
      <w:r>
        <w:rPr>
          <w:rFonts w:eastAsia="楷体_GB2312"/>
          <w:b/>
          <w:bCs/>
          <w:color w:val="000000"/>
          <w:szCs w:val="32"/>
        </w:rPr>
        <w:t>气候和生物灾害风险加大。</w:t>
      </w:r>
      <w:bookmarkEnd w:id="13"/>
      <w:r>
        <w:rPr>
          <w:color w:val="000000"/>
          <w:kern w:val="0"/>
        </w:rPr>
        <w:t>受全球气候变化影响，极端天气增加，灾害呈现极端性、突发性，加之主要农产品生产区域更为集中，灾害对农业特别是粮食生产影响加重。同时，水稻二化螟、稻飞虱、稻纵卷叶螟、纹枯病，玉米草地贪夜蛾等虫害呈加重发生趋势，柑橘黄龙病、猕猴桃溃疡病等检疫性病害在部分地区扩散蔓延。</w:t>
      </w:r>
    </w:p>
    <w:p w14:paraId="7926D98C">
      <w:pPr>
        <w:spacing w:line="550" w:lineRule="atLeast"/>
        <w:ind w:firstLine="643"/>
        <w:rPr>
          <w:color w:val="000000"/>
          <w:kern w:val="0"/>
        </w:rPr>
      </w:pPr>
      <w:bookmarkStart w:id="14" w:name="_Toc1596"/>
      <w:r>
        <w:rPr>
          <w:rFonts w:eastAsia="楷体_GB2312"/>
          <w:b/>
          <w:bCs/>
          <w:color w:val="000000"/>
          <w:szCs w:val="32"/>
        </w:rPr>
        <w:t>绿色发展要求更高。</w:t>
      </w:r>
      <w:bookmarkEnd w:id="14"/>
      <w:r>
        <w:rPr>
          <w:color w:val="000000"/>
          <w:kern w:val="0"/>
        </w:rPr>
        <w:t>居民消费由吃得饱向吃得好、吃得健康转变，人民群众对消费安全和消费升级的期待不断提高，增加绿色优质农产品供给的任务艰巨。部分地区化肥、农药使用不科学、不合理的问题仍然突出，农药、肥料包装废弃物回收处理工作刚刚起步，与高质量绿色发展的要求还有差距。</w:t>
      </w:r>
    </w:p>
    <w:p w14:paraId="50D65BAB">
      <w:pPr>
        <w:spacing w:line="550" w:lineRule="atLeast"/>
        <w:ind w:firstLine="643"/>
        <w:rPr>
          <w:color w:val="000000"/>
        </w:rPr>
      </w:pPr>
      <w:bookmarkStart w:id="15" w:name="_Toc1714"/>
      <w:r>
        <w:rPr>
          <w:rFonts w:eastAsia="楷体_GB2312"/>
          <w:b/>
          <w:bCs/>
          <w:color w:val="000000"/>
          <w:szCs w:val="32"/>
        </w:rPr>
        <w:t>生产经营效益偏低。</w:t>
      </w:r>
      <w:bookmarkEnd w:id="15"/>
      <w:r>
        <w:rPr>
          <w:color w:val="000000"/>
        </w:rPr>
        <w:t>受农资价格上涨、劳动力成本上升、土地流转费用提高等影响，种植业生产成本不断攀升。加之大宗农产品价格偏低，种植业生产效益和竞争力不强，特别是近几年呈下降趋势，影响农民种植积极性，稳定生产的难度增大。</w:t>
      </w:r>
    </w:p>
    <w:p w14:paraId="645EAB64">
      <w:pPr>
        <w:spacing w:line="550" w:lineRule="atLeast"/>
        <w:ind w:firstLine="643"/>
        <w:rPr>
          <w:color w:val="000000"/>
          <w:kern w:val="0"/>
        </w:rPr>
      </w:pPr>
      <w:bookmarkStart w:id="16" w:name="_Toc25456"/>
      <w:r>
        <w:rPr>
          <w:rFonts w:eastAsia="楷体_GB2312"/>
          <w:b/>
          <w:bCs/>
          <w:color w:val="000000"/>
          <w:szCs w:val="32"/>
        </w:rPr>
        <w:t>外部环境不确定性加大。</w:t>
      </w:r>
      <w:bookmarkEnd w:id="16"/>
      <w:r>
        <w:rPr>
          <w:color w:val="000000"/>
          <w:kern w:val="0"/>
        </w:rPr>
        <w:t>从国际形势看，当今世界正经历百年未有之大变局，国</w:t>
      </w:r>
      <w:r>
        <w:rPr>
          <w:color w:val="000000"/>
        </w:rPr>
        <w:t>际经贸规则面临颠覆性变化，单</w:t>
      </w:r>
      <w:r>
        <w:rPr>
          <w:color w:val="000000"/>
          <w:kern w:val="0"/>
        </w:rPr>
        <w:t>边主义、贸易保护主义抬头，新冠肺炎疫情在全球持续蔓延，不稳定性、不确定性明显增强，给农业生产与粮食安全带来了很大的冲击，也给农业带来了重大挑战。全球产业链、供应链的本地化、区域化、分散化趋势明显，全球价值链竞争进入白热化状态，对国际经济循环带来巨大冲击。</w:t>
      </w:r>
    </w:p>
    <w:p w14:paraId="22431EE7">
      <w:pPr>
        <w:spacing w:line="550" w:lineRule="atLeast"/>
        <w:ind w:firstLine="643"/>
        <w:rPr>
          <w:color w:val="000000"/>
          <w:kern w:val="0"/>
        </w:rPr>
      </w:pPr>
      <w:bookmarkStart w:id="17" w:name="_Toc19014"/>
      <w:r>
        <w:rPr>
          <w:rFonts w:eastAsia="楷体_GB2312"/>
          <w:b/>
          <w:bCs/>
          <w:color w:val="000000"/>
          <w:szCs w:val="32"/>
        </w:rPr>
        <w:t>现代农业发展内部亟需变革。</w:t>
      </w:r>
      <w:bookmarkEnd w:id="17"/>
      <w:r>
        <w:rPr>
          <w:color w:val="000000"/>
          <w:kern w:val="0"/>
        </w:rPr>
        <w:t>随着现代农业技术的迅速变革与推广，以及市场开放度的提高，小农经济为主导的经营方式和管理方法已经不能适应国内外日益激烈的竞争，小农获得平均社会利润的难度越来越大，“碎片化”的小农户如何与大市场相衔接的问题和挑战迫在眉睫。从业人员素质和素养下降，老龄化和兼业化问题突出。</w:t>
      </w:r>
    </w:p>
    <w:p w14:paraId="537B875C">
      <w:pPr>
        <w:spacing w:line="550" w:lineRule="atLeast"/>
        <w:ind w:firstLine="640"/>
        <w:rPr>
          <w:color w:val="000000"/>
          <w:kern w:val="0"/>
        </w:rPr>
      </w:pPr>
    </w:p>
    <w:p w14:paraId="42356307">
      <w:pPr>
        <w:spacing w:line="550" w:lineRule="atLeast"/>
        <w:ind w:firstLine="0" w:firstLineChars="0"/>
        <w:jc w:val="center"/>
        <w:outlineLvl w:val="1"/>
        <w:rPr>
          <w:rFonts w:eastAsia="黑体"/>
          <w:bCs/>
          <w:color w:val="000000"/>
          <w:kern w:val="0"/>
          <w:szCs w:val="32"/>
        </w:rPr>
      </w:pPr>
      <w:bookmarkStart w:id="18" w:name="_Toc105594891"/>
      <w:bookmarkStart w:id="19" w:name="_Toc6205"/>
      <w:r>
        <w:rPr>
          <w:rFonts w:eastAsia="黑体"/>
          <w:bCs/>
          <w:color w:val="000000"/>
          <w:kern w:val="0"/>
          <w:szCs w:val="32"/>
        </w:rPr>
        <w:t>第三节 发展机遇</w:t>
      </w:r>
      <w:bookmarkEnd w:id="18"/>
      <w:bookmarkEnd w:id="19"/>
    </w:p>
    <w:p w14:paraId="54094F56">
      <w:pPr>
        <w:spacing w:line="550" w:lineRule="atLeast"/>
        <w:ind w:firstLine="640"/>
        <w:rPr>
          <w:color w:val="000000"/>
        </w:rPr>
      </w:pPr>
    </w:p>
    <w:p w14:paraId="5122FB3E">
      <w:pPr>
        <w:spacing w:line="550" w:lineRule="atLeast"/>
        <w:ind w:firstLine="640"/>
        <w:rPr>
          <w:color w:val="000000"/>
        </w:rPr>
      </w:pPr>
      <w:r>
        <w:rPr>
          <w:color w:val="000000"/>
        </w:rPr>
        <w:t>“十四五”时期，外部政策环境、区域协同推进战略、强大的国内市场支撑，以及落实党中央、国务院决策部署，切实扛稳国家粮食安全政治责任，实行</w:t>
      </w:r>
      <w:r>
        <w:rPr>
          <w:color w:val="000000"/>
          <w:kern w:val="0"/>
        </w:rPr>
        <w:t>党政同责</w:t>
      </w:r>
      <w:r>
        <w:rPr>
          <w:color w:val="000000"/>
        </w:rPr>
        <w:t>，为加快推进种植业高质量发展带来难得机遇。</w:t>
      </w:r>
    </w:p>
    <w:p w14:paraId="1E5EFCB5">
      <w:pPr>
        <w:spacing w:line="550" w:lineRule="atLeast"/>
        <w:ind w:firstLine="643"/>
        <w:rPr>
          <w:color w:val="000000"/>
          <w:kern w:val="0"/>
        </w:rPr>
      </w:pPr>
      <w:bookmarkStart w:id="20" w:name="_Toc31202"/>
      <w:r>
        <w:rPr>
          <w:rFonts w:eastAsia="楷体_GB2312"/>
          <w:b/>
          <w:bCs/>
          <w:color w:val="000000"/>
          <w:szCs w:val="32"/>
        </w:rPr>
        <w:t>政策驱动持续增强。</w:t>
      </w:r>
      <w:bookmarkEnd w:id="20"/>
      <w:r>
        <w:rPr>
          <w:color w:val="000000"/>
          <w:kern w:val="0"/>
        </w:rPr>
        <w:t>党中央明确提出“实施乡村振兴”、“坚持农业农村优先发展”等重大战略；湖南省大力实施</w:t>
      </w:r>
      <w:r>
        <w:rPr>
          <w:color w:val="000000"/>
        </w:rPr>
        <w:t>“三高四新”</w:t>
      </w:r>
      <w:r>
        <w:rPr>
          <w:color w:val="000000"/>
          <w:kern w:val="0"/>
        </w:rPr>
        <w:t>战略，并将其作为奋力建设现代化新湖南的总引擎。中央和湖南省出台的一系列发展战略和政策措施，以及全党、全社会支持种植业发展制度的持续优化，为加快推进我省种植业发展提供了重要的政策支撑。</w:t>
      </w:r>
    </w:p>
    <w:p w14:paraId="61BF6575">
      <w:pPr>
        <w:spacing w:line="550" w:lineRule="atLeast"/>
        <w:ind w:firstLine="643"/>
        <w:rPr>
          <w:color w:val="000000"/>
          <w:kern w:val="0"/>
        </w:rPr>
      </w:pPr>
      <w:bookmarkStart w:id="21" w:name="_Toc14730"/>
      <w:r>
        <w:rPr>
          <w:rFonts w:eastAsia="楷体_GB2312"/>
          <w:b/>
          <w:bCs/>
          <w:color w:val="000000"/>
          <w:szCs w:val="32"/>
        </w:rPr>
        <w:t>区域战略推进拓展发展空间。</w:t>
      </w:r>
      <w:bookmarkEnd w:id="21"/>
      <w:r>
        <w:rPr>
          <w:color w:val="000000"/>
          <w:kern w:val="0"/>
        </w:rPr>
        <w:t>实施区域协调发展战略是党的十九大对新时代我国区域发展做出的总体战略部署。近年来，长江经济带发展、粤港澳大湾区建设、中部崛起、“一带一部”、湘赣边区乡村振兴示范区等区域发展战略的深入推进，以及湘南湘西承接产业转移示范区等，为湖南经济社会发展带来重大机遇和政策利好，将继续释放更多发展潜能。</w:t>
      </w:r>
    </w:p>
    <w:p w14:paraId="4558E3BF">
      <w:pPr>
        <w:spacing w:line="550" w:lineRule="atLeast"/>
        <w:ind w:firstLine="643"/>
        <w:rPr>
          <w:color w:val="000000"/>
        </w:rPr>
      </w:pPr>
      <w:bookmarkStart w:id="22" w:name="_Toc14138"/>
      <w:r>
        <w:rPr>
          <w:rFonts w:eastAsia="楷体_GB2312"/>
          <w:b/>
          <w:bCs/>
          <w:color w:val="000000"/>
          <w:szCs w:val="32"/>
        </w:rPr>
        <w:t>科技创新驱动进一步提升。</w:t>
      </w:r>
      <w:bookmarkEnd w:id="22"/>
      <w:r>
        <w:rPr>
          <w:color w:val="000000"/>
        </w:rPr>
        <w:t>生物技术、人工智能、5G技术等科技成果在种植业领域的广泛应用，以及岳麓山种业实验室的启动并推进，将加速我省种植业转型升级。</w:t>
      </w:r>
      <w:r>
        <w:rPr>
          <w:color w:val="000000"/>
        </w:rPr>
        <w:fldChar w:fldCharType="begin"/>
      </w:r>
      <w:r>
        <w:rPr>
          <w:color w:val="000000"/>
        </w:rPr>
        <w:instrText xml:space="preserve"> HYPERLINK "https://www.so.com/link?m=bB3VHw4yKXeWKK+oxJwPD3ov3PC0ClQMJ1zICVnOCPegiNgV7Jj+UpIxoSnypM8HF8IN37EWgdWkcY2tziuLeXZCabkmAAAhS4KOK4I+L69ICraDS2+8abBQOS+pSx3izGYm+NAIXN+eEjXhlDmzTYT2fiSBY3Nuo1ElZj0bAyhSLnDZyyzHrssvH+ca+wjAzWCVMGQLn0zSxFcHvRZbrSQy2l4OMMqHIdFhkssLTAmW+ucySHMRExWhNxbihpsfoSj064jti2Icjw0MpoVq4MULKS0+jY0Uej2sT9ww9nYZkTtlyRhM/6A==" \t "C:/Users/zhanq/Desktop/_blank"</w:instrText>
      </w:r>
      <w:r>
        <w:rPr>
          <w:color w:val="000000"/>
        </w:rPr>
        <w:fldChar w:fldCharType="separate"/>
      </w:r>
      <w:r>
        <w:rPr>
          <w:color w:val="000000"/>
        </w:rPr>
        <w:t>现代科技与农机农艺深度融合，推动种植业高质量发展</w:t>
      </w:r>
      <w:r>
        <w:rPr>
          <w:color w:val="000000"/>
        </w:rPr>
        <w:fldChar w:fldCharType="end"/>
      </w:r>
      <w:r>
        <w:rPr>
          <w:color w:val="000000"/>
        </w:rPr>
        <w:t>。设施装备科技创新不断强化，提升种植业机械化水平。新型农业经营主体和服务主体快速发展，联农带农能力显著增强，推动种植业规模化发展。以育种技术和生产技术创新提高土地生产率，以机械化、信息化、智能化技术创新提高劳动生产率，以现代综合技术创新提高种植业投入品利用效率，为推动种植业高质量发展提供强劲动能。</w:t>
      </w:r>
    </w:p>
    <w:p w14:paraId="4CDC948B">
      <w:pPr>
        <w:spacing w:line="550" w:lineRule="atLeast"/>
        <w:ind w:firstLine="643"/>
        <w:rPr>
          <w:rFonts w:hint="eastAsia"/>
          <w:color w:val="000000"/>
          <w:kern w:val="0"/>
        </w:rPr>
      </w:pPr>
      <w:bookmarkStart w:id="23" w:name="_Toc2274"/>
      <w:r>
        <w:rPr>
          <w:rFonts w:eastAsia="楷体_GB2312"/>
          <w:b/>
          <w:bCs/>
          <w:color w:val="000000"/>
          <w:szCs w:val="32"/>
        </w:rPr>
        <w:t>强大国内市场成为发展支撑。</w:t>
      </w:r>
      <w:bookmarkEnd w:id="23"/>
      <w:r>
        <w:rPr>
          <w:color w:val="000000"/>
          <w:kern w:val="0"/>
        </w:rPr>
        <w:t>在全球贸易保护主义和单边主义盛行的背景下，中央提出要加快构建以国内大循环为主体、国内国际双循环相互促进的新发展格局，形成强大国内市场。而随着经济转向高质量发展阶段，居民消费升级、公共服务和基础设施补短提质、产业融合、城乡融合发展的需求更加迫切，国内统一市场建设的边际效应加快释放，将成为我省种植业与经济持续增长的动力之源。</w:t>
      </w:r>
    </w:p>
    <w:p w14:paraId="4158913F">
      <w:pPr>
        <w:spacing w:line="550" w:lineRule="atLeast"/>
        <w:ind w:firstLine="640"/>
        <w:rPr>
          <w:color w:val="000000"/>
          <w:kern w:val="0"/>
        </w:rPr>
      </w:pPr>
    </w:p>
    <w:p w14:paraId="6204A275">
      <w:pPr>
        <w:spacing w:line="550" w:lineRule="atLeast"/>
        <w:ind w:firstLine="0" w:firstLineChars="0"/>
        <w:jc w:val="center"/>
        <w:outlineLvl w:val="0"/>
        <w:rPr>
          <w:rFonts w:eastAsia="黑体"/>
          <w:bCs/>
          <w:color w:val="000000"/>
          <w:kern w:val="44"/>
          <w:sz w:val="36"/>
          <w:szCs w:val="36"/>
        </w:rPr>
      </w:pPr>
      <w:bookmarkStart w:id="24" w:name="_Toc29108"/>
      <w:bookmarkStart w:id="25" w:name="_Toc105594892"/>
      <w:r>
        <w:rPr>
          <w:rFonts w:eastAsia="黑体"/>
          <w:bCs/>
          <w:color w:val="000000"/>
          <w:kern w:val="44"/>
          <w:sz w:val="36"/>
          <w:szCs w:val="36"/>
        </w:rPr>
        <w:t>第二章 总体要求</w:t>
      </w:r>
      <w:bookmarkEnd w:id="24"/>
      <w:bookmarkEnd w:id="25"/>
    </w:p>
    <w:p w14:paraId="19BB9A39">
      <w:pPr>
        <w:spacing w:line="550" w:lineRule="atLeast"/>
        <w:ind w:firstLine="640"/>
        <w:rPr>
          <w:color w:val="000000"/>
        </w:rPr>
      </w:pPr>
    </w:p>
    <w:p w14:paraId="3476A8AD">
      <w:pPr>
        <w:numPr>
          <w:ilvl w:val="0"/>
          <w:numId w:val="2"/>
        </w:numPr>
        <w:spacing w:line="550" w:lineRule="atLeast"/>
        <w:ind w:firstLineChars="0"/>
        <w:jc w:val="center"/>
        <w:outlineLvl w:val="1"/>
        <w:rPr>
          <w:rFonts w:eastAsia="黑体"/>
          <w:bCs/>
          <w:color w:val="000000"/>
          <w:kern w:val="0"/>
          <w:szCs w:val="32"/>
        </w:rPr>
      </w:pPr>
      <w:bookmarkStart w:id="26" w:name="_Toc9226"/>
      <w:bookmarkStart w:id="27" w:name="_Toc105594893"/>
      <w:r>
        <w:rPr>
          <w:rFonts w:eastAsia="黑体"/>
          <w:bCs/>
          <w:color w:val="000000"/>
          <w:kern w:val="0"/>
          <w:szCs w:val="32"/>
        </w:rPr>
        <w:t>指导思想</w:t>
      </w:r>
      <w:bookmarkEnd w:id="26"/>
      <w:bookmarkEnd w:id="27"/>
    </w:p>
    <w:p w14:paraId="18915BCB">
      <w:pPr>
        <w:spacing w:line="550" w:lineRule="atLeast"/>
        <w:ind w:firstLine="640"/>
        <w:rPr>
          <w:color w:val="000000"/>
        </w:rPr>
      </w:pPr>
    </w:p>
    <w:p w14:paraId="333CEB34">
      <w:pPr>
        <w:spacing w:line="550" w:lineRule="atLeast"/>
        <w:ind w:firstLine="640"/>
        <w:rPr>
          <w:color w:val="000000"/>
        </w:rPr>
      </w:pPr>
      <w:r>
        <w:rPr>
          <w:color w:val="000000"/>
        </w:rPr>
        <w:t>坚持以习近平新时代中国特色社会主义思想为指导，全面贯彻落实党的十九大和十九届历次全会精神，认真贯彻省第十二次党代会精神，全面落实“三高四新”战略定位和使命任务，立足新发展阶段，贯彻新发展理念，构建新发展格局。坚持深化农业供给侧结构性改革，按照“端稳端牢中国粮、做优做香湖南饭”的工作总部署，突出抓好粮油稳产保供、巩固拓展脱贫攻坚成果、种业振兴、高标准农田建设、农机产业链应用等重大行动；调整优化产业结构和区域布局，加快推行种植业绿色生产方式，不断提高种植业发展质量效益和竞争力，更好地满足人民群众多元化消费需求，促进我省由</w:t>
      </w:r>
      <w:r>
        <w:rPr>
          <w:color w:val="000000"/>
          <w:kern w:val="0"/>
        </w:rPr>
        <w:t>农业大省向农业强省跨越。</w:t>
      </w:r>
    </w:p>
    <w:p w14:paraId="53CA8151">
      <w:pPr>
        <w:spacing w:line="550" w:lineRule="atLeast"/>
        <w:ind w:firstLine="0" w:firstLineChars="0"/>
        <w:jc w:val="center"/>
        <w:outlineLvl w:val="1"/>
        <w:rPr>
          <w:rFonts w:eastAsia="黑体"/>
          <w:bCs/>
          <w:color w:val="000000"/>
          <w:kern w:val="0"/>
          <w:szCs w:val="32"/>
        </w:rPr>
      </w:pPr>
      <w:bookmarkStart w:id="28" w:name="_Toc105594894"/>
    </w:p>
    <w:p w14:paraId="1ED277C4">
      <w:pPr>
        <w:numPr>
          <w:ilvl w:val="0"/>
          <w:numId w:val="2"/>
        </w:numPr>
        <w:spacing w:line="550" w:lineRule="atLeast"/>
        <w:ind w:firstLineChars="0"/>
        <w:jc w:val="center"/>
        <w:outlineLvl w:val="1"/>
        <w:rPr>
          <w:rFonts w:eastAsia="黑体"/>
          <w:bCs/>
          <w:color w:val="000000"/>
          <w:kern w:val="0"/>
          <w:szCs w:val="32"/>
        </w:rPr>
      </w:pPr>
      <w:bookmarkStart w:id="29" w:name="_Toc29714"/>
      <w:r>
        <w:rPr>
          <w:rFonts w:eastAsia="黑体"/>
          <w:bCs/>
          <w:color w:val="000000"/>
          <w:kern w:val="0"/>
          <w:szCs w:val="32"/>
        </w:rPr>
        <w:t>基本原则</w:t>
      </w:r>
      <w:bookmarkEnd w:id="28"/>
      <w:bookmarkEnd w:id="29"/>
    </w:p>
    <w:p w14:paraId="4045E182">
      <w:pPr>
        <w:spacing w:line="550" w:lineRule="atLeast"/>
        <w:ind w:firstLine="643"/>
        <w:rPr>
          <w:b/>
          <w:color w:val="000000"/>
          <w:kern w:val="0"/>
        </w:rPr>
      </w:pPr>
    </w:p>
    <w:p w14:paraId="7D02107B">
      <w:pPr>
        <w:spacing w:line="550" w:lineRule="atLeast"/>
        <w:ind w:firstLine="643"/>
        <w:rPr>
          <w:color w:val="000000"/>
        </w:rPr>
      </w:pPr>
      <w:bookmarkStart w:id="30" w:name="_Toc1676"/>
      <w:r>
        <w:rPr>
          <w:rFonts w:eastAsia="楷体_GB2312"/>
          <w:b/>
          <w:bCs/>
          <w:color w:val="000000"/>
          <w:szCs w:val="32"/>
        </w:rPr>
        <w:t>坚持底线思维，保障供给安全。</w:t>
      </w:r>
      <w:bookmarkEnd w:id="30"/>
      <w:r>
        <w:rPr>
          <w:color w:val="000000"/>
          <w:kern w:val="0"/>
        </w:rPr>
        <w:t>坚持底线思维，强化战略意识，推动“藏粮于地、藏粮于技”战略落实落地，补齐基础设施短板，开展高标准农田建设，加强耕地质</w:t>
      </w:r>
      <w:r>
        <w:rPr>
          <w:color w:val="000000"/>
        </w:rPr>
        <w:t>量保护与提升行动，提升综合产能，为国家重要农产品保供做贡献。</w:t>
      </w:r>
    </w:p>
    <w:p w14:paraId="544C394C">
      <w:pPr>
        <w:spacing w:line="550" w:lineRule="atLeast"/>
        <w:ind w:firstLine="643"/>
        <w:rPr>
          <w:color w:val="000000"/>
        </w:rPr>
      </w:pPr>
      <w:bookmarkStart w:id="31" w:name="_Toc24668"/>
      <w:r>
        <w:rPr>
          <w:rFonts w:eastAsia="楷体_GB2312"/>
          <w:b/>
          <w:bCs/>
          <w:color w:val="000000"/>
          <w:szCs w:val="32"/>
        </w:rPr>
        <w:t>坚持区域特色，促进协调发展。</w:t>
      </w:r>
      <w:bookmarkEnd w:id="31"/>
      <w:r>
        <w:rPr>
          <w:color w:val="000000"/>
        </w:rPr>
        <w:t>立足不同区域的种植业资源禀赋、产业基础和市场需求，以优势和特色为导向调整种植业区域结构，形成区域化、专业化的生产力布局，促进区域协调发展。</w:t>
      </w:r>
    </w:p>
    <w:p w14:paraId="2539EF39">
      <w:pPr>
        <w:spacing w:line="550" w:lineRule="atLeast"/>
        <w:ind w:firstLine="643"/>
        <w:rPr>
          <w:color w:val="000000"/>
          <w:kern w:val="0"/>
        </w:rPr>
      </w:pPr>
      <w:bookmarkStart w:id="32" w:name="_Toc5225"/>
      <w:r>
        <w:rPr>
          <w:rFonts w:eastAsia="楷体_GB2312"/>
          <w:b/>
          <w:bCs/>
          <w:color w:val="000000"/>
          <w:szCs w:val="32"/>
        </w:rPr>
        <w:t>坚持绿色发展，推动提质增效。</w:t>
      </w:r>
      <w:bookmarkEnd w:id="32"/>
      <w:r>
        <w:rPr>
          <w:color w:val="000000"/>
          <w:kern w:val="0"/>
        </w:rPr>
        <w:t>按照“减量化、再利用、资源化”要求，坚持循环发展，加快生产方式绿色低碳转型，</w:t>
      </w:r>
      <w:r>
        <w:rPr>
          <w:color w:val="000000"/>
        </w:rPr>
        <w:t>提高水肥药利用率</w:t>
      </w:r>
      <w:r>
        <w:rPr>
          <w:color w:val="000000"/>
          <w:kern w:val="0"/>
        </w:rPr>
        <w:t>。着力构建绿色种植业发展的技术、政策、生态支撑体系。</w:t>
      </w:r>
    </w:p>
    <w:p w14:paraId="7E7B3C31">
      <w:pPr>
        <w:spacing w:line="550" w:lineRule="atLeast"/>
        <w:ind w:firstLine="643"/>
        <w:rPr>
          <w:color w:val="000000"/>
          <w:kern w:val="0"/>
        </w:rPr>
      </w:pPr>
      <w:bookmarkStart w:id="33" w:name="_Toc5178"/>
      <w:r>
        <w:rPr>
          <w:rFonts w:eastAsia="楷体_GB2312"/>
          <w:b/>
          <w:bCs/>
          <w:color w:val="000000"/>
          <w:szCs w:val="32"/>
        </w:rPr>
        <w:t>坚持创新驱动，推动转型升级。</w:t>
      </w:r>
      <w:bookmarkEnd w:id="33"/>
      <w:r>
        <w:rPr>
          <w:color w:val="000000"/>
          <w:kern w:val="0"/>
        </w:rPr>
        <w:t>加快绿色高质高效集成技术开发与应用，加速科技成果转化，提升种植业的科技水平。推进体制机制创新，发展多种形式的适度规模经营，完善社会化服务体系。</w:t>
      </w:r>
    </w:p>
    <w:p w14:paraId="164519E7">
      <w:pPr>
        <w:spacing w:line="550" w:lineRule="atLeast"/>
        <w:ind w:firstLine="640"/>
        <w:rPr>
          <w:color w:val="000000"/>
          <w:kern w:val="0"/>
        </w:rPr>
      </w:pPr>
    </w:p>
    <w:p w14:paraId="683F3DCC">
      <w:pPr>
        <w:numPr>
          <w:ilvl w:val="0"/>
          <w:numId w:val="2"/>
        </w:numPr>
        <w:spacing w:line="550" w:lineRule="atLeast"/>
        <w:ind w:firstLineChars="0"/>
        <w:jc w:val="center"/>
        <w:outlineLvl w:val="1"/>
        <w:rPr>
          <w:rFonts w:eastAsia="黑体"/>
          <w:bCs/>
          <w:color w:val="000000"/>
          <w:kern w:val="0"/>
          <w:szCs w:val="32"/>
        </w:rPr>
      </w:pPr>
      <w:bookmarkStart w:id="34" w:name="_Toc24462"/>
      <w:bookmarkStart w:id="35" w:name="_Toc105594895"/>
      <w:r>
        <w:rPr>
          <w:rFonts w:eastAsia="黑体"/>
          <w:bCs/>
          <w:color w:val="000000"/>
          <w:kern w:val="0"/>
          <w:szCs w:val="32"/>
        </w:rPr>
        <w:t>发展目标</w:t>
      </w:r>
      <w:bookmarkEnd w:id="34"/>
      <w:bookmarkEnd w:id="35"/>
    </w:p>
    <w:p w14:paraId="2A0A925C">
      <w:pPr>
        <w:spacing w:line="550" w:lineRule="atLeast"/>
        <w:ind w:firstLine="640"/>
        <w:rPr>
          <w:color w:val="000000"/>
          <w:kern w:val="0"/>
        </w:rPr>
      </w:pPr>
    </w:p>
    <w:p w14:paraId="6548C9A8">
      <w:pPr>
        <w:spacing w:line="550" w:lineRule="atLeast"/>
        <w:ind w:firstLine="648"/>
        <w:rPr>
          <w:color w:val="000000"/>
          <w:spacing w:val="2"/>
          <w:kern w:val="0"/>
        </w:rPr>
      </w:pPr>
      <w:r>
        <w:rPr>
          <w:color w:val="000000"/>
          <w:spacing w:val="2"/>
          <w:kern w:val="0"/>
        </w:rPr>
        <w:t>到2025年，全省种植业现代化取得重大进展，粮食等重要农产品有效供给能力明显提升，农作物结构调整更加优化，生产方式绿色转型取得明显进展，种植业质量效益和竞争力不断增强。</w:t>
      </w:r>
    </w:p>
    <w:p w14:paraId="70485464">
      <w:pPr>
        <w:spacing w:line="550" w:lineRule="atLeast"/>
        <w:ind w:firstLine="643"/>
        <w:rPr>
          <w:color w:val="000000"/>
          <w:kern w:val="0"/>
        </w:rPr>
      </w:pPr>
      <w:bookmarkStart w:id="36" w:name="_Toc296"/>
      <w:r>
        <w:rPr>
          <w:rFonts w:eastAsia="楷体_GB2312"/>
          <w:b/>
          <w:bCs/>
          <w:color w:val="000000"/>
          <w:szCs w:val="32"/>
        </w:rPr>
        <w:t>重要农产品供应水平稳中有升。</w:t>
      </w:r>
      <w:bookmarkEnd w:id="36"/>
      <w:r>
        <w:rPr>
          <w:color w:val="000000"/>
          <w:kern w:val="0"/>
        </w:rPr>
        <w:t>粮食综合生产能力稳步提升，在重要农产品稳产保供上担当表率。到2025年，全省粮食播种面积达到7150万亩、总产3075万吨以上，油料、蔬菜、水果、茶叶、中药材等面积与产量稳中有升，棉麻丝生产水平基本稳定，全省重要农产品均衡供应水平明显提高。</w:t>
      </w:r>
    </w:p>
    <w:p w14:paraId="3E08928B">
      <w:pPr>
        <w:spacing w:line="550" w:lineRule="atLeast"/>
        <w:ind w:firstLine="643"/>
        <w:rPr>
          <w:color w:val="000000"/>
          <w:kern w:val="0"/>
        </w:rPr>
      </w:pPr>
      <w:bookmarkStart w:id="37" w:name="_Toc9669"/>
      <w:r>
        <w:rPr>
          <w:rFonts w:eastAsia="楷体_GB2312"/>
          <w:b/>
          <w:bCs/>
          <w:color w:val="000000"/>
          <w:szCs w:val="32"/>
        </w:rPr>
        <w:t>农作物结构调整更加优化。</w:t>
      </w:r>
      <w:bookmarkEnd w:id="37"/>
      <w:r>
        <w:rPr>
          <w:color w:val="000000"/>
          <w:kern w:val="0"/>
        </w:rPr>
        <w:t>着力调整优化农作物结构，品质结构更加优化，主要农作物产量总体保持较高水平，供给体系适配性明显增强。稳定水稻面积，巩固双季稻生产能力；充分利用旱土、缺水田等扩大旱粮生产面积。在传统玉米生产区，大力推广大豆玉米带状复合种植，推动技术熟化、本地化。扩大油菜种植面积，在</w:t>
      </w:r>
      <w:r>
        <w:rPr>
          <w:bCs/>
          <w:color w:val="000000"/>
          <w:kern w:val="0"/>
        </w:rPr>
        <w:t>传统非双季稻优势区，</w:t>
      </w:r>
      <w:r>
        <w:rPr>
          <w:color w:val="000000"/>
          <w:kern w:val="0"/>
        </w:rPr>
        <w:t>重点推广“一季稻+油菜”生产模式。在棉花、油料优势产区，建设一批规模化、标准化生产基地。稳定大中城市城镇蔬菜</w:t>
      </w:r>
      <w:r>
        <w:rPr>
          <w:rFonts w:hint="eastAsia"/>
          <w:color w:val="000000"/>
          <w:kern w:val="0"/>
        </w:rPr>
        <w:t>基地</w:t>
      </w:r>
      <w:r>
        <w:rPr>
          <w:color w:val="000000"/>
          <w:kern w:val="0"/>
        </w:rPr>
        <w:t>保有面积，提升地方特色蔬菜产品的质量和效益。</w:t>
      </w:r>
    </w:p>
    <w:p w14:paraId="0E699CC0">
      <w:pPr>
        <w:spacing w:line="550" w:lineRule="atLeast"/>
        <w:ind w:firstLine="643"/>
        <w:rPr>
          <w:color w:val="000000"/>
          <w:kern w:val="0"/>
        </w:rPr>
      </w:pPr>
      <w:bookmarkStart w:id="38" w:name="_Toc7968"/>
      <w:r>
        <w:rPr>
          <w:rFonts w:eastAsia="楷体_GB2312"/>
          <w:b/>
          <w:bCs/>
          <w:color w:val="000000"/>
          <w:szCs w:val="32"/>
        </w:rPr>
        <w:t>质量效益实现新提升。</w:t>
      </w:r>
      <w:bookmarkEnd w:id="38"/>
      <w:r>
        <w:rPr>
          <w:color w:val="000000"/>
          <w:kern w:val="0"/>
        </w:rPr>
        <w:t>现代种植体系基本建立，品种创新、品质提升、品牌打造和标准化生产取得明显成效；物质技术装备水平显著提升，规模化经营、社会化服务、标准化生产、数字化管理水平明显提高；产业价值链结构持续优化，种植业产品质量安全水平进一步提升，生产效益与质量显著提高。</w:t>
      </w:r>
    </w:p>
    <w:p w14:paraId="21181E8F">
      <w:pPr>
        <w:spacing w:line="550" w:lineRule="atLeast"/>
        <w:ind w:firstLine="651"/>
        <w:rPr>
          <w:color w:val="000000"/>
          <w:spacing w:val="2"/>
          <w:kern w:val="0"/>
        </w:rPr>
      </w:pPr>
      <w:bookmarkStart w:id="39" w:name="_Toc13098"/>
      <w:r>
        <w:rPr>
          <w:rFonts w:eastAsia="楷体_GB2312"/>
          <w:b/>
          <w:bCs/>
          <w:color w:val="000000"/>
          <w:spacing w:val="2"/>
          <w:szCs w:val="32"/>
        </w:rPr>
        <w:t>科技支撑水平明显增强。</w:t>
      </w:r>
      <w:bookmarkEnd w:id="39"/>
      <w:r>
        <w:rPr>
          <w:color w:val="000000"/>
          <w:spacing w:val="2"/>
          <w:kern w:val="0"/>
        </w:rPr>
        <w:t>争取岳麓山实验室进入国家实验室序列，10大良种联合攻关项目、10大良种繁育基地建设、10大创新平台建设取得阶段性成果，1家种业领军企业进入世界五强、4家种业龙头企业进入行业全国十强，力争种业产值达到700亿元。</w:t>
      </w:r>
    </w:p>
    <w:p w14:paraId="5D460F99">
      <w:pPr>
        <w:spacing w:after="289" w:afterLines="50" w:line="550" w:lineRule="atLeast"/>
        <w:ind w:firstLine="643"/>
        <w:rPr>
          <w:color w:val="000000"/>
          <w:kern w:val="0"/>
        </w:rPr>
      </w:pPr>
      <w:bookmarkStart w:id="40" w:name="_Toc5547"/>
      <w:r>
        <w:rPr>
          <w:rFonts w:eastAsia="楷体_GB2312"/>
          <w:b/>
          <w:bCs/>
          <w:color w:val="000000"/>
          <w:szCs w:val="32"/>
        </w:rPr>
        <w:t>绿色发展迈出新步伐。</w:t>
      </w:r>
      <w:bookmarkEnd w:id="40"/>
      <w:r>
        <w:rPr>
          <w:color w:val="000000"/>
          <w:kern w:val="0"/>
        </w:rPr>
        <w:t>持续推进化肥、农药减量增效。加快选育推广一批优质高产多抗新品种，集成组装一批优质高效、资源节约、生态环保的绿色生产技术模式。完善农田灌排基础设施，加快节水农业技术推广应用。病虫害统防统治和绿色防控大面积推广应用，种植业生产方式绿色低碳转型实现新突破。</w:t>
      </w:r>
    </w:p>
    <w:tbl>
      <w:tblPr>
        <w:tblStyle w:val="15"/>
        <w:tblW w:w="92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3023"/>
        <w:gridCol w:w="1813"/>
        <w:gridCol w:w="1673"/>
        <w:gridCol w:w="1533"/>
      </w:tblGrid>
      <w:tr w14:paraId="191F9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9297" w:type="dxa"/>
            <w:gridSpan w:val="5"/>
            <w:noWrap w:val="0"/>
            <w:vAlign w:val="center"/>
          </w:tcPr>
          <w:p w14:paraId="46C1DCE6">
            <w:pPr>
              <w:shd w:val="clear" w:color="auto" w:fill="FFFFFF"/>
              <w:adjustRightInd/>
              <w:spacing w:line="240" w:lineRule="exact"/>
              <w:ind w:firstLine="0" w:firstLineChars="0"/>
              <w:jc w:val="center"/>
              <w:textAlignment w:val="center"/>
              <w:rPr>
                <w:rFonts w:eastAsia="宋体"/>
                <w:b/>
                <w:color w:val="000000"/>
                <w:kern w:val="0"/>
                <w:sz w:val="24"/>
              </w:rPr>
            </w:pPr>
            <w:r>
              <w:rPr>
                <w:rFonts w:eastAsia="宋体"/>
                <w:b/>
                <w:bCs/>
                <w:color w:val="000000"/>
                <w:kern w:val="0"/>
                <w:sz w:val="24"/>
              </w:rPr>
              <w:t>专</w:t>
            </w:r>
            <w:r>
              <w:rPr>
                <w:rFonts w:ascii="Times-Roman" w:hAnsi="Times-Roman" w:eastAsia="宋体" w:cs="Times-Roman"/>
                <w:b/>
                <w:bCs/>
                <w:color w:val="000000"/>
                <w:kern w:val="0"/>
                <w:sz w:val="24"/>
              </w:rPr>
              <w:t>栏1</w:t>
            </w:r>
            <w:r>
              <w:rPr>
                <w:rFonts w:hint="eastAsia" w:ascii="Times-Roman" w:hAnsi="Times-Roman" w:eastAsia="宋体" w:cs="Times-Roman"/>
                <w:b/>
                <w:bCs/>
                <w:color w:val="000000"/>
                <w:kern w:val="0"/>
                <w:sz w:val="24"/>
              </w:rPr>
              <w:t xml:space="preserve"> </w:t>
            </w:r>
            <w:r>
              <w:rPr>
                <w:rFonts w:ascii="Times-Roman" w:hAnsi="Times-Roman" w:eastAsia="宋体" w:cs="Times-Roman"/>
                <w:b/>
                <w:bCs/>
                <w:color w:val="000000"/>
                <w:kern w:val="0"/>
                <w:sz w:val="24"/>
              </w:rPr>
              <w:t xml:space="preserve"> “十四五”种植业发展主要指标</w:t>
            </w:r>
          </w:p>
        </w:tc>
      </w:tr>
      <w:tr w14:paraId="16DF1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1255" w:type="dxa"/>
            <w:noWrap w:val="0"/>
            <w:vAlign w:val="center"/>
          </w:tcPr>
          <w:p w14:paraId="5B8CEF13">
            <w:pPr>
              <w:shd w:val="clear" w:color="auto" w:fill="FFFFFF"/>
              <w:adjustRightInd/>
              <w:spacing w:line="240" w:lineRule="exact"/>
              <w:ind w:firstLine="0" w:firstLineChars="0"/>
              <w:jc w:val="center"/>
              <w:textAlignment w:val="center"/>
              <w:rPr>
                <w:rFonts w:eastAsia="宋体"/>
                <w:b/>
                <w:color w:val="000000"/>
                <w:kern w:val="0"/>
                <w:sz w:val="24"/>
              </w:rPr>
            </w:pPr>
            <w:r>
              <w:rPr>
                <w:rFonts w:eastAsia="宋体"/>
                <w:b/>
                <w:color w:val="000000"/>
                <w:kern w:val="0"/>
                <w:sz w:val="24"/>
              </w:rPr>
              <w:t>类别</w:t>
            </w:r>
          </w:p>
        </w:tc>
        <w:tc>
          <w:tcPr>
            <w:tcW w:w="3023" w:type="dxa"/>
            <w:noWrap w:val="0"/>
            <w:vAlign w:val="center"/>
          </w:tcPr>
          <w:p w14:paraId="05D98A2B">
            <w:pPr>
              <w:shd w:val="clear" w:color="auto" w:fill="FFFFFF"/>
              <w:adjustRightInd/>
              <w:spacing w:line="240" w:lineRule="exact"/>
              <w:ind w:firstLine="0" w:firstLineChars="0"/>
              <w:jc w:val="center"/>
              <w:textAlignment w:val="center"/>
              <w:rPr>
                <w:rFonts w:eastAsia="宋体"/>
                <w:b/>
                <w:color w:val="000000"/>
                <w:kern w:val="0"/>
                <w:sz w:val="24"/>
              </w:rPr>
            </w:pPr>
            <w:r>
              <w:rPr>
                <w:rFonts w:eastAsia="宋体"/>
                <w:b/>
                <w:color w:val="000000"/>
                <w:kern w:val="0"/>
                <w:sz w:val="24"/>
              </w:rPr>
              <w:t>指标名称</w:t>
            </w:r>
          </w:p>
        </w:tc>
        <w:tc>
          <w:tcPr>
            <w:tcW w:w="1813" w:type="dxa"/>
            <w:noWrap w:val="0"/>
            <w:vAlign w:val="center"/>
          </w:tcPr>
          <w:p w14:paraId="0ADF4EE1">
            <w:pPr>
              <w:shd w:val="clear" w:color="auto" w:fill="FFFFFF"/>
              <w:adjustRightInd/>
              <w:spacing w:line="240" w:lineRule="exact"/>
              <w:ind w:firstLine="0" w:firstLineChars="0"/>
              <w:jc w:val="center"/>
              <w:textAlignment w:val="center"/>
              <w:rPr>
                <w:rFonts w:eastAsia="宋体"/>
                <w:b/>
                <w:color w:val="000000"/>
                <w:kern w:val="0"/>
                <w:sz w:val="24"/>
              </w:rPr>
            </w:pPr>
            <w:r>
              <w:rPr>
                <w:rFonts w:eastAsia="宋体"/>
                <w:b/>
                <w:color w:val="000000"/>
                <w:kern w:val="0"/>
                <w:sz w:val="24"/>
              </w:rPr>
              <w:t>2020年水平</w:t>
            </w:r>
          </w:p>
        </w:tc>
        <w:tc>
          <w:tcPr>
            <w:tcW w:w="1673" w:type="dxa"/>
            <w:noWrap w:val="0"/>
            <w:vAlign w:val="center"/>
          </w:tcPr>
          <w:p w14:paraId="2E500AFE">
            <w:pPr>
              <w:shd w:val="clear" w:color="auto" w:fill="FFFFFF"/>
              <w:adjustRightInd/>
              <w:spacing w:line="240" w:lineRule="exact"/>
              <w:ind w:firstLine="0" w:firstLineChars="0"/>
              <w:jc w:val="center"/>
              <w:textAlignment w:val="center"/>
              <w:rPr>
                <w:rFonts w:eastAsia="宋体"/>
                <w:b/>
                <w:color w:val="000000"/>
                <w:kern w:val="0"/>
                <w:sz w:val="24"/>
              </w:rPr>
            </w:pPr>
            <w:r>
              <w:rPr>
                <w:rFonts w:eastAsia="宋体"/>
                <w:b/>
                <w:color w:val="000000"/>
                <w:kern w:val="0"/>
                <w:sz w:val="24"/>
              </w:rPr>
              <w:t>2025年目标</w:t>
            </w:r>
          </w:p>
        </w:tc>
        <w:tc>
          <w:tcPr>
            <w:tcW w:w="1533" w:type="dxa"/>
            <w:noWrap w:val="0"/>
            <w:vAlign w:val="center"/>
          </w:tcPr>
          <w:p w14:paraId="34249002">
            <w:pPr>
              <w:shd w:val="clear" w:color="auto" w:fill="FFFFFF"/>
              <w:adjustRightInd/>
              <w:spacing w:line="240" w:lineRule="exact"/>
              <w:ind w:firstLine="0" w:firstLineChars="0"/>
              <w:jc w:val="center"/>
              <w:textAlignment w:val="center"/>
              <w:rPr>
                <w:rFonts w:eastAsia="宋体"/>
                <w:b/>
                <w:color w:val="000000"/>
                <w:kern w:val="0"/>
                <w:sz w:val="24"/>
              </w:rPr>
            </w:pPr>
            <w:r>
              <w:rPr>
                <w:rFonts w:eastAsia="宋体"/>
                <w:b/>
                <w:color w:val="000000"/>
                <w:kern w:val="0"/>
                <w:sz w:val="24"/>
              </w:rPr>
              <w:t>指标属性</w:t>
            </w:r>
          </w:p>
        </w:tc>
      </w:tr>
      <w:tr w14:paraId="27530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5" w:type="dxa"/>
            <w:vMerge w:val="restart"/>
            <w:noWrap w:val="0"/>
            <w:vAlign w:val="center"/>
          </w:tcPr>
          <w:p w14:paraId="7B059FAF">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粮食</w:t>
            </w:r>
          </w:p>
        </w:tc>
        <w:tc>
          <w:tcPr>
            <w:tcW w:w="3023" w:type="dxa"/>
            <w:noWrap w:val="0"/>
            <w:vAlign w:val="center"/>
          </w:tcPr>
          <w:p w14:paraId="043D0956">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粮食面积（万亩）</w:t>
            </w:r>
          </w:p>
        </w:tc>
        <w:tc>
          <w:tcPr>
            <w:tcW w:w="1813" w:type="dxa"/>
            <w:noWrap w:val="0"/>
            <w:vAlign w:val="center"/>
          </w:tcPr>
          <w:p w14:paraId="50E334B5">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7132.1</w:t>
            </w:r>
          </w:p>
        </w:tc>
        <w:tc>
          <w:tcPr>
            <w:tcW w:w="1673" w:type="dxa"/>
            <w:noWrap w:val="0"/>
            <w:vAlign w:val="center"/>
          </w:tcPr>
          <w:p w14:paraId="6C92BEAA">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7150</w:t>
            </w:r>
          </w:p>
        </w:tc>
        <w:tc>
          <w:tcPr>
            <w:tcW w:w="1533" w:type="dxa"/>
            <w:noWrap w:val="0"/>
            <w:vAlign w:val="center"/>
          </w:tcPr>
          <w:p w14:paraId="0A2B4D89">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约束性</w:t>
            </w:r>
          </w:p>
        </w:tc>
      </w:tr>
      <w:tr w14:paraId="321CC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5" w:type="dxa"/>
            <w:vMerge w:val="continue"/>
            <w:noWrap w:val="0"/>
            <w:vAlign w:val="center"/>
          </w:tcPr>
          <w:p w14:paraId="4382232F">
            <w:pPr>
              <w:shd w:val="clear" w:color="auto" w:fill="FFFFFF"/>
              <w:adjustRightInd/>
              <w:spacing w:line="240" w:lineRule="exact"/>
              <w:ind w:firstLine="0" w:firstLineChars="0"/>
              <w:jc w:val="center"/>
              <w:textAlignment w:val="center"/>
              <w:rPr>
                <w:rFonts w:eastAsia="宋体"/>
                <w:color w:val="000000"/>
                <w:kern w:val="0"/>
                <w:sz w:val="24"/>
              </w:rPr>
            </w:pPr>
          </w:p>
        </w:tc>
        <w:tc>
          <w:tcPr>
            <w:tcW w:w="3023" w:type="dxa"/>
            <w:noWrap w:val="0"/>
            <w:vAlign w:val="center"/>
          </w:tcPr>
          <w:p w14:paraId="29BCDB5E">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粮食产量（万吨）</w:t>
            </w:r>
          </w:p>
        </w:tc>
        <w:tc>
          <w:tcPr>
            <w:tcW w:w="1813" w:type="dxa"/>
            <w:noWrap w:val="0"/>
            <w:vAlign w:val="center"/>
          </w:tcPr>
          <w:p w14:paraId="61A36BD5">
            <w:pPr>
              <w:shd w:val="clear" w:color="auto" w:fill="FFFFFF"/>
              <w:adjustRightInd/>
              <w:spacing w:line="240" w:lineRule="exact"/>
              <w:ind w:firstLine="0" w:firstLineChars="0"/>
              <w:jc w:val="center"/>
              <w:textAlignment w:val="center"/>
              <w:rPr>
                <w:rFonts w:hint="eastAsia" w:eastAsia="宋体"/>
                <w:color w:val="000000"/>
                <w:kern w:val="0"/>
                <w:sz w:val="24"/>
              </w:rPr>
            </w:pPr>
            <w:r>
              <w:rPr>
                <w:rFonts w:eastAsia="宋体"/>
                <w:color w:val="000000"/>
                <w:kern w:val="0"/>
                <w:sz w:val="24"/>
              </w:rPr>
              <w:t>3015.</w:t>
            </w:r>
            <w:r>
              <w:rPr>
                <w:rFonts w:hint="eastAsia" w:eastAsia="宋体"/>
                <w:color w:val="000000"/>
                <w:kern w:val="0"/>
                <w:sz w:val="24"/>
              </w:rPr>
              <w:t>1</w:t>
            </w:r>
          </w:p>
        </w:tc>
        <w:tc>
          <w:tcPr>
            <w:tcW w:w="1673" w:type="dxa"/>
            <w:noWrap w:val="0"/>
            <w:vAlign w:val="center"/>
          </w:tcPr>
          <w:p w14:paraId="01834165">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3075</w:t>
            </w:r>
          </w:p>
        </w:tc>
        <w:tc>
          <w:tcPr>
            <w:tcW w:w="1533" w:type="dxa"/>
            <w:noWrap w:val="0"/>
            <w:vAlign w:val="center"/>
          </w:tcPr>
          <w:p w14:paraId="1FD447BF">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预期性</w:t>
            </w:r>
          </w:p>
        </w:tc>
      </w:tr>
      <w:tr w14:paraId="6898C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5" w:type="dxa"/>
            <w:vMerge w:val="continue"/>
            <w:noWrap w:val="0"/>
            <w:vAlign w:val="center"/>
          </w:tcPr>
          <w:p w14:paraId="04E2FF31">
            <w:pPr>
              <w:shd w:val="clear" w:color="auto" w:fill="FFFFFF"/>
              <w:adjustRightInd/>
              <w:spacing w:line="240" w:lineRule="exact"/>
              <w:ind w:firstLine="0" w:firstLineChars="0"/>
              <w:jc w:val="center"/>
              <w:textAlignment w:val="center"/>
              <w:rPr>
                <w:rFonts w:eastAsia="宋体"/>
                <w:color w:val="000000"/>
                <w:kern w:val="0"/>
                <w:sz w:val="24"/>
              </w:rPr>
            </w:pPr>
          </w:p>
        </w:tc>
        <w:tc>
          <w:tcPr>
            <w:tcW w:w="3023" w:type="dxa"/>
            <w:noWrap w:val="0"/>
            <w:vAlign w:val="center"/>
          </w:tcPr>
          <w:p w14:paraId="5A94C6A1">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稻谷面积（万亩）</w:t>
            </w:r>
          </w:p>
        </w:tc>
        <w:tc>
          <w:tcPr>
            <w:tcW w:w="1813" w:type="dxa"/>
            <w:noWrap w:val="0"/>
            <w:vAlign w:val="center"/>
          </w:tcPr>
          <w:p w14:paraId="7930D325">
            <w:pPr>
              <w:shd w:val="clear" w:color="auto" w:fill="FFFFFF"/>
              <w:adjustRightInd/>
              <w:spacing w:line="240" w:lineRule="exact"/>
              <w:ind w:firstLine="0" w:firstLineChars="0"/>
              <w:jc w:val="center"/>
              <w:textAlignment w:val="center"/>
              <w:rPr>
                <w:rFonts w:hint="eastAsia" w:eastAsia="宋体"/>
                <w:color w:val="000000"/>
                <w:kern w:val="0"/>
                <w:sz w:val="24"/>
              </w:rPr>
            </w:pPr>
            <w:r>
              <w:rPr>
                <w:rFonts w:eastAsia="宋体"/>
                <w:color w:val="000000"/>
                <w:kern w:val="0"/>
                <w:sz w:val="24"/>
              </w:rPr>
              <w:t>5990.</w:t>
            </w:r>
            <w:r>
              <w:rPr>
                <w:rFonts w:hint="eastAsia" w:eastAsia="宋体"/>
                <w:color w:val="000000"/>
                <w:kern w:val="0"/>
                <w:sz w:val="24"/>
              </w:rPr>
              <w:t>8</w:t>
            </w:r>
          </w:p>
        </w:tc>
        <w:tc>
          <w:tcPr>
            <w:tcW w:w="1673" w:type="dxa"/>
            <w:noWrap w:val="0"/>
            <w:vAlign w:val="center"/>
          </w:tcPr>
          <w:p w14:paraId="0B925350">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5800</w:t>
            </w:r>
          </w:p>
        </w:tc>
        <w:tc>
          <w:tcPr>
            <w:tcW w:w="1533" w:type="dxa"/>
            <w:noWrap w:val="0"/>
            <w:vAlign w:val="center"/>
          </w:tcPr>
          <w:p w14:paraId="34FF48A6">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预期性</w:t>
            </w:r>
          </w:p>
        </w:tc>
      </w:tr>
      <w:tr w14:paraId="145F2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5" w:type="dxa"/>
            <w:vMerge w:val="continue"/>
            <w:noWrap w:val="0"/>
            <w:vAlign w:val="center"/>
          </w:tcPr>
          <w:p w14:paraId="5F8D7B15">
            <w:pPr>
              <w:shd w:val="clear" w:color="auto" w:fill="FFFFFF"/>
              <w:adjustRightInd/>
              <w:spacing w:line="240" w:lineRule="exact"/>
              <w:ind w:firstLine="0" w:firstLineChars="0"/>
              <w:jc w:val="center"/>
              <w:textAlignment w:val="center"/>
              <w:rPr>
                <w:rFonts w:eastAsia="宋体"/>
                <w:color w:val="000000"/>
                <w:kern w:val="0"/>
                <w:sz w:val="24"/>
              </w:rPr>
            </w:pPr>
          </w:p>
        </w:tc>
        <w:tc>
          <w:tcPr>
            <w:tcW w:w="3023" w:type="dxa"/>
            <w:noWrap w:val="0"/>
            <w:vAlign w:val="center"/>
          </w:tcPr>
          <w:p w14:paraId="02AA1EE6">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稻谷产量（万吨）</w:t>
            </w:r>
          </w:p>
        </w:tc>
        <w:tc>
          <w:tcPr>
            <w:tcW w:w="1813" w:type="dxa"/>
            <w:noWrap w:val="0"/>
            <w:vAlign w:val="center"/>
          </w:tcPr>
          <w:p w14:paraId="0106CA45">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2638.9</w:t>
            </w:r>
          </w:p>
        </w:tc>
        <w:tc>
          <w:tcPr>
            <w:tcW w:w="1673" w:type="dxa"/>
            <w:noWrap w:val="0"/>
            <w:vAlign w:val="center"/>
          </w:tcPr>
          <w:p w14:paraId="6AB57675">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2700</w:t>
            </w:r>
          </w:p>
        </w:tc>
        <w:tc>
          <w:tcPr>
            <w:tcW w:w="1533" w:type="dxa"/>
            <w:noWrap w:val="0"/>
            <w:vAlign w:val="center"/>
          </w:tcPr>
          <w:p w14:paraId="44BB2711">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预期性</w:t>
            </w:r>
          </w:p>
        </w:tc>
      </w:tr>
      <w:tr w14:paraId="763E3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5" w:type="dxa"/>
            <w:vMerge w:val="continue"/>
            <w:noWrap w:val="0"/>
            <w:vAlign w:val="center"/>
          </w:tcPr>
          <w:p w14:paraId="2064520D">
            <w:pPr>
              <w:shd w:val="clear" w:color="auto" w:fill="FFFFFF"/>
              <w:adjustRightInd/>
              <w:spacing w:line="240" w:lineRule="exact"/>
              <w:ind w:firstLine="0" w:firstLineChars="0"/>
              <w:jc w:val="center"/>
              <w:textAlignment w:val="center"/>
              <w:rPr>
                <w:rFonts w:eastAsia="宋体"/>
                <w:color w:val="000000"/>
                <w:kern w:val="0"/>
                <w:sz w:val="24"/>
              </w:rPr>
            </w:pPr>
          </w:p>
        </w:tc>
        <w:tc>
          <w:tcPr>
            <w:tcW w:w="3023" w:type="dxa"/>
            <w:noWrap w:val="0"/>
            <w:vAlign w:val="center"/>
          </w:tcPr>
          <w:p w14:paraId="4F52FCB0">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玉米面积（万亩）</w:t>
            </w:r>
          </w:p>
        </w:tc>
        <w:tc>
          <w:tcPr>
            <w:tcW w:w="1813" w:type="dxa"/>
            <w:noWrap w:val="0"/>
            <w:vAlign w:val="center"/>
          </w:tcPr>
          <w:p w14:paraId="6849A176">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576.6</w:t>
            </w:r>
          </w:p>
        </w:tc>
        <w:tc>
          <w:tcPr>
            <w:tcW w:w="1673" w:type="dxa"/>
            <w:noWrap w:val="0"/>
            <w:vAlign w:val="center"/>
          </w:tcPr>
          <w:p w14:paraId="1D4C5D42">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600</w:t>
            </w:r>
          </w:p>
        </w:tc>
        <w:tc>
          <w:tcPr>
            <w:tcW w:w="1533" w:type="dxa"/>
            <w:noWrap w:val="0"/>
            <w:vAlign w:val="center"/>
          </w:tcPr>
          <w:p w14:paraId="269C4014">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预期性</w:t>
            </w:r>
          </w:p>
        </w:tc>
      </w:tr>
      <w:tr w14:paraId="45AF6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5" w:type="dxa"/>
            <w:vMerge w:val="continue"/>
            <w:noWrap w:val="0"/>
            <w:vAlign w:val="center"/>
          </w:tcPr>
          <w:p w14:paraId="015EEE55">
            <w:pPr>
              <w:shd w:val="clear" w:color="auto" w:fill="FFFFFF"/>
              <w:adjustRightInd/>
              <w:spacing w:line="240" w:lineRule="exact"/>
              <w:ind w:firstLine="0" w:firstLineChars="0"/>
              <w:jc w:val="center"/>
              <w:textAlignment w:val="center"/>
              <w:rPr>
                <w:rFonts w:eastAsia="宋体"/>
                <w:color w:val="000000"/>
                <w:kern w:val="0"/>
                <w:sz w:val="24"/>
              </w:rPr>
            </w:pPr>
          </w:p>
        </w:tc>
        <w:tc>
          <w:tcPr>
            <w:tcW w:w="3023" w:type="dxa"/>
            <w:noWrap w:val="0"/>
            <w:vAlign w:val="center"/>
          </w:tcPr>
          <w:p w14:paraId="15AF2925">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玉米产量（万吨）</w:t>
            </w:r>
          </w:p>
        </w:tc>
        <w:tc>
          <w:tcPr>
            <w:tcW w:w="1813" w:type="dxa"/>
            <w:noWrap w:val="0"/>
            <w:vAlign w:val="center"/>
          </w:tcPr>
          <w:p w14:paraId="6C4D9D61">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223.3</w:t>
            </w:r>
          </w:p>
        </w:tc>
        <w:tc>
          <w:tcPr>
            <w:tcW w:w="1673" w:type="dxa"/>
            <w:noWrap w:val="0"/>
            <w:vAlign w:val="center"/>
          </w:tcPr>
          <w:p w14:paraId="2F4A90AF">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235</w:t>
            </w:r>
          </w:p>
        </w:tc>
        <w:tc>
          <w:tcPr>
            <w:tcW w:w="1533" w:type="dxa"/>
            <w:noWrap w:val="0"/>
            <w:vAlign w:val="center"/>
          </w:tcPr>
          <w:p w14:paraId="691CC9AD">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预期性</w:t>
            </w:r>
          </w:p>
        </w:tc>
      </w:tr>
      <w:tr w14:paraId="0AB5C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5" w:type="dxa"/>
            <w:vMerge w:val="continue"/>
            <w:noWrap w:val="0"/>
            <w:vAlign w:val="center"/>
          </w:tcPr>
          <w:p w14:paraId="058F0E9E">
            <w:pPr>
              <w:shd w:val="clear" w:color="auto" w:fill="FFFFFF"/>
              <w:adjustRightInd/>
              <w:spacing w:line="240" w:lineRule="exact"/>
              <w:ind w:firstLine="0" w:firstLineChars="0"/>
              <w:jc w:val="center"/>
              <w:textAlignment w:val="center"/>
              <w:rPr>
                <w:rFonts w:eastAsia="宋体"/>
                <w:color w:val="000000"/>
                <w:kern w:val="0"/>
                <w:sz w:val="24"/>
              </w:rPr>
            </w:pPr>
          </w:p>
        </w:tc>
        <w:tc>
          <w:tcPr>
            <w:tcW w:w="3023" w:type="dxa"/>
            <w:noWrap w:val="0"/>
            <w:vAlign w:val="center"/>
          </w:tcPr>
          <w:p w14:paraId="702B4309">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大豆面积（万亩）</w:t>
            </w:r>
          </w:p>
        </w:tc>
        <w:tc>
          <w:tcPr>
            <w:tcW w:w="1813" w:type="dxa"/>
            <w:noWrap w:val="0"/>
            <w:vAlign w:val="center"/>
          </w:tcPr>
          <w:p w14:paraId="7E71F806">
            <w:pPr>
              <w:shd w:val="clear" w:color="auto" w:fill="FFFFFF"/>
              <w:adjustRightInd/>
              <w:spacing w:line="240" w:lineRule="exact"/>
              <w:ind w:firstLine="0" w:firstLineChars="0"/>
              <w:jc w:val="center"/>
              <w:textAlignment w:val="center"/>
              <w:rPr>
                <w:rFonts w:hint="eastAsia" w:eastAsia="宋体"/>
                <w:color w:val="000000"/>
                <w:kern w:val="0"/>
                <w:sz w:val="24"/>
              </w:rPr>
            </w:pPr>
            <w:r>
              <w:rPr>
                <w:rFonts w:eastAsia="宋体"/>
                <w:color w:val="000000"/>
                <w:kern w:val="0"/>
                <w:sz w:val="24"/>
              </w:rPr>
              <w:t>172.</w:t>
            </w:r>
            <w:r>
              <w:rPr>
                <w:rFonts w:hint="eastAsia" w:eastAsia="宋体"/>
                <w:color w:val="000000"/>
                <w:kern w:val="0"/>
                <w:sz w:val="24"/>
              </w:rPr>
              <w:t>0</w:t>
            </w:r>
          </w:p>
        </w:tc>
        <w:tc>
          <w:tcPr>
            <w:tcW w:w="1673" w:type="dxa"/>
            <w:noWrap w:val="0"/>
            <w:vAlign w:val="center"/>
          </w:tcPr>
          <w:p w14:paraId="6D600354">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250</w:t>
            </w:r>
          </w:p>
        </w:tc>
        <w:tc>
          <w:tcPr>
            <w:tcW w:w="1533" w:type="dxa"/>
            <w:noWrap w:val="0"/>
            <w:vAlign w:val="center"/>
          </w:tcPr>
          <w:p w14:paraId="1B8C94E0">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约束性</w:t>
            </w:r>
          </w:p>
        </w:tc>
      </w:tr>
      <w:tr w14:paraId="01693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5" w:type="dxa"/>
            <w:vMerge w:val="continue"/>
            <w:noWrap w:val="0"/>
            <w:vAlign w:val="center"/>
          </w:tcPr>
          <w:p w14:paraId="7752DF45">
            <w:pPr>
              <w:shd w:val="clear" w:color="auto" w:fill="FFFFFF"/>
              <w:adjustRightInd/>
              <w:spacing w:line="240" w:lineRule="exact"/>
              <w:ind w:firstLine="0" w:firstLineChars="0"/>
              <w:jc w:val="center"/>
              <w:textAlignment w:val="center"/>
              <w:rPr>
                <w:rFonts w:eastAsia="宋体"/>
                <w:color w:val="000000"/>
                <w:kern w:val="0"/>
                <w:sz w:val="24"/>
              </w:rPr>
            </w:pPr>
          </w:p>
        </w:tc>
        <w:tc>
          <w:tcPr>
            <w:tcW w:w="3023" w:type="dxa"/>
            <w:noWrap w:val="0"/>
            <w:vAlign w:val="center"/>
          </w:tcPr>
          <w:p w14:paraId="681D3050">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大豆产量（万吨）</w:t>
            </w:r>
          </w:p>
        </w:tc>
        <w:tc>
          <w:tcPr>
            <w:tcW w:w="1813" w:type="dxa"/>
            <w:noWrap w:val="0"/>
            <w:vAlign w:val="center"/>
          </w:tcPr>
          <w:p w14:paraId="32341148">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31.2</w:t>
            </w:r>
          </w:p>
        </w:tc>
        <w:tc>
          <w:tcPr>
            <w:tcW w:w="1673" w:type="dxa"/>
            <w:noWrap w:val="0"/>
            <w:vAlign w:val="center"/>
          </w:tcPr>
          <w:p w14:paraId="62C78E81">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45</w:t>
            </w:r>
          </w:p>
        </w:tc>
        <w:tc>
          <w:tcPr>
            <w:tcW w:w="1533" w:type="dxa"/>
            <w:noWrap w:val="0"/>
            <w:vAlign w:val="center"/>
          </w:tcPr>
          <w:p w14:paraId="2DCC19C2">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预期性</w:t>
            </w:r>
          </w:p>
        </w:tc>
      </w:tr>
      <w:tr w14:paraId="6C48C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5" w:type="dxa"/>
            <w:vMerge w:val="restart"/>
            <w:noWrap w:val="0"/>
            <w:vAlign w:val="center"/>
          </w:tcPr>
          <w:p w14:paraId="63CE6732">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油料</w:t>
            </w:r>
          </w:p>
        </w:tc>
        <w:tc>
          <w:tcPr>
            <w:tcW w:w="3023" w:type="dxa"/>
            <w:noWrap w:val="0"/>
            <w:vAlign w:val="center"/>
          </w:tcPr>
          <w:p w14:paraId="61AA4225">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油料面积（万亩）</w:t>
            </w:r>
          </w:p>
        </w:tc>
        <w:tc>
          <w:tcPr>
            <w:tcW w:w="1813" w:type="dxa"/>
            <w:noWrap w:val="0"/>
            <w:vAlign w:val="center"/>
          </w:tcPr>
          <w:p w14:paraId="052B473D">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2180.3</w:t>
            </w:r>
          </w:p>
        </w:tc>
        <w:tc>
          <w:tcPr>
            <w:tcW w:w="1673" w:type="dxa"/>
            <w:noWrap w:val="0"/>
            <w:vAlign w:val="center"/>
          </w:tcPr>
          <w:p w14:paraId="285EB0E0">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2500</w:t>
            </w:r>
          </w:p>
        </w:tc>
        <w:tc>
          <w:tcPr>
            <w:tcW w:w="1533" w:type="dxa"/>
            <w:noWrap w:val="0"/>
            <w:vAlign w:val="center"/>
          </w:tcPr>
          <w:p w14:paraId="6C31C447">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预期性</w:t>
            </w:r>
          </w:p>
        </w:tc>
      </w:tr>
      <w:tr w14:paraId="0E4DF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5" w:type="dxa"/>
            <w:vMerge w:val="continue"/>
            <w:noWrap w:val="0"/>
            <w:vAlign w:val="center"/>
          </w:tcPr>
          <w:p w14:paraId="7C714F97">
            <w:pPr>
              <w:shd w:val="clear" w:color="auto" w:fill="FFFFFF"/>
              <w:adjustRightInd/>
              <w:spacing w:line="240" w:lineRule="exact"/>
              <w:ind w:firstLine="0" w:firstLineChars="0"/>
              <w:jc w:val="center"/>
              <w:textAlignment w:val="center"/>
              <w:rPr>
                <w:rFonts w:eastAsia="宋体"/>
                <w:color w:val="000000"/>
                <w:kern w:val="0"/>
                <w:sz w:val="24"/>
              </w:rPr>
            </w:pPr>
          </w:p>
        </w:tc>
        <w:tc>
          <w:tcPr>
            <w:tcW w:w="3023" w:type="dxa"/>
            <w:noWrap w:val="0"/>
            <w:vAlign w:val="center"/>
          </w:tcPr>
          <w:p w14:paraId="69D44653">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油料产量（万吨）</w:t>
            </w:r>
          </w:p>
        </w:tc>
        <w:tc>
          <w:tcPr>
            <w:tcW w:w="1813" w:type="dxa"/>
            <w:noWrap w:val="0"/>
            <w:vAlign w:val="center"/>
          </w:tcPr>
          <w:p w14:paraId="44B72E28">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260.7</w:t>
            </w:r>
          </w:p>
        </w:tc>
        <w:tc>
          <w:tcPr>
            <w:tcW w:w="1673" w:type="dxa"/>
            <w:noWrap w:val="0"/>
            <w:vAlign w:val="center"/>
          </w:tcPr>
          <w:p w14:paraId="2E919B84">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310</w:t>
            </w:r>
          </w:p>
        </w:tc>
        <w:tc>
          <w:tcPr>
            <w:tcW w:w="1533" w:type="dxa"/>
            <w:noWrap w:val="0"/>
            <w:vAlign w:val="center"/>
          </w:tcPr>
          <w:p w14:paraId="2E982F3E">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预期性</w:t>
            </w:r>
          </w:p>
        </w:tc>
      </w:tr>
      <w:tr w14:paraId="4BD88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5" w:type="dxa"/>
            <w:vMerge w:val="continue"/>
            <w:noWrap w:val="0"/>
            <w:vAlign w:val="center"/>
          </w:tcPr>
          <w:p w14:paraId="60501969">
            <w:pPr>
              <w:shd w:val="clear" w:color="auto" w:fill="FFFFFF"/>
              <w:adjustRightInd/>
              <w:spacing w:line="240" w:lineRule="exact"/>
              <w:ind w:firstLine="0" w:firstLineChars="0"/>
              <w:jc w:val="center"/>
              <w:textAlignment w:val="center"/>
              <w:rPr>
                <w:rFonts w:eastAsia="宋体"/>
                <w:color w:val="000000"/>
                <w:kern w:val="0"/>
                <w:sz w:val="24"/>
              </w:rPr>
            </w:pPr>
          </w:p>
        </w:tc>
        <w:tc>
          <w:tcPr>
            <w:tcW w:w="3023" w:type="dxa"/>
            <w:noWrap w:val="0"/>
            <w:vAlign w:val="center"/>
          </w:tcPr>
          <w:p w14:paraId="05EB7DBF">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油菜面积（万亩）</w:t>
            </w:r>
          </w:p>
        </w:tc>
        <w:tc>
          <w:tcPr>
            <w:tcW w:w="1813" w:type="dxa"/>
            <w:noWrap w:val="0"/>
            <w:vAlign w:val="center"/>
          </w:tcPr>
          <w:p w14:paraId="09CFE81D">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1989.8</w:t>
            </w:r>
          </w:p>
        </w:tc>
        <w:tc>
          <w:tcPr>
            <w:tcW w:w="1673" w:type="dxa"/>
            <w:noWrap w:val="0"/>
            <w:vAlign w:val="center"/>
          </w:tcPr>
          <w:p w14:paraId="447392A4">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2280</w:t>
            </w:r>
          </w:p>
        </w:tc>
        <w:tc>
          <w:tcPr>
            <w:tcW w:w="1533" w:type="dxa"/>
            <w:noWrap w:val="0"/>
            <w:vAlign w:val="center"/>
          </w:tcPr>
          <w:p w14:paraId="63DEFABB">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约束性</w:t>
            </w:r>
          </w:p>
        </w:tc>
      </w:tr>
      <w:tr w14:paraId="24785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5" w:type="dxa"/>
            <w:vMerge w:val="continue"/>
            <w:noWrap w:val="0"/>
            <w:vAlign w:val="center"/>
          </w:tcPr>
          <w:p w14:paraId="1C322CF8">
            <w:pPr>
              <w:shd w:val="clear" w:color="auto" w:fill="FFFFFF"/>
              <w:adjustRightInd/>
              <w:spacing w:line="240" w:lineRule="exact"/>
              <w:ind w:firstLine="0" w:firstLineChars="0"/>
              <w:jc w:val="center"/>
              <w:textAlignment w:val="center"/>
              <w:rPr>
                <w:rFonts w:eastAsia="宋体"/>
                <w:color w:val="000000"/>
                <w:kern w:val="0"/>
                <w:sz w:val="24"/>
              </w:rPr>
            </w:pPr>
          </w:p>
        </w:tc>
        <w:tc>
          <w:tcPr>
            <w:tcW w:w="3023" w:type="dxa"/>
            <w:noWrap w:val="0"/>
            <w:vAlign w:val="center"/>
          </w:tcPr>
          <w:p w14:paraId="0EF66239">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油菜籽产量（万吨）</w:t>
            </w:r>
          </w:p>
        </w:tc>
        <w:tc>
          <w:tcPr>
            <w:tcW w:w="1813" w:type="dxa"/>
            <w:noWrap w:val="0"/>
            <w:vAlign w:val="center"/>
          </w:tcPr>
          <w:p w14:paraId="62994465">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228.7</w:t>
            </w:r>
          </w:p>
        </w:tc>
        <w:tc>
          <w:tcPr>
            <w:tcW w:w="1673" w:type="dxa"/>
            <w:noWrap w:val="0"/>
            <w:vAlign w:val="center"/>
          </w:tcPr>
          <w:p w14:paraId="49534D3E">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275</w:t>
            </w:r>
          </w:p>
        </w:tc>
        <w:tc>
          <w:tcPr>
            <w:tcW w:w="1533" w:type="dxa"/>
            <w:noWrap w:val="0"/>
            <w:vAlign w:val="center"/>
          </w:tcPr>
          <w:p w14:paraId="6D742515">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预期性</w:t>
            </w:r>
          </w:p>
        </w:tc>
      </w:tr>
      <w:tr w14:paraId="76839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5" w:type="dxa"/>
            <w:vMerge w:val="restart"/>
            <w:noWrap w:val="0"/>
            <w:vAlign w:val="center"/>
          </w:tcPr>
          <w:p w14:paraId="6714F6EF">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棉花</w:t>
            </w:r>
          </w:p>
        </w:tc>
        <w:tc>
          <w:tcPr>
            <w:tcW w:w="3023" w:type="dxa"/>
            <w:noWrap w:val="0"/>
            <w:vAlign w:val="center"/>
          </w:tcPr>
          <w:p w14:paraId="12A2183C">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播种面积（万亩）</w:t>
            </w:r>
          </w:p>
        </w:tc>
        <w:tc>
          <w:tcPr>
            <w:tcW w:w="1813" w:type="dxa"/>
            <w:noWrap w:val="0"/>
            <w:vAlign w:val="center"/>
          </w:tcPr>
          <w:p w14:paraId="035035D0">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89.0</w:t>
            </w:r>
          </w:p>
        </w:tc>
        <w:tc>
          <w:tcPr>
            <w:tcW w:w="1673" w:type="dxa"/>
            <w:noWrap w:val="0"/>
            <w:vAlign w:val="center"/>
          </w:tcPr>
          <w:p w14:paraId="75AACD07">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100</w:t>
            </w:r>
          </w:p>
        </w:tc>
        <w:tc>
          <w:tcPr>
            <w:tcW w:w="1533" w:type="dxa"/>
            <w:noWrap w:val="0"/>
            <w:vAlign w:val="center"/>
          </w:tcPr>
          <w:p w14:paraId="7F8AFFE1">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预期性</w:t>
            </w:r>
          </w:p>
        </w:tc>
      </w:tr>
      <w:tr w14:paraId="3403A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5" w:type="dxa"/>
            <w:vMerge w:val="continue"/>
            <w:noWrap w:val="0"/>
            <w:vAlign w:val="center"/>
          </w:tcPr>
          <w:p w14:paraId="615E5530">
            <w:pPr>
              <w:shd w:val="clear" w:color="auto" w:fill="FFFFFF"/>
              <w:adjustRightInd/>
              <w:spacing w:line="240" w:lineRule="exact"/>
              <w:ind w:firstLine="0" w:firstLineChars="0"/>
              <w:jc w:val="center"/>
              <w:textAlignment w:val="center"/>
              <w:rPr>
                <w:rFonts w:eastAsia="宋体"/>
                <w:color w:val="000000"/>
                <w:kern w:val="0"/>
                <w:sz w:val="24"/>
              </w:rPr>
            </w:pPr>
          </w:p>
        </w:tc>
        <w:tc>
          <w:tcPr>
            <w:tcW w:w="3023" w:type="dxa"/>
            <w:noWrap w:val="0"/>
            <w:vAlign w:val="center"/>
          </w:tcPr>
          <w:p w14:paraId="7C4D4FC7">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总产量（万吨）</w:t>
            </w:r>
          </w:p>
        </w:tc>
        <w:tc>
          <w:tcPr>
            <w:tcW w:w="1813" w:type="dxa"/>
            <w:noWrap w:val="0"/>
            <w:vAlign w:val="center"/>
          </w:tcPr>
          <w:p w14:paraId="42027A25">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7.9</w:t>
            </w:r>
          </w:p>
        </w:tc>
        <w:tc>
          <w:tcPr>
            <w:tcW w:w="1673" w:type="dxa"/>
            <w:noWrap w:val="0"/>
            <w:vAlign w:val="center"/>
          </w:tcPr>
          <w:p w14:paraId="5E72EBC7">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10</w:t>
            </w:r>
          </w:p>
        </w:tc>
        <w:tc>
          <w:tcPr>
            <w:tcW w:w="1533" w:type="dxa"/>
            <w:noWrap w:val="0"/>
            <w:vAlign w:val="center"/>
          </w:tcPr>
          <w:p w14:paraId="3373F9D6">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预期性</w:t>
            </w:r>
          </w:p>
        </w:tc>
      </w:tr>
      <w:tr w14:paraId="7499D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5" w:type="dxa"/>
            <w:vMerge w:val="restart"/>
            <w:noWrap w:val="0"/>
            <w:vAlign w:val="center"/>
          </w:tcPr>
          <w:p w14:paraId="24C6B8B7">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蔬菜</w:t>
            </w:r>
          </w:p>
        </w:tc>
        <w:tc>
          <w:tcPr>
            <w:tcW w:w="3023" w:type="dxa"/>
            <w:noWrap w:val="0"/>
            <w:vAlign w:val="center"/>
          </w:tcPr>
          <w:p w14:paraId="4219BB9C">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播种面积（万亩）</w:t>
            </w:r>
          </w:p>
        </w:tc>
        <w:tc>
          <w:tcPr>
            <w:tcW w:w="1813" w:type="dxa"/>
            <w:noWrap w:val="0"/>
            <w:vAlign w:val="center"/>
          </w:tcPr>
          <w:p w14:paraId="2F54A764">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2032.5</w:t>
            </w:r>
          </w:p>
        </w:tc>
        <w:tc>
          <w:tcPr>
            <w:tcW w:w="1673" w:type="dxa"/>
            <w:noWrap w:val="0"/>
            <w:vAlign w:val="center"/>
          </w:tcPr>
          <w:p w14:paraId="11DF66B8">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2000</w:t>
            </w:r>
          </w:p>
        </w:tc>
        <w:tc>
          <w:tcPr>
            <w:tcW w:w="1533" w:type="dxa"/>
            <w:noWrap w:val="0"/>
            <w:vAlign w:val="center"/>
          </w:tcPr>
          <w:p w14:paraId="5ED0C36B">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预期性</w:t>
            </w:r>
          </w:p>
        </w:tc>
      </w:tr>
      <w:tr w14:paraId="2F841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5" w:type="dxa"/>
            <w:vMerge w:val="continue"/>
            <w:noWrap w:val="0"/>
            <w:vAlign w:val="center"/>
          </w:tcPr>
          <w:p w14:paraId="4F67A173">
            <w:pPr>
              <w:shd w:val="clear" w:color="auto" w:fill="FFFFFF"/>
              <w:adjustRightInd/>
              <w:spacing w:line="240" w:lineRule="exact"/>
              <w:ind w:firstLine="0" w:firstLineChars="0"/>
              <w:jc w:val="center"/>
              <w:textAlignment w:val="center"/>
              <w:rPr>
                <w:rFonts w:eastAsia="宋体"/>
                <w:color w:val="000000"/>
                <w:kern w:val="0"/>
                <w:sz w:val="24"/>
              </w:rPr>
            </w:pPr>
          </w:p>
        </w:tc>
        <w:tc>
          <w:tcPr>
            <w:tcW w:w="3023" w:type="dxa"/>
            <w:noWrap w:val="0"/>
            <w:vAlign w:val="center"/>
          </w:tcPr>
          <w:p w14:paraId="756C1595">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总产量（万吨）</w:t>
            </w:r>
          </w:p>
        </w:tc>
        <w:tc>
          <w:tcPr>
            <w:tcW w:w="1813" w:type="dxa"/>
            <w:noWrap w:val="0"/>
            <w:vAlign w:val="center"/>
          </w:tcPr>
          <w:p w14:paraId="58A78147">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4110.1</w:t>
            </w:r>
          </w:p>
        </w:tc>
        <w:tc>
          <w:tcPr>
            <w:tcW w:w="1673" w:type="dxa"/>
            <w:noWrap w:val="0"/>
            <w:vAlign w:val="center"/>
          </w:tcPr>
          <w:p w14:paraId="771589DC">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4000</w:t>
            </w:r>
          </w:p>
        </w:tc>
        <w:tc>
          <w:tcPr>
            <w:tcW w:w="1533" w:type="dxa"/>
            <w:noWrap w:val="0"/>
            <w:vAlign w:val="center"/>
          </w:tcPr>
          <w:p w14:paraId="530FDEDA">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预期性</w:t>
            </w:r>
          </w:p>
        </w:tc>
      </w:tr>
      <w:tr w14:paraId="0D5B6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5" w:type="dxa"/>
            <w:vMerge w:val="restart"/>
            <w:noWrap w:val="0"/>
            <w:vAlign w:val="center"/>
          </w:tcPr>
          <w:p w14:paraId="7A71C4B1">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水果</w:t>
            </w:r>
          </w:p>
        </w:tc>
        <w:tc>
          <w:tcPr>
            <w:tcW w:w="3023" w:type="dxa"/>
            <w:noWrap w:val="0"/>
            <w:vAlign w:val="center"/>
          </w:tcPr>
          <w:p w14:paraId="1AE549F8">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果园面积（万亩）</w:t>
            </w:r>
          </w:p>
        </w:tc>
        <w:tc>
          <w:tcPr>
            <w:tcW w:w="1813" w:type="dxa"/>
            <w:noWrap w:val="0"/>
            <w:vAlign w:val="center"/>
          </w:tcPr>
          <w:p w14:paraId="3949ADFA">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834.2</w:t>
            </w:r>
          </w:p>
        </w:tc>
        <w:tc>
          <w:tcPr>
            <w:tcW w:w="1673" w:type="dxa"/>
            <w:noWrap w:val="0"/>
            <w:vAlign w:val="center"/>
          </w:tcPr>
          <w:p w14:paraId="04D16E37">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890</w:t>
            </w:r>
          </w:p>
        </w:tc>
        <w:tc>
          <w:tcPr>
            <w:tcW w:w="1533" w:type="dxa"/>
            <w:noWrap w:val="0"/>
            <w:vAlign w:val="center"/>
          </w:tcPr>
          <w:p w14:paraId="0B5A8573">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预期性</w:t>
            </w:r>
          </w:p>
        </w:tc>
      </w:tr>
      <w:tr w14:paraId="43EB6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5" w:type="dxa"/>
            <w:vMerge w:val="continue"/>
            <w:noWrap w:val="0"/>
            <w:vAlign w:val="center"/>
          </w:tcPr>
          <w:p w14:paraId="3CEBDAF4">
            <w:pPr>
              <w:shd w:val="clear" w:color="auto" w:fill="FFFFFF"/>
              <w:adjustRightInd/>
              <w:spacing w:line="240" w:lineRule="exact"/>
              <w:ind w:firstLine="0" w:firstLineChars="0"/>
              <w:jc w:val="center"/>
              <w:textAlignment w:val="center"/>
              <w:rPr>
                <w:rFonts w:eastAsia="宋体"/>
                <w:color w:val="000000"/>
                <w:kern w:val="0"/>
                <w:sz w:val="24"/>
              </w:rPr>
            </w:pPr>
          </w:p>
        </w:tc>
        <w:tc>
          <w:tcPr>
            <w:tcW w:w="3023" w:type="dxa"/>
            <w:noWrap w:val="0"/>
            <w:vAlign w:val="center"/>
          </w:tcPr>
          <w:p w14:paraId="2D7B9F9B">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总产量（万吨）</w:t>
            </w:r>
          </w:p>
        </w:tc>
        <w:tc>
          <w:tcPr>
            <w:tcW w:w="1813" w:type="dxa"/>
            <w:noWrap w:val="0"/>
            <w:vAlign w:val="center"/>
          </w:tcPr>
          <w:p w14:paraId="42C6F2FA">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743.4</w:t>
            </w:r>
          </w:p>
        </w:tc>
        <w:tc>
          <w:tcPr>
            <w:tcW w:w="1673" w:type="dxa"/>
            <w:noWrap w:val="0"/>
            <w:vAlign w:val="center"/>
          </w:tcPr>
          <w:p w14:paraId="59F6CD26">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900</w:t>
            </w:r>
          </w:p>
        </w:tc>
        <w:tc>
          <w:tcPr>
            <w:tcW w:w="1533" w:type="dxa"/>
            <w:noWrap w:val="0"/>
            <w:vAlign w:val="center"/>
          </w:tcPr>
          <w:p w14:paraId="2D058146">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预期性</w:t>
            </w:r>
          </w:p>
        </w:tc>
      </w:tr>
      <w:tr w14:paraId="015D1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5" w:type="dxa"/>
            <w:vMerge w:val="restart"/>
            <w:noWrap w:val="0"/>
            <w:vAlign w:val="center"/>
          </w:tcPr>
          <w:p w14:paraId="09A456D9">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茶叶</w:t>
            </w:r>
          </w:p>
        </w:tc>
        <w:tc>
          <w:tcPr>
            <w:tcW w:w="3023" w:type="dxa"/>
            <w:noWrap w:val="0"/>
            <w:vAlign w:val="center"/>
          </w:tcPr>
          <w:p w14:paraId="327F8CE9">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茶园面积（万亩）</w:t>
            </w:r>
          </w:p>
        </w:tc>
        <w:tc>
          <w:tcPr>
            <w:tcW w:w="1813" w:type="dxa"/>
            <w:noWrap w:val="0"/>
            <w:vAlign w:val="center"/>
          </w:tcPr>
          <w:p w14:paraId="36B83FF6">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276.7</w:t>
            </w:r>
          </w:p>
        </w:tc>
        <w:tc>
          <w:tcPr>
            <w:tcW w:w="1673" w:type="dxa"/>
            <w:noWrap w:val="0"/>
            <w:vAlign w:val="center"/>
          </w:tcPr>
          <w:p w14:paraId="1F6FE41C">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300</w:t>
            </w:r>
          </w:p>
        </w:tc>
        <w:tc>
          <w:tcPr>
            <w:tcW w:w="1533" w:type="dxa"/>
            <w:noWrap w:val="0"/>
            <w:vAlign w:val="center"/>
          </w:tcPr>
          <w:p w14:paraId="60E4E5EF">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预期性</w:t>
            </w:r>
          </w:p>
        </w:tc>
      </w:tr>
      <w:tr w14:paraId="5C031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5" w:type="dxa"/>
            <w:vMerge w:val="continue"/>
            <w:noWrap w:val="0"/>
            <w:vAlign w:val="center"/>
          </w:tcPr>
          <w:p w14:paraId="1B4F3A1A">
            <w:pPr>
              <w:shd w:val="clear" w:color="auto" w:fill="FFFFFF"/>
              <w:adjustRightInd/>
              <w:spacing w:line="240" w:lineRule="exact"/>
              <w:ind w:firstLine="0" w:firstLineChars="0"/>
              <w:jc w:val="center"/>
              <w:textAlignment w:val="center"/>
              <w:rPr>
                <w:rFonts w:eastAsia="宋体"/>
                <w:color w:val="000000"/>
                <w:kern w:val="0"/>
                <w:sz w:val="24"/>
              </w:rPr>
            </w:pPr>
          </w:p>
        </w:tc>
        <w:tc>
          <w:tcPr>
            <w:tcW w:w="3023" w:type="dxa"/>
            <w:noWrap w:val="0"/>
            <w:vAlign w:val="center"/>
          </w:tcPr>
          <w:p w14:paraId="280ADB32">
            <w:pPr>
              <w:shd w:val="clear" w:color="auto" w:fill="FFFFFF"/>
              <w:adjustRightInd/>
              <w:spacing w:line="240" w:lineRule="exact"/>
              <w:ind w:firstLine="0" w:firstLineChars="0"/>
              <w:jc w:val="center"/>
              <w:textAlignment w:val="center"/>
              <w:rPr>
                <w:rFonts w:eastAsia="宋体"/>
                <w:color w:val="000000"/>
                <w:kern w:val="0"/>
                <w:sz w:val="24"/>
              </w:rPr>
            </w:pPr>
            <w:r>
              <w:rPr>
                <w:rFonts w:hint="eastAsia" w:eastAsia="宋体"/>
                <w:color w:val="000000"/>
                <w:kern w:val="0"/>
                <w:sz w:val="24"/>
              </w:rPr>
              <w:t>干毛茶</w:t>
            </w:r>
            <w:r>
              <w:rPr>
                <w:rFonts w:eastAsia="宋体"/>
                <w:color w:val="000000"/>
                <w:kern w:val="0"/>
                <w:sz w:val="24"/>
              </w:rPr>
              <w:t>产量（万吨）</w:t>
            </w:r>
          </w:p>
        </w:tc>
        <w:tc>
          <w:tcPr>
            <w:tcW w:w="1813" w:type="dxa"/>
            <w:noWrap w:val="0"/>
            <w:vAlign w:val="center"/>
          </w:tcPr>
          <w:p w14:paraId="15426F40">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25.0</w:t>
            </w:r>
          </w:p>
        </w:tc>
        <w:tc>
          <w:tcPr>
            <w:tcW w:w="1673" w:type="dxa"/>
            <w:noWrap w:val="0"/>
            <w:vAlign w:val="center"/>
          </w:tcPr>
          <w:p w14:paraId="7824C45C">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45</w:t>
            </w:r>
          </w:p>
        </w:tc>
        <w:tc>
          <w:tcPr>
            <w:tcW w:w="1533" w:type="dxa"/>
            <w:noWrap w:val="0"/>
            <w:vAlign w:val="center"/>
          </w:tcPr>
          <w:p w14:paraId="72B8B9B8">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预期性</w:t>
            </w:r>
          </w:p>
        </w:tc>
      </w:tr>
      <w:tr w14:paraId="4333F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5" w:type="dxa"/>
            <w:noWrap w:val="0"/>
            <w:vAlign w:val="center"/>
          </w:tcPr>
          <w:p w14:paraId="1F32E118">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中药材</w:t>
            </w:r>
          </w:p>
        </w:tc>
        <w:tc>
          <w:tcPr>
            <w:tcW w:w="3023" w:type="dxa"/>
            <w:noWrap w:val="0"/>
            <w:vAlign w:val="center"/>
          </w:tcPr>
          <w:p w14:paraId="5C428DCA">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种植面积（万亩）</w:t>
            </w:r>
          </w:p>
        </w:tc>
        <w:tc>
          <w:tcPr>
            <w:tcW w:w="1813" w:type="dxa"/>
            <w:noWrap w:val="0"/>
            <w:vAlign w:val="center"/>
          </w:tcPr>
          <w:p w14:paraId="21CE8E8C">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468</w:t>
            </w:r>
          </w:p>
        </w:tc>
        <w:tc>
          <w:tcPr>
            <w:tcW w:w="1673" w:type="dxa"/>
            <w:noWrap w:val="0"/>
            <w:vAlign w:val="center"/>
          </w:tcPr>
          <w:p w14:paraId="4D70A473">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500</w:t>
            </w:r>
          </w:p>
        </w:tc>
        <w:tc>
          <w:tcPr>
            <w:tcW w:w="1533" w:type="dxa"/>
            <w:noWrap w:val="0"/>
            <w:vAlign w:val="center"/>
          </w:tcPr>
          <w:p w14:paraId="3355A302">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预期性</w:t>
            </w:r>
          </w:p>
        </w:tc>
      </w:tr>
      <w:tr w14:paraId="48DD7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5" w:type="dxa"/>
            <w:vMerge w:val="restart"/>
            <w:noWrap w:val="0"/>
            <w:vAlign w:val="center"/>
          </w:tcPr>
          <w:p w14:paraId="72352AED">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绿色持续发展能力</w:t>
            </w:r>
          </w:p>
        </w:tc>
        <w:tc>
          <w:tcPr>
            <w:tcW w:w="3023" w:type="dxa"/>
            <w:noWrap w:val="0"/>
            <w:vAlign w:val="center"/>
          </w:tcPr>
          <w:p w14:paraId="7F57542F">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化肥利用率（%）</w:t>
            </w:r>
          </w:p>
        </w:tc>
        <w:tc>
          <w:tcPr>
            <w:tcW w:w="1813" w:type="dxa"/>
            <w:noWrap w:val="0"/>
            <w:vAlign w:val="center"/>
          </w:tcPr>
          <w:p w14:paraId="59F0D3F2">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40</w:t>
            </w:r>
          </w:p>
        </w:tc>
        <w:tc>
          <w:tcPr>
            <w:tcW w:w="1673" w:type="dxa"/>
            <w:noWrap w:val="0"/>
            <w:vAlign w:val="center"/>
          </w:tcPr>
          <w:p w14:paraId="67D606E7">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&gt;43</w:t>
            </w:r>
          </w:p>
        </w:tc>
        <w:tc>
          <w:tcPr>
            <w:tcW w:w="1533" w:type="dxa"/>
            <w:noWrap w:val="0"/>
            <w:vAlign w:val="center"/>
          </w:tcPr>
          <w:p w14:paraId="275E847C">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预期性</w:t>
            </w:r>
          </w:p>
        </w:tc>
      </w:tr>
      <w:tr w14:paraId="67390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5" w:type="dxa"/>
            <w:vMerge w:val="continue"/>
            <w:noWrap w:val="0"/>
            <w:vAlign w:val="center"/>
          </w:tcPr>
          <w:p w14:paraId="0BAE0147">
            <w:pPr>
              <w:shd w:val="clear" w:color="auto" w:fill="FFFFFF"/>
              <w:adjustRightInd/>
              <w:spacing w:line="240" w:lineRule="exact"/>
              <w:ind w:firstLine="0" w:firstLineChars="0"/>
              <w:jc w:val="center"/>
              <w:textAlignment w:val="center"/>
              <w:rPr>
                <w:rFonts w:eastAsia="宋体"/>
                <w:color w:val="000000"/>
                <w:kern w:val="0"/>
                <w:sz w:val="24"/>
              </w:rPr>
            </w:pPr>
          </w:p>
        </w:tc>
        <w:tc>
          <w:tcPr>
            <w:tcW w:w="3023" w:type="dxa"/>
            <w:noWrap w:val="0"/>
            <w:vAlign w:val="center"/>
          </w:tcPr>
          <w:p w14:paraId="543C1D62">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化学农药利用率（%）</w:t>
            </w:r>
          </w:p>
        </w:tc>
        <w:tc>
          <w:tcPr>
            <w:tcW w:w="1813" w:type="dxa"/>
            <w:noWrap w:val="0"/>
            <w:vAlign w:val="center"/>
          </w:tcPr>
          <w:p w14:paraId="39C1D1BA">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40</w:t>
            </w:r>
          </w:p>
        </w:tc>
        <w:tc>
          <w:tcPr>
            <w:tcW w:w="1673" w:type="dxa"/>
            <w:noWrap w:val="0"/>
            <w:vAlign w:val="center"/>
          </w:tcPr>
          <w:p w14:paraId="2476D6C0">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&gt;43</w:t>
            </w:r>
          </w:p>
        </w:tc>
        <w:tc>
          <w:tcPr>
            <w:tcW w:w="1533" w:type="dxa"/>
            <w:noWrap w:val="0"/>
            <w:vAlign w:val="center"/>
          </w:tcPr>
          <w:p w14:paraId="4339C40C">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预期性</w:t>
            </w:r>
          </w:p>
        </w:tc>
      </w:tr>
      <w:tr w14:paraId="47A27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5" w:type="dxa"/>
            <w:vMerge w:val="continue"/>
            <w:noWrap w:val="0"/>
            <w:vAlign w:val="center"/>
          </w:tcPr>
          <w:p w14:paraId="39E1BB6F">
            <w:pPr>
              <w:shd w:val="clear" w:color="auto" w:fill="FFFFFF"/>
              <w:adjustRightInd/>
              <w:spacing w:line="240" w:lineRule="exact"/>
              <w:ind w:firstLine="0" w:firstLineChars="0"/>
              <w:jc w:val="center"/>
              <w:textAlignment w:val="center"/>
              <w:rPr>
                <w:rFonts w:eastAsia="宋体"/>
                <w:color w:val="000000"/>
                <w:kern w:val="0"/>
                <w:sz w:val="24"/>
              </w:rPr>
            </w:pPr>
          </w:p>
        </w:tc>
        <w:tc>
          <w:tcPr>
            <w:tcW w:w="3023" w:type="dxa"/>
            <w:noWrap w:val="0"/>
            <w:vAlign w:val="center"/>
          </w:tcPr>
          <w:p w14:paraId="271AB2AC">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病虫害统防统治覆盖率（%）</w:t>
            </w:r>
          </w:p>
        </w:tc>
        <w:tc>
          <w:tcPr>
            <w:tcW w:w="1813" w:type="dxa"/>
            <w:noWrap w:val="0"/>
            <w:vAlign w:val="center"/>
          </w:tcPr>
          <w:p w14:paraId="163145B1">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40</w:t>
            </w:r>
          </w:p>
        </w:tc>
        <w:tc>
          <w:tcPr>
            <w:tcW w:w="1673" w:type="dxa"/>
            <w:noWrap w:val="0"/>
            <w:vAlign w:val="center"/>
          </w:tcPr>
          <w:p w14:paraId="1E93A615">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45</w:t>
            </w:r>
          </w:p>
        </w:tc>
        <w:tc>
          <w:tcPr>
            <w:tcW w:w="1533" w:type="dxa"/>
            <w:noWrap w:val="0"/>
            <w:vAlign w:val="center"/>
          </w:tcPr>
          <w:p w14:paraId="574582FD">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预期性</w:t>
            </w:r>
          </w:p>
        </w:tc>
      </w:tr>
      <w:tr w14:paraId="2AEA4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5" w:type="dxa"/>
            <w:vMerge w:val="continue"/>
            <w:noWrap w:val="0"/>
            <w:vAlign w:val="center"/>
          </w:tcPr>
          <w:p w14:paraId="2A2D6A31">
            <w:pPr>
              <w:shd w:val="clear" w:color="auto" w:fill="FFFFFF"/>
              <w:adjustRightInd/>
              <w:spacing w:line="240" w:lineRule="exact"/>
              <w:ind w:firstLine="0" w:firstLineChars="0"/>
              <w:jc w:val="center"/>
              <w:textAlignment w:val="center"/>
              <w:rPr>
                <w:rFonts w:eastAsia="宋体"/>
                <w:color w:val="000000"/>
                <w:kern w:val="0"/>
                <w:sz w:val="24"/>
              </w:rPr>
            </w:pPr>
          </w:p>
        </w:tc>
        <w:tc>
          <w:tcPr>
            <w:tcW w:w="3023" w:type="dxa"/>
            <w:noWrap w:val="0"/>
            <w:vAlign w:val="center"/>
          </w:tcPr>
          <w:p w14:paraId="320ADE04">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主要农作物良种覆盖率（%）</w:t>
            </w:r>
          </w:p>
        </w:tc>
        <w:tc>
          <w:tcPr>
            <w:tcW w:w="1813" w:type="dxa"/>
            <w:noWrap w:val="0"/>
            <w:vAlign w:val="center"/>
          </w:tcPr>
          <w:p w14:paraId="7DDBE907">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96</w:t>
            </w:r>
          </w:p>
        </w:tc>
        <w:tc>
          <w:tcPr>
            <w:tcW w:w="1673" w:type="dxa"/>
            <w:noWrap w:val="0"/>
            <w:vAlign w:val="center"/>
          </w:tcPr>
          <w:p w14:paraId="422066AB">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98</w:t>
            </w:r>
          </w:p>
        </w:tc>
        <w:tc>
          <w:tcPr>
            <w:tcW w:w="1533" w:type="dxa"/>
            <w:noWrap w:val="0"/>
            <w:vAlign w:val="center"/>
          </w:tcPr>
          <w:p w14:paraId="69DBEB38">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预期性</w:t>
            </w:r>
          </w:p>
        </w:tc>
      </w:tr>
      <w:tr w14:paraId="01B26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5" w:type="dxa"/>
            <w:vMerge w:val="continue"/>
            <w:noWrap w:val="0"/>
            <w:vAlign w:val="center"/>
          </w:tcPr>
          <w:p w14:paraId="363ACD71">
            <w:pPr>
              <w:shd w:val="clear" w:color="auto" w:fill="FFFFFF"/>
              <w:adjustRightInd/>
              <w:spacing w:line="240" w:lineRule="exact"/>
              <w:ind w:firstLine="0" w:firstLineChars="0"/>
              <w:jc w:val="center"/>
              <w:textAlignment w:val="center"/>
              <w:rPr>
                <w:rFonts w:eastAsia="宋体"/>
                <w:color w:val="000000"/>
                <w:kern w:val="0"/>
                <w:sz w:val="24"/>
              </w:rPr>
            </w:pPr>
          </w:p>
        </w:tc>
        <w:tc>
          <w:tcPr>
            <w:tcW w:w="3023" w:type="dxa"/>
            <w:noWrap w:val="0"/>
            <w:vAlign w:val="center"/>
          </w:tcPr>
          <w:p w14:paraId="4ABC875E">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农产品质量安全例行监测合格率（%）</w:t>
            </w:r>
          </w:p>
        </w:tc>
        <w:tc>
          <w:tcPr>
            <w:tcW w:w="1813" w:type="dxa"/>
            <w:noWrap w:val="0"/>
            <w:vAlign w:val="center"/>
          </w:tcPr>
          <w:p w14:paraId="4A59A45E">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&gt;98</w:t>
            </w:r>
          </w:p>
        </w:tc>
        <w:tc>
          <w:tcPr>
            <w:tcW w:w="1673" w:type="dxa"/>
            <w:noWrap w:val="0"/>
            <w:vAlign w:val="center"/>
          </w:tcPr>
          <w:p w14:paraId="2EF303DA">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&gt;98</w:t>
            </w:r>
          </w:p>
        </w:tc>
        <w:tc>
          <w:tcPr>
            <w:tcW w:w="1533" w:type="dxa"/>
            <w:noWrap w:val="0"/>
            <w:vAlign w:val="center"/>
          </w:tcPr>
          <w:p w14:paraId="644D5E95">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预期性</w:t>
            </w:r>
          </w:p>
        </w:tc>
      </w:tr>
      <w:tr w14:paraId="65534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5" w:type="dxa"/>
            <w:vMerge w:val="continue"/>
            <w:noWrap w:val="0"/>
            <w:vAlign w:val="center"/>
          </w:tcPr>
          <w:p w14:paraId="0D0F62BC">
            <w:pPr>
              <w:shd w:val="clear" w:color="auto" w:fill="FFFFFF"/>
              <w:adjustRightInd/>
              <w:spacing w:line="240" w:lineRule="exact"/>
              <w:ind w:firstLine="0" w:firstLineChars="0"/>
              <w:jc w:val="center"/>
              <w:textAlignment w:val="center"/>
              <w:rPr>
                <w:rFonts w:eastAsia="宋体"/>
                <w:color w:val="000000"/>
                <w:kern w:val="0"/>
                <w:sz w:val="24"/>
              </w:rPr>
            </w:pPr>
          </w:p>
        </w:tc>
        <w:tc>
          <w:tcPr>
            <w:tcW w:w="3023" w:type="dxa"/>
            <w:noWrap w:val="0"/>
            <w:vAlign w:val="center"/>
          </w:tcPr>
          <w:p w14:paraId="5041DE72">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绿色食品、有机农产品、地理标志农产品数量（个）</w:t>
            </w:r>
          </w:p>
        </w:tc>
        <w:tc>
          <w:tcPr>
            <w:tcW w:w="1813" w:type="dxa"/>
            <w:noWrap w:val="0"/>
            <w:vAlign w:val="center"/>
          </w:tcPr>
          <w:p w14:paraId="2ED98ACF">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2912</w:t>
            </w:r>
          </w:p>
        </w:tc>
        <w:tc>
          <w:tcPr>
            <w:tcW w:w="1673" w:type="dxa"/>
            <w:noWrap w:val="0"/>
            <w:vAlign w:val="center"/>
          </w:tcPr>
          <w:p w14:paraId="76D48146">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4000</w:t>
            </w:r>
          </w:p>
        </w:tc>
        <w:tc>
          <w:tcPr>
            <w:tcW w:w="1533" w:type="dxa"/>
            <w:noWrap w:val="0"/>
            <w:vAlign w:val="center"/>
          </w:tcPr>
          <w:p w14:paraId="7DCB36E5">
            <w:pPr>
              <w:shd w:val="clear" w:color="auto" w:fill="FFFFFF"/>
              <w:adjustRightInd/>
              <w:spacing w:line="240" w:lineRule="exact"/>
              <w:ind w:firstLine="0" w:firstLineChars="0"/>
              <w:jc w:val="center"/>
              <w:textAlignment w:val="center"/>
              <w:rPr>
                <w:rFonts w:eastAsia="宋体"/>
                <w:color w:val="000000"/>
                <w:kern w:val="0"/>
                <w:sz w:val="24"/>
              </w:rPr>
            </w:pPr>
            <w:r>
              <w:rPr>
                <w:rFonts w:eastAsia="宋体"/>
                <w:color w:val="000000"/>
                <w:kern w:val="0"/>
                <w:sz w:val="24"/>
              </w:rPr>
              <w:t>预期性</w:t>
            </w:r>
          </w:p>
        </w:tc>
      </w:tr>
    </w:tbl>
    <w:p w14:paraId="1EA07D40">
      <w:pPr>
        <w:spacing w:line="540" w:lineRule="atLeast"/>
        <w:ind w:firstLine="640"/>
        <w:rPr>
          <w:color w:val="000000"/>
        </w:rPr>
      </w:pPr>
      <w:bookmarkStart w:id="41" w:name="_Toc105594896"/>
    </w:p>
    <w:p w14:paraId="580DCAD5">
      <w:pPr>
        <w:spacing w:line="540" w:lineRule="atLeast"/>
        <w:ind w:firstLine="0" w:firstLineChars="0"/>
        <w:jc w:val="center"/>
        <w:outlineLvl w:val="0"/>
        <w:rPr>
          <w:rFonts w:eastAsia="黑体"/>
          <w:bCs/>
          <w:color w:val="000000"/>
          <w:kern w:val="44"/>
          <w:sz w:val="36"/>
          <w:szCs w:val="36"/>
        </w:rPr>
      </w:pPr>
      <w:bookmarkStart w:id="42" w:name="_Toc30076"/>
      <w:r>
        <w:rPr>
          <w:rFonts w:eastAsia="黑体"/>
          <w:bCs/>
          <w:color w:val="000000"/>
          <w:kern w:val="44"/>
          <w:sz w:val="36"/>
          <w:szCs w:val="36"/>
        </w:rPr>
        <w:t>第三章 主要产业与区域布局</w:t>
      </w:r>
      <w:bookmarkEnd w:id="41"/>
      <w:bookmarkEnd w:id="42"/>
    </w:p>
    <w:p w14:paraId="321C8B67">
      <w:pPr>
        <w:spacing w:line="540" w:lineRule="atLeast"/>
        <w:ind w:firstLine="640"/>
        <w:rPr>
          <w:color w:val="000000"/>
          <w:kern w:val="0"/>
        </w:rPr>
      </w:pPr>
    </w:p>
    <w:p w14:paraId="5C85E51A">
      <w:pPr>
        <w:spacing w:line="540" w:lineRule="atLeast"/>
        <w:ind w:firstLine="640"/>
        <w:rPr>
          <w:color w:val="000000"/>
          <w:kern w:val="0"/>
        </w:rPr>
      </w:pPr>
      <w:r>
        <w:rPr>
          <w:color w:val="000000"/>
          <w:kern w:val="0"/>
        </w:rPr>
        <w:t>围绕“十四五”种植业发展的新任务和新目标，立足区域资源禀赋和产业发展基础，聚焦十二类主要产业和四大区域，进一步优化产业结构和区域布局，促进种植业高质量发展。</w:t>
      </w:r>
    </w:p>
    <w:p w14:paraId="7E293D30">
      <w:pPr>
        <w:spacing w:line="540" w:lineRule="atLeast"/>
        <w:ind w:firstLine="0" w:firstLineChars="0"/>
        <w:jc w:val="center"/>
        <w:outlineLvl w:val="1"/>
        <w:rPr>
          <w:rFonts w:eastAsia="黑体"/>
          <w:bCs/>
          <w:color w:val="000000"/>
          <w:kern w:val="0"/>
          <w:szCs w:val="32"/>
        </w:rPr>
      </w:pPr>
      <w:bookmarkStart w:id="43" w:name="_Toc105594897"/>
    </w:p>
    <w:p w14:paraId="1ADF21B4">
      <w:pPr>
        <w:spacing w:line="540" w:lineRule="atLeast"/>
        <w:ind w:firstLine="0" w:firstLineChars="0"/>
        <w:jc w:val="center"/>
        <w:outlineLvl w:val="1"/>
        <w:rPr>
          <w:rFonts w:hint="eastAsia" w:eastAsia="黑体"/>
          <w:bCs/>
          <w:color w:val="000000"/>
          <w:kern w:val="0"/>
          <w:szCs w:val="32"/>
        </w:rPr>
      </w:pPr>
      <w:bookmarkStart w:id="44" w:name="_Toc22144"/>
      <w:r>
        <w:rPr>
          <w:rFonts w:eastAsia="黑体"/>
          <w:bCs/>
          <w:color w:val="000000"/>
          <w:kern w:val="0"/>
          <w:szCs w:val="32"/>
        </w:rPr>
        <w:t>第一节 主要产业</w:t>
      </w:r>
      <w:bookmarkEnd w:id="43"/>
      <w:bookmarkEnd w:id="44"/>
    </w:p>
    <w:p w14:paraId="62EF363F">
      <w:pPr>
        <w:spacing w:line="540" w:lineRule="atLeast"/>
        <w:ind w:firstLine="0" w:firstLineChars="0"/>
        <w:jc w:val="center"/>
        <w:outlineLvl w:val="1"/>
        <w:rPr>
          <w:rFonts w:eastAsia="黑体"/>
          <w:bCs/>
          <w:color w:val="000000"/>
          <w:kern w:val="0"/>
          <w:szCs w:val="32"/>
        </w:rPr>
      </w:pPr>
    </w:p>
    <w:p w14:paraId="7FC2BF53">
      <w:pPr>
        <w:spacing w:line="540" w:lineRule="atLeast"/>
        <w:ind w:firstLine="643"/>
        <w:outlineLvl w:val="2"/>
        <w:rPr>
          <w:rFonts w:eastAsia="楷体_GB2312"/>
          <w:b/>
          <w:bCs/>
          <w:color w:val="000000"/>
          <w:kern w:val="0"/>
          <w:szCs w:val="32"/>
        </w:rPr>
      </w:pPr>
      <w:bookmarkStart w:id="45" w:name="_Toc11965"/>
      <w:bookmarkStart w:id="46" w:name="_Toc105594898"/>
      <w:r>
        <w:rPr>
          <w:rFonts w:eastAsia="楷体_GB2312"/>
          <w:b/>
          <w:bCs/>
          <w:color w:val="000000"/>
          <w:kern w:val="0"/>
          <w:szCs w:val="32"/>
        </w:rPr>
        <w:t>（一）粮食</w:t>
      </w:r>
      <w:bookmarkEnd w:id="45"/>
      <w:bookmarkEnd w:id="46"/>
    </w:p>
    <w:p w14:paraId="05030826">
      <w:pPr>
        <w:spacing w:line="540" w:lineRule="atLeast"/>
        <w:ind w:firstLine="640"/>
        <w:rPr>
          <w:color w:val="000000"/>
          <w:kern w:val="0"/>
        </w:rPr>
      </w:pPr>
      <w:r>
        <w:rPr>
          <w:color w:val="000000"/>
          <w:kern w:val="0"/>
        </w:rPr>
        <w:t>扛稳粮食安全重任，深入推进“藏粮于地、藏粮于技”战略，多举措稳定粮食播种面积，特别是双季稻播种面积，适度发展再生稻。全力制止耕地抛荒，确保粮食生产面积、粮食产能只增不减。到2025年，全省粮食播种面积达到7150万亩、粮食产量达3075万吨以上。</w:t>
      </w:r>
    </w:p>
    <w:p w14:paraId="6F761D83">
      <w:pPr>
        <w:spacing w:line="540" w:lineRule="atLeast"/>
        <w:ind w:firstLine="643"/>
        <w:rPr>
          <w:b/>
          <w:color w:val="000000"/>
        </w:rPr>
      </w:pPr>
      <w:r>
        <w:rPr>
          <w:b/>
          <w:color w:val="000000"/>
        </w:rPr>
        <w:t>1.稻谷</w:t>
      </w:r>
    </w:p>
    <w:p w14:paraId="49BB8C93">
      <w:pPr>
        <w:spacing w:line="550" w:lineRule="atLeast"/>
        <w:ind w:firstLine="640"/>
        <w:rPr>
          <w:color w:val="000000"/>
          <w:kern w:val="0"/>
        </w:rPr>
      </w:pPr>
      <w:r>
        <w:rPr>
          <w:color w:val="000000"/>
          <w:kern w:val="0"/>
        </w:rPr>
        <w:t>稻谷是湖南省的第一大粮食作物，水稻常年播种面积占粮食作物播种面积的83.5%以上，2020年湖南省水稻播种面积占全国水稻播种面积的13.3%，居全国第1位；水稻产量占全国水稻产量的12.5%，居全国第2位。“十三五”期间湖南省水稻生产总体形势向好，水稻播种面积略有减少，水稻单产和总产波动上升，水稻播种面积稳定在6000万亩左右，水稻产量在2600万吨以上。</w:t>
      </w:r>
    </w:p>
    <w:p w14:paraId="003CAA2D">
      <w:pPr>
        <w:spacing w:line="550" w:lineRule="atLeast"/>
        <w:ind w:firstLine="640"/>
        <w:rPr>
          <w:color w:val="000000"/>
          <w:kern w:val="0"/>
        </w:rPr>
      </w:pPr>
      <w:r>
        <w:rPr>
          <w:color w:val="000000"/>
          <w:kern w:val="0"/>
        </w:rPr>
        <w:t>“十四五”期间，稳定水稻播种面积、提高单位产量、优化品种结构、改善稻米品质</w:t>
      </w:r>
      <w:r>
        <w:rPr>
          <w:color w:val="000000"/>
        </w:rPr>
        <w:t>。</w:t>
      </w:r>
      <w:r>
        <w:rPr>
          <w:color w:val="000000"/>
          <w:kern w:val="0"/>
        </w:rPr>
        <w:t>到2025年，全省水稻播种面积稳定在5800万亩左右，水稻产量达到2700万吨，其中早稻稳定在1800万亩左右，专用型早稻、高档优质中晚稻分别达到750万亩、1800万亩。大力推广节水、节肥、节药等新技术，普及推广测土配方施肥和机械栽插同步侧深施肥，大力开展病虫害绿色防控和专业化统防统治。积极发展适度规模经营，加快培育一批粮食生产和农机作业社会化服务组织，推进“代育秧、代插秧、代收割”等“十代”托管服务，着力提升薄弱地区和薄弱环节机械化水平，推广轮作、立体种养等生产模式，提高单位面积耕地的产出率。</w:t>
      </w:r>
    </w:p>
    <w:p w14:paraId="6D05727E">
      <w:pPr>
        <w:spacing w:line="550" w:lineRule="atLeast"/>
        <w:ind w:firstLine="643"/>
        <w:rPr>
          <w:color w:val="000000"/>
        </w:rPr>
      </w:pPr>
      <w:r>
        <w:rPr>
          <w:b/>
          <w:color w:val="000000"/>
        </w:rPr>
        <w:t>湘北洞庭湖双季稻核心产区。</w:t>
      </w:r>
      <w:r>
        <w:rPr>
          <w:color w:val="000000"/>
        </w:rPr>
        <w:t>在平湖双季稻区着力推广</w:t>
      </w:r>
      <w:r>
        <w:rPr>
          <w:color w:val="000000"/>
          <w:kern w:val="0"/>
        </w:rPr>
        <w:t>“早专晚优”双季稻生产，丘陵盆地重点发展稻油轮作。早稻选育推广早熟、加工专用高产品种，晚稻选育推广早熟、优质高产品种，改善品质结构。加大双季稻工厂化集中育秧和以机插、机抛为主体的稻谷全程机械生产技术应用力度。集成推广以“早专晚优”为</w:t>
      </w:r>
      <w:bookmarkStart w:id="137" w:name="_GoBack"/>
      <w:r>
        <w:rPr>
          <w:color w:val="000000"/>
          <w:kern w:val="0"/>
        </w:rPr>
        <w:t>核心</w:t>
      </w:r>
      <w:bookmarkEnd w:id="137"/>
      <w:r>
        <w:rPr>
          <w:color w:val="000000"/>
          <w:kern w:val="0"/>
        </w:rPr>
        <w:t>的早中熟品种选配、茬口衔接、耕作培肥、地力提升、抗逆调控等配套生产技术。</w:t>
      </w:r>
      <w:r>
        <w:rPr>
          <w:b/>
          <w:color w:val="000000"/>
          <w:kern w:val="0"/>
        </w:rPr>
        <w:t>湘中湘南双季稻和单季稻并重区。</w:t>
      </w:r>
      <w:r>
        <w:rPr>
          <w:color w:val="000000"/>
          <w:kern w:val="0"/>
        </w:rPr>
        <w:t>在传统双季稻优势区重点推广双季稻生产，一季稻区发展稻油轮作，因地制宜发展再生稻生产。推广以“早专晚优”为核心的中熟品种选配、茬口衔接、冬作培肥、土壤治理、抗逆调控等配套生产技术，提高工厂化集中育秧普及率，以及以机插、机抛为主体的稻谷全程机械生产技术，构建一年二熟或三熟制度。</w:t>
      </w:r>
      <w:r>
        <w:rPr>
          <w:b/>
          <w:color w:val="000000"/>
          <w:kern w:val="0"/>
        </w:rPr>
        <w:t>大湘西中稻生产区域。</w:t>
      </w:r>
      <w:r>
        <w:rPr>
          <w:color w:val="000000"/>
          <w:kern w:val="0"/>
        </w:rPr>
        <w:t>重点开展高产优质单季水稻生产，合理推广再生稻生产。建设高标准农田，建立稻田生态种养功能区，推广中晚熟高产、优质、抗病品种，发展稻田生态种养、稻油轮作。</w:t>
      </w:r>
    </w:p>
    <w:p w14:paraId="75BF48C5">
      <w:pPr>
        <w:spacing w:line="550" w:lineRule="atLeast"/>
        <w:ind w:firstLine="643"/>
        <w:rPr>
          <w:b/>
          <w:color w:val="000000"/>
        </w:rPr>
      </w:pPr>
      <w:r>
        <w:rPr>
          <w:b/>
          <w:color w:val="000000"/>
        </w:rPr>
        <w:t>2.玉米</w:t>
      </w:r>
    </w:p>
    <w:p w14:paraId="1171A4E2">
      <w:pPr>
        <w:spacing w:line="550" w:lineRule="atLeast"/>
        <w:ind w:firstLine="640"/>
        <w:rPr>
          <w:color w:val="000000"/>
          <w:kern w:val="0"/>
        </w:rPr>
      </w:pPr>
      <w:r>
        <w:rPr>
          <w:color w:val="000000"/>
          <w:kern w:val="0"/>
        </w:rPr>
        <w:t>玉米是湖南省的第二大粮食作物，播种面积和产量分别占粮食作物播种面积和产量的8.1%、7.4%。2020年，玉米播种面积576.6万亩，总产量223.3万吨。</w:t>
      </w:r>
    </w:p>
    <w:p w14:paraId="38511262">
      <w:pPr>
        <w:spacing w:line="550" w:lineRule="atLeast"/>
        <w:ind w:firstLine="640"/>
        <w:rPr>
          <w:color w:val="000000"/>
          <w:kern w:val="0"/>
        </w:rPr>
      </w:pPr>
      <w:r>
        <w:rPr>
          <w:color w:val="000000"/>
          <w:kern w:val="0"/>
        </w:rPr>
        <w:t>“十四五”期间，适度扩面，提高单产，优化种植制度。着力推进区域化布局、标准化生产，重点推广大豆玉米带状复合种植技术，间套作玉米选用株型紧凑、适宜密植和机械化收获的高产品种，通过品种搭配、宽窄行带状配置、缩株保密等关键技术实现玉米大豆协同高产。到2025年，全省玉米播种面积达到600万亩左右，产量达到235万吨左右。</w:t>
      </w:r>
    </w:p>
    <w:p w14:paraId="6029F85B">
      <w:pPr>
        <w:spacing w:line="550" w:lineRule="atLeast"/>
        <w:ind w:firstLine="643"/>
        <w:rPr>
          <w:color w:val="000000"/>
          <w:kern w:val="0"/>
        </w:rPr>
      </w:pPr>
      <w:r>
        <w:rPr>
          <w:b/>
          <w:color w:val="000000"/>
          <w:kern w:val="0"/>
        </w:rPr>
        <w:t>湘西山地春玉米主产区。</w:t>
      </w:r>
      <w:r>
        <w:rPr>
          <w:color w:val="000000"/>
          <w:kern w:val="0"/>
        </w:rPr>
        <w:t>适当扩大面积，提高单产，优化种植制度。选育和推广耐瘠、耐旱、抗病虫的中熟偏迟优质高产品种。集成应用保护性耕作、合理增密、种肥同播等关键技术。因地制宜，合理选择并推广春玉米带状间作春大豆、春玉米带状套作夏大豆、玉米大豆间作混合青贮等模式。推广玉米杂粮合理轮作，构建玉米与甘薯、马铃薯间作套种。</w:t>
      </w:r>
      <w:r>
        <w:rPr>
          <w:b/>
          <w:color w:val="000000"/>
          <w:kern w:val="0"/>
        </w:rPr>
        <w:t>湘中、湘南丘陵春秋玉米产区。</w:t>
      </w:r>
      <w:r>
        <w:rPr>
          <w:color w:val="000000"/>
          <w:kern w:val="0"/>
        </w:rPr>
        <w:t>稳定面积，主攻单产，优化种植制度。选育和推广抗旱、耐密植、抗倒伏、抗病虫的中早熟高产品种。重点推广大豆玉米带状复合种植模式，集成应用单粒精播、合理增密、种肥同播、长效肥施用等关键技术。</w:t>
      </w:r>
      <w:r>
        <w:rPr>
          <w:b/>
          <w:color w:val="000000"/>
          <w:kern w:val="0"/>
        </w:rPr>
        <w:t>湘北洞庭湖平丘山春夏玉米产区。</w:t>
      </w:r>
      <w:r>
        <w:rPr>
          <w:color w:val="000000"/>
          <w:kern w:val="0"/>
        </w:rPr>
        <w:t>稳定面积，提高单产，推进籽粒机收。选育和推广抗病抗倒、耐密、高产、宜机收籽粒玉米品种，因地制宜发展优质饲用玉米和优质高产鲜食玉米。重点推广大豆玉米带状复合种植模式。集成应用精量播种、增施有机肥、玉米宽窄行、病虫害绿色防控、适时晚收等关键技术。</w:t>
      </w:r>
    </w:p>
    <w:p w14:paraId="35DA7F81">
      <w:pPr>
        <w:spacing w:line="550" w:lineRule="atLeast"/>
        <w:ind w:firstLine="643"/>
        <w:rPr>
          <w:b/>
          <w:color w:val="000000"/>
        </w:rPr>
      </w:pPr>
      <w:r>
        <w:rPr>
          <w:b/>
          <w:color w:val="000000"/>
        </w:rPr>
        <w:t>3.大豆</w:t>
      </w:r>
    </w:p>
    <w:p w14:paraId="6D6D77D1">
      <w:pPr>
        <w:spacing w:line="550" w:lineRule="atLeast"/>
        <w:ind w:firstLine="640"/>
        <w:rPr>
          <w:color w:val="000000"/>
          <w:kern w:val="0"/>
        </w:rPr>
      </w:pPr>
      <w:r>
        <w:rPr>
          <w:color w:val="000000"/>
          <w:kern w:val="0"/>
        </w:rPr>
        <w:t>大豆是重要粮食作物之一，2020年，全省大豆播种面积172.</w:t>
      </w:r>
      <w:r>
        <w:rPr>
          <w:rFonts w:hint="eastAsia"/>
          <w:color w:val="000000"/>
          <w:kern w:val="0"/>
        </w:rPr>
        <w:t>0</w:t>
      </w:r>
      <w:r>
        <w:rPr>
          <w:color w:val="000000"/>
          <w:kern w:val="0"/>
        </w:rPr>
        <w:t>万亩，总产量31.2万吨。</w:t>
      </w:r>
    </w:p>
    <w:p w14:paraId="561FA838">
      <w:pPr>
        <w:spacing w:line="550" w:lineRule="atLeast"/>
        <w:ind w:firstLine="640"/>
        <w:rPr>
          <w:color w:val="000000"/>
          <w:kern w:val="0"/>
        </w:rPr>
      </w:pPr>
      <w:r>
        <w:rPr>
          <w:color w:val="000000"/>
          <w:kern w:val="0"/>
        </w:rPr>
        <w:t>“十四五”期间，挖掘潜力增面积，稳定食用增加油用，主攻单产提产能。全省间作春大豆选用耐荫抗倒、宜机收高产品种，套作夏大豆选用生育期长、耐荫、宜机收高产品种。通过品种搭配、宽窄行带状配置、缩株保密等关键技术，实现大豆玉米协同高产。重点推广大豆玉米带状复合种植，适度发展幼龄果园间作套种大豆等模式。到2025年，全省大豆播种面积达到250万亩，产量达到45万吨，其中大豆玉米带状复合种植面积150万亩，幼龄果园间作套种大豆50万亩；利用存量抛荒耕地、严格管控耕地发展“豆+油（菜、瓜等）”高效模式20万亩。</w:t>
      </w:r>
    </w:p>
    <w:p w14:paraId="743C2A54">
      <w:pPr>
        <w:spacing w:line="550" w:lineRule="atLeast"/>
        <w:ind w:firstLine="643"/>
        <w:rPr>
          <w:color w:val="000000"/>
          <w:kern w:val="0"/>
        </w:rPr>
      </w:pPr>
      <w:r>
        <w:rPr>
          <w:b/>
          <w:color w:val="000000"/>
          <w:kern w:val="0"/>
        </w:rPr>
        <w:t>湘北洞庭湖春夏大豆主产区。</w:t>
      </w:r>
      <w:r>
        <w:rPr>
          <w:color w:val="000000"/>
          <w:kern w:val="0"/>
        </w:rPr>
        <w:t>稳定春大豆面积，构建“夏大豆+油菜”模式并扩大种植面积，推广宜机收、高产、早熟、优质大豆品种。合理选择并推广春玉米带状间作春大豆、春玉米带状套作夏大豆、玉米大豆间作混合青贮等模式，推进全程机械化应用，集成应用合理增密、精量播种、低损机收等关键技术。</w:t>
      </w:r>
      <w:r>
        <w:rPr>
          <w:b/>
          <w:color w:val="000000"/>
          <w:kern w:val="0"/>
        </w:rPr>
        <w:t>湘中湘南春大豆产区。</w:t>
      </w:r>
      <w:r>
        <w:rPr>
          <w:color w:val="000000"/>
          <w:kern w:val="0"/>
        </w:rPr>
        <w:t>推广早中熟、抗旱耐瘠、高产优质大豆品种，构建春大豆与蔬菜、玉米、红薯两熟轮作模式，适度扩大春玉米间作春大豆、早熟春大豆+晚稻、早熟夏大豆+油菜种植面积，发展一定规模的菜用大豆。集成应用合理增密、精量播种、低损机收等关键技术。</w:t>
      </w:r>
      <w:r>
        <w:rPr>
          <w:b/>
          <w:color w:val="000000"/>
          <w:kern w:val="0"/>
        </w:rPr>
        <w:t>湘西春夏大豆产区。</w:t>
      </w:r>
      <w:r>
        <w:rPr>
          <w:color w:val="000000"/>
          <w:kern w:val="0"/>
        </w:rPr>
        <w:t>推广中早熟、高产、优质春大豆品种以及适宜间套作种植的耐荫、抗倒伏、高产夏大豆品种，构建春大豆+蔬菜、春玉米套作夏大豆、大豆与幼龄果园茶园间作等种植模式。实行种子包衣或药剂拌种等，做好大豆夜蛾、豆荚螟、大豆孢囊线虫的绿色防控。</w:t>
      </w:r>
    </w:p>
    <w:tbl>
      <w:tblPr>
        <w:tblStyle w:val="15"/>
        <w:tblW w:w="89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0"/>
      </w:tblGrid>
      <w:tr w14:paraId="3B565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89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385C2C1">
            <w:pPr>
              <w:adjustRightInd/>
              <w:spacing w:line="480" w:lineRule="exact"/>
              <w:ind w:firstLine="0" w:firstLineChars="0"/>
              <w:jc w:val="center"/>
              <w:textAlignment w:val="center"/>
              <w:rPr>
                <w:rFonts w:eastAsia="宋体"/>
                <w:b/>
                <w:bCs/>
                <w:color w:val="000000"/>
                <w:kern w:val="0"/>
                <w:sz w:val="24"/>
              </w:rPr>
            </w:pPr>
            <w:r>
              <w:rPr>
                <w:rFonts w:eastAsia="宋体"/>
                <w:b/>
                <w:bCs/>
                <w:color w:val="000000"/>
                <w:kern w:val="0"/>
                <w:sz w:val="24"/>
              </w:rPr>
              <w:t>专栏2</w:t>
            </w:r>
            <w:r>
              <w:rPr>
                <w:rFonts w:hint="eastAsia" w:eastAsia="宋体"/>
                <w:b/>
                <w:bCs/>
                <w:color w:val="000000"/>
                <w:kern w:val="0"/>
                <w:sz w:val="24"/>
              </w:rPr>
              <w:t xml:space="preserve"> </w:t>
            </w:r>
            <w:r>
              <w:rPr>
                <w:rFonts w:eastAsia="宋体"/>
                <w:b/>
                <w:bCs/>
                <w:color w:val="000000"/>
                <w:kern w:val="0"/>
                <w:sz w:val="24"/>
              </w:rPr>
              <w:t>其他粮食作物</w:t>
            </w:r>
          </w:p>
        </w:tc>
      </w:tr>
      <w:tr w14:paraId="1A414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9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95FA5FB">
            <w:pPr>
              <w:spacing w:line="480" w:lineRule="exact"/>
              <w:ind w:firstLine="482"/>
              <w:textAlignment w:val="center"/>
              <w:rPr>
                <w:rFonts w:eastAsia="宋体"/>
                <w:color w:val="000000"/>
                <w:kern w:val="0"/>
                <w:sz w:val="24"/>
              </w:rPr>
            </w:pPr>
            <w:r>
              <w:rPr>
                <w:rFonts w:eastAsia="宋体"/>
                <w:b/>
                <w:color w:val="000000"/>
                <w:kern w:val="0"/>
                <w:sz w:val="24"/>
              </w:rPr>
              <w:t>1.马铃薯。</w:t>
            </w:r>
            <w:r>
              <w:rPr>
                <w:rFonts w:eastAsia="宋体"/>
                <w:color w:val="000000"/>
                <w:kern w:val="0"/>
                <w:sz w:val="24"/>
              </w:rPr>
              <w:t>“十四五”期间稳定面积，多元发展，实出专用，改善品质。到2025年，插种面积稳定在90万亩左右，产量保持在30万吨左右。重点发展错峰上市鲜食菜用商品薯和加工专用型马铃薯，推广高产专用广适新品种、脱毒种薯、覆膜垄作，膜下滴灌、精准水肥管理、病虫害绿色防控和全程机械化等技术。建立“育、繁、推、供”为一体的规范有序供种体系，着力提高马铃薯的产量和品质。重点布局在湘西山区、湘北平原区和湘中南丘陵区等地区。</w:t>
            </w:r>
          </w:p>
          <w:p w14:paraId="3B66A5B1">
            <w:pPr>
              <w:spacing w:line="480" w:lineRule="exact"/>
              <w:ind w:firstLine="482"/>
              <w:textAlignment w:val="center"/>
              <w:rPr>
                <w:rFonts w:eastAsia="宋体"/>
                <w:color w:val="000000"/>
                <w:kern w:val="0"/>
                <w:sz w:val="24"/>
              </w:rPr>
            </w:pPr>
            <w:r>
              <w:rPr>
                <w:rFonts w:eastAsia="宋体"/>
                <w:b/>
                <w:color w:val="000000"/>
                <w:kern w:val="0"/>
                <w:sz w:val="24"/>
              </w:rPr>
              <w:t>2.甘薯。</w:t>
            </w:r>
            <w:r>
              <w:rPr>
                <w:rFonts w:eastAsia="宋体"/>
                <w:color w:val="000000"/>
                <w:kern w:val="0"/>
                <w:sz w:val="24"/>
              </w:rPr>
              <w:t>“十四五”期间重点是稳定面积，改善品质。到2025年，插种面积稳定在190万亩左右，产量保持在70万吨左右。重点发展优质食用型、鲜食水果型、高淀粉加工型等甘薯品种。重点布局在湘中丘陵区、湘南丘陵区、湘西山区等地区。</w:t>
            </w:r>
          </w:p>
          <w:p w14:paraId="61535AF1">
            <w:pPr>
              <w:spacing w:line="480" w:lineRule="exact"/>
              <w:ind w:firstLine="482"/>
              <w:textAlignment w:val="center"/>
              <w:rPr>
                <w:rFonts w:eastAsia="宋体"/>
                <w:color w:val="000000"/>
                <w:kern w:val="0"/>
                <w:sz w:val="24"/>
              </w:rPr>
            </w:pPr>
            <w:r>
              <w:rPr>
                <w:rFonts w:eastAsia="宋体"/>
                <w:b/>
                <w:color w:val="000000"/>
                <w:kern w:val="0"/>
                <w:sz w:val="24"/>
              </w:rPr>
              <w:t>3.荞麦。</w:t>
            </w:r>
            <w:r>
              <w:rPr>
                <w:rFonts w:eastAsia="宋体"/>
                <w:color w:val="000000"/>
                <w:kern w:val="0"/>
                <w:sz w:val="24"/>
              </w:rPr>
              <w:t>“十四五”期间要扩大面积，提高产量。到2025年，播种面积发展到4万亩左右，产量保持在0.8万吨左右。重点培育和推广红花、易落粒、易脱粒等高产优质品种，推广“猕猴桃+苦荞、油茶+苦荞、黄金茶+甜荞”套种及“烟+荞”轮作等多种种植模式。重点布局在湘西丘陵山地。</w:t>
            </w:r>
          </w:p>
          <w:p w14:paraId="700EB6D4">
            <w:pPr>
              <w:spacing w:line="480" w:lineRule="exact"/>
              <w:ind w:firstLine="482"/>
              <w:textAlignment w:val="center"/>
              <w:rPr>
                <w:rFonts w:eastAsia="宋体"/>
                <w:color w:val="000000"/>
                <w:kern w:val="0"/>
                <w:sz w:val="24"/>
              </w:rPr>
            </w:pPr>
            <w:r>
              <w:rPr>
                <w:rFonts w:eastAsia="宋体"/>
                <w:b/>
                <w:color w:val="000000"/>
                <w:kern w:val="0"/>
                <w:sz w:val="24"/>
              </w:rPr>
              <w:t>4.其他豆类。</w:t>
            </w:r>
            <w:r>
              <w:rPr>
                <w:rFonts w:eastAsia="宋体"/>
                <w:color w:val="000000"/>
                <w:kern w:val="0"/>
                <w:sz w:val="24"/>
              </w:rPr>
              <w:t>主要包括绿豆、红豆、豌豆、蚕豆、芸豆等豆类。“十四五”期间重点在稳定面积，多元发展，改善品质。到2025年，播种面积稳定在60万亩左右，产量9万吨左右。其他豆类应采取引种与育种相结合，对名优农家品种进行提纯复壮，建立良种供应体系，提高良种覆盖率。重点布局在湘西北丘陵山地、湘中南丘陵区、湘东丘陵等地区。</w:t>
            </w:r>
          </w:p>
        </w:tc>
      </w:tr>
    </w:tbl>
    <w:p w14:paraId="7D58F055">
      <w:pPr>
        <w:spacing w:line="550" w:lineRule="atLeast"/>
        <w:ind w:firstLine="643"/>
        <w:outlineLvl w:val="2"/>
        <w:rPr>
          <w:rFonts w:eastAsia="楷体_GB2312"/>
          <w:b/>
          <w:bCs/>
          <w:color w:val="000000"/>
          <w:kern w:val="0"/>
          <w:szCs w:val="32"/>
        </w:rPr>
      </w:pPr>
      <w:bookmarkStart w:id="47" w:name="_Toc32282"/>
      <w:bookmarkStart w:id="48" w:name="_Toc105594899"/>
      <w:r>
        <w:rPr>
          <w:rFonts w:eastAsia="楷体_GB2312"/>
          <w:b/>
          <w:bCs/>
          <w:color w:val="000000"/>
          <w:kern w:val="0"/>
          <w:szCs w:val="32"/>
        </w:rPr>
        <w:t>（二）油料</w:t>
      </w:r>
      <w:bookmarkEnd w:id="47"/>
      <w:bookmarkEnd w:id="48"/>
    </w:p>
    <w:p w14:paraId="4F241CD8">
      <w:pPr>
        <w:spacing w:line="550" w:lineRule="atLeast"/>
        <w:ind w:firstLine="640"/>
        <w:rPr>
          <w:color w:val="000000"/>
        </w:rPr>
      </w:pPr>
      <w:r>
        <w:rPr>
          <w:color w:val="000000"/>
        </w:rPr>
        <w:t>2020年，全省油料作物播种面积2180.3万亩，产量260.7万吨。随着人民生活水平提高和消费转型升级，对油料的需求呈持续增长趋势。</w:t>
      </w:r>
    </w:p>
    <w:p w14:paraId="0E760BD2">
      <w:pPr>
        <w:spacing w:line="550" w:lineRule="atLeast"/>
        <w:ind w:firstLine="640"/>
        <w:rPr>
          <w:color w:val="000000"/>
        </w:rPr>
      </w:pPr>
      <w:r>
        <w:rPr>
          <w:color w:val="000000"/>
        </w:rPr>
        <w:t>“十四五”期间，聚焦重点、多油并举，深挖潜力、扩大面积，依靠科技、主攻单产，千方百计提升油料产能。到2025年，油料作物播种面积达到2500万亩左右，其中油菜面积2280万亩左右，花生面积180万亩左右。</w:t>
      </w:r>
    </w:p>
    <w:p w14:paraId="29A07DB1">
      <w:pPr>
        <w:spacing w:line="550" w:lineRule="atLeast"/>
        <w:ind w:firstLine="643"/>
        <w:rPr>
          <w:b/>
          <w:color w:val="000000"/>
        </w:rPr>
      </w:pPr>
      <w:r>
        <w:rPr>
          <w:b/>
          <w:color w:val="000000"/>
        </w:rPr>
        <w:t>1.油菜</w:t>
      </w:r>
    </w:p>
    <w:p w14:paraId="71E2119F">
      <w:pPr>
        <w:spacing w:line="550" w:lineRule="atLeast"/>
        <w:ind w:firstLine="640"/>
        <w:rPr>
          <w:color w:val="000000"/>
        </w:rPr>
      </w:pPr>
      <w:r>
        <w:rPr>
          <w:color w:val="000000"/>
        </w:rPr>
        <w:t>湖南是全国油菜的主产区和优势区，多年来播种面积居全国第1位，产量居全国第3位。2020年，全省油菜播种面积1989.8万亩，占全国总播种面积的19.6%；油菜籽产量228.7万吨，占全国产量的16.3%。</w:t>
      </w:r>
    </w:p>
    <w:p w14:paraId="1D5B6026">
      <w:pPr>
        <w:spacing w:line="550" w:lineRule="atLeast"/>
        <w:ind w:firstLine="640"/>
        <w:rPr>
          <w:color w:val="000000"/>
        </w:rPr>
      </w:pPr>
      <w:r>
        <w:rPr>
          <w:color w:val="000000"/>
        </w:rPr>
        <w:t>“十四五”期间，继续坚持“北稳西进南扩”战略，优化油菜种植布局，加快推进全程机械化作业，持续打造“湖南菜籽油”省级区域公用品牌，统筹推进油菜产业与休闲农业、乡村旅游协调发展。到2025年，全省油菜播种面积达到2280万亩以上，油菜籽产量达到275万吨，“三高两低”品种覆盖率达到85%，油菜籽单产提高到120千克/亩，油菜耕种收综合机械化率达到74%。</w:t>
      </w:r>
      <w:r>
        <w:rPr>
          <w:b/>
          <w:color w:val="000000"/>
        </w:rPr>
        <w:t>提升种业创新能力</w:t>
      </w:r>
      <w:r>
        <w:rPr>
          <w:color w:val="000000"/>
        </w:rPr>
        <w:t>。推动油菜“三高两低”新品种选育，实现单产和品质稳步提升，抗逆性显著增强。</w:t>
      </w:r>
      <w:r>
        <w:rPr>
          <w:b/>
          <w:bCs/>
          <w:color w:val="000000"/>
        </w:rPr>
        <w:t>扩大油菜籽收获面积。</w:t>
      </w:r>
      <w:r>
        <w:rPr>
          <w:color w:val="000000"/>
        </w:rPr>
        <w:t>划好建好管好用好油菜生产保护区，确保1500万亩油菜生产保护区全部种上油菜。依托农业农村部水旱轮作试点项目，重点推广“一季稻+油菜”、“一季稻+再生稻+油菜”生产模式，在不影响粮食生产的条件下，充分利用冬闲田扩种油菜</w:t>
      </w:r>
      <w:r>
        <w:rPr>
          <w:bCs/>
          <w:color w:val="000000"/>
        </w:rPr>
        <w:t>。</w:t>
      </w:r>
      <w:r>
        <w:rPr>
          <w:b/>
          <w:color w:val="000000"/>
        </w:rPr>
        <w:t>集成推广高效技术。</w:t>
      </w:r>
      <w:r>
        <w:rPr>
          <w:color w:val="000000"/>
        </w:rPr>
        <w:t>推广油菜轻简化栽培技术，推进油菜生产全程机械化、标准化、生产管理集成化，充分应用低损机收的关键技术。开展“一促四防”(促进生长结实，防治菌核病、防花而不实、防后期早衰、防“老鼠尾巴”)。</w:t>
      </w:r>
      <w:r>
        <w:rPr>
          <w:b/>
          <w:color w:val="000000"/>
        </w:rPr>
        <w:t>开发多种功能</w:t>
      </w:r>
      <w:r>
        <w:rPr>
          <w:color w:val="000000"/>
        </w:rPr>
        <w:t>。加快油菜“菜用”“花用”等多用途开发。加大“菜、油两用”油菜品种的推广力度，增加油菜种植收益，办好湖南油菜花节，发展乡村旅游。推广肥用油菜品种，开发油菜肥用新途径。</w:t>
      </w:r>
    </w:p>
    <w:p w14:paraId="7C5A3556">
      <w:pPr>
        <w:spacing w:line="550" w:lineRule="atLeast"/>
        <w:ind w:firstLine="643"/>
        <w:rPr>
          <w:color w:val="000000"/>
        </w:rPr>
      </w:pPr>
      <w:r>
        <w:rPr>
          <w:b/>
          <w:color w:val="000000"/>
        </w:rPr>
        <w:t>湘北洞庭湖产区。</w:t>
      </w:r>
      <w:r>
        <w:rPr>
          <w:color w:val="000000"/>
        </w:rPr>
        <w:t>抓好“一季稻+油菜”、“一季稻+再生稻+油菜”、</w:t>
      </w:r>
      <w:r>
        <w:rPr>
          <w:rFonts w:ascii="Times-Roman" w:hAnsi="Times-Roman" w:cs="Times-Roman"/>
          <w:color w:val="000000"/>
        </w:rPr>
        <w:t>“旱地滩涂或棉田+油菜”</w:t>
      </w:r>
      <w:r>
        <w:rPr>
          <w:color w:val="000000"/>
        </w:rPr>
        <w:t>生产，适度发展“双季稻+菜用、</w:t>
      </w:r>
      <w:r>
        <w:rPr>
          <w:rFonts w:hint="eastAsia"/>
          <w:color w:val="000000"/>
        </w:rPr>
        <w:t>花</w:t>
      </w:r>
      <w:r>
        <w:rPr>
          <w:color w:val="000000"/>
        </w:rPr>
        <w:t>用油菜”。注重农机农技融合、技术装备升级的创新集成与应用，推进油菜生产全程机械化作业。</w:t>
      </w:r>
      <w:r>
        <w:rPr>
          <w:b/>
          <w:color w:val="000000"/>
        </w:rPr>
        <w:t>湘中湘南产区。</w:t>
      </w:r>
      <w:r>
        <w:rPr>
          <w:color w:val="000000"/>
        </w:rPr>
        <w:t>主推稻油轮作，适度发展稻稻油模式。</w:t>
      </w:r>
      <w:r>
        <w:rPr>
          <w:rFonts w:hint="eastAsia"/>
          <w:color w:val="000000"/>
        </w:rPr>
        <w:t>推广</w:t>
      </w:r>
      <w:r>
        <w:rPr>
          <w:color w:val="000000"/>
        </w:rPr>
        <w:t>油菜短生育期品种示范，适度开发菜、油两用，城郊休闲，油菜花海长廊等多种功能，提高油菜生产比较效益。完善基础设施，提升栽培管理水平，着力提高单产，提高耕种收机械化水平，降低生产成本。</w:t>
      </w:r>
      <w:r>
        <w:rPr>
          <w:b/>
          <w:color w:val="000000"/>
        </w:rPr>
        <w:t>大湘西产区。</w:t>
      </w:r>
      <w:r>
        <w:rPr>
          <w:color w:val="000000"/>
        </w:rPr>
        <w:t>抓好“一季稻+油菜”和旱地油菜生产，推广“三高两低”品种，优化品种结构，提高单产。开展小型农机具示范推广。挖掘农旅融合、生态观光、肥用饲用等多功能，提高产业效益。</w:t>
      </w:r>
    </w:p>
    <w:p w14:paraId="17111DBD">
      <w:pPr>
        <w:spacing w:line="550" w:lineRule="atLeast"/>
        <w:ind w:firstLine="643"/>
        <w:rPr>
          <w:b/>
          <w:bCs/>
          <w:color w:val="000000"/>
        </w:rPr>
      </w:pPr>
      <w:r>
        <w:rPr>
          <w:b/>
          <w:color w:val="000000"/>
        </w:rPr>
        <w:t>2.花生</w:t>
      </w:r>
    </w:p>
    <w:p w14:paraId="3AB389C6">
      <w:pPr>
        <w:spacing w:line="550" w:lineRule="atLeast"/>
        <w:ind w:firstLine="640"/>
        <w:rPr>
          <w:rFonts w:eastAsia="仿宋"/>
          <w:color w:val="000000"/>
          <w:szCs w:val="32"/>
        </w:rPr>
      </w:pPr>
      <w:r>
        <w:rPr>
          <w:color w:val="000000"/>
        </w:rPr>
        <w:t>湖南是我国花生主产省份之一，2020年，全省花生种植面积169.1万亩，花生产量29.9万吨，种植面积和产量分别占全省油料面积和产量的7.8%和11.5%。花生相对集中在湘南丘陵红壤、湘中湘东丘陵红壤、湘西丘陵山地红黄壤、湘北低山丘岗红壤及平原冲积土等四大产区</w:t>
      </w:r>
      <w:r>
        <w:rPr>
          <w:rFonts w:eastAsia="仿宋"/>
          <w:color w:val="000000"/>
          <w:szCs w:val="32"/>
        </w:rPr>
        <w:t>。</w:t>
      </w:r>
    </w:p>
    <w:p w14:paraId="1158A4A5">
      <w:pPr>
        <w:spacing w:line="550" w:lineRule="atLeast"/>
        <w:ind w:firstLine="640"/>
        <w:rPr>
          <w:color w:val="000000"/>
          <w:kern w:val="0"/>
        </w:rPr>
      </w:pPr>
      <w:r>
        <w:rPr>
          <w:color w:val="000000"/>
        </w:rPr>
        <w:t>“十四五”期间，优化耕作制度，适度扩大种植面积。重点发展优质食用小籽花生，研发和推广适宜地方特色的专用机具，集成推广农机农艺相融合的配套生产技术。到2025年，全省花生种植面积达到180万亩左右，花生产量达到32万吨左右。</w:t>
      </w:r>
    </w:p>
    <w:p w14:paraId="6F7666CD">
      <w:pPr>
        <w:spacing w:line="550" w:lineRule="atLeast"/>
        <w:ind w:firstLine="643"/>
        <w:rPr>
          <w:color w:val="000000"/>
        </w:rPr>
      </w:pPr>
      <w:r>
        <w:rPr>
          <w:b/>
          <w:color w:val="000000"/>
        </w:rPr>
        <w:t>湘北洞庭湖产区。</w:t>
      </w:r>
      <w:r>
        <w:rPr>
          <w:color w:val="000000"/>
        </w:rPr>
        <w:t>重点抓好环湖丘陵区食用小籽花生，示范推广小型机械；构建“油菜+夏花生”轮作、“春花生+秋芝麻”等种植模式，平原区适当推广机械化“冬油菜+油用大花生”模式。</w:t>
      </w:r>
      <w:r>
        <w:rPr>
          <w:b/>
          <w:color w:val="000000"/>
        </w:rPr>
        <w:t>湘中湘南产区。</w:t>
      </w:r>
      <w:r>
        <w:rPr>
          <w:color w:val="000000"/>
        </w:rPr>
        <w:t>发展食用小籽花生，培育地标产品，扶持龙头企业，主导“春花生+玉米(红薯、大豆、蔬菜、烤烟)”轮作、果园及油茶地间作，南部发展“春花生+晚稻”轮作，推行机械化高垄为重点的机种机收技术。</w:t>
      </w:r>
      <w:r>
        <w:rPr>
          <w:b/>
          <w:color w:val="000000"/>
        </w:rPr>
        <w:t>大湘西产区。</w:t>
      </w:r>
      <w:r>
        <w:rPr>
          <w:color w:val="000000"/>
        </w:rPr>
        <w:t>抓好食用小籽花生品种更新换代，构建玉米间套花生、“冬油菜+夏花生”模式，大力推广绿色高产技术，示范推广小型机械，培育“两品一标”，打造品牌。</w:t>
      </w:r>
    </w:p>
    <w:tbl>
      <w:tblPr>
        <w:tblStyle w:val="15"/>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14:paraId="24E84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9061" w:type="dxa"/>
            <w:noWrap w:val="0"/>
            <w:vAlign w:val="center"/>
          </w:tcPr>
          <w:p w14:paraId="3D180CE5">
            <w:pPr>
              <w:widowControl/>
              <w:adjustRightInd/>
              <w:spacing w:line="600" w:lineRule="exact"/>
              <w:ind w:firstLine="0" w:firstLineChars="0"/>
              <w:jc w:val="center"/>
              <w:textAlignment w:val="center"/>
              <w:rPr>
                <w:rFonts w:eastAsia="宋体"/>
                <w:b/>
                <w:color w:val="000000"/>
                <w:kern w:val="0"/>
                <w:sz w:val="24"/>
              </w:rPr>
            </w:pPr>
            <w:r>
              <w:rPr>
                <w:rFonts w:eastAsia="宋体"/>
                <w:b/>
                <w:color w:val="000000"/>
                <w:kern w:val="0"/>
                <w:sz w:val="24"/>
              </w:rPr>
              <w:t>专栏3</w:t>
            </w:r>
            <w:r>
              <w:rPr>
                <w:rFonts w:hint="eastAsia" w:eastAsia="宋体"/>
                <w:b/>
                <w:color w:val="000000"/>
                <w:kern w:val="0"/>
                <w:sz w:val="24"/>
              </w:rPr>
              <w:t xml:space="preserve"> </w:t>
            </w:r>
            <w:r>
              <w:rPr>
                <w:rFonts w:eastAsia="宋体"/>
                <w:b/>
                <w:color w:val="000000"/>
                <w:kern w:val="0"/>
                <w:sz w:val="24"/>
              </w:rPr>
              <w:t>特色油料作物</w:t>
            </w:r>
          </w:p>
        </w:tc>
      </w:tr>
      <w:tr w14:paraId="7823C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1" w:hRule="atLeast"/>
          <w:jc w:val="center"/>
        </w:trPr>
        <w:tc>
          <w:tcPr>
            <w:tcW w:w="9061" w:type="dxa"/>
            <w:noWrap w:val="0"/>
            <w:vAlign w:val="center"/>
          </w:tcPr>
          <w:p w14:paraId="12199210">
            <w:pPr>
              <w:autoSpaceDE w:val="0"/>
              <w:autoSpaceDN w:val="0"/>
              <w:adjustRightInd/>
              <w:spacing w:line="460" w:lineRule="exact"/>
              <w:ind w:firstLine="482"/>
              <w:textAlignment w:val="center"/>
              <w:rPr>
                <w:rFonts w:eastAsia="宋体"/>
                <w:bCs/>
                <w:color w:val="000000"/>
                <w:kern w:val="0"/>
                <w:sz w:val="24"/>
              </w:rPr>
            </w:pPr>
            <w:r>
              <w:rPr>
                <w:rFonts w:eastAsia="宋体"/>
                <w:b/>
                <w:bCs/>
                <w:color w:val="000000"/>
                <w:kern w:val="0"/>
                <w:sz w:val="24"/>
              </w:rPr>
              <w:t>1.芝麻。</w:t>
            </w:r>
            <w:r>
              <w:rPr>
                <w:rFonts w:eastAsia="宋体"/>
                <w:bCs/>
                <w:color w:val="000000"/>
                <w:kern w:val="0"/>
                <w:sz w:val="24"/>
              </w:rPr>
              <w:t>2020年，种植面积17.3万亩、总产量1.6万吨，分别占全省油料面积和产量的0.8%和0.6%。“十四五”期间，全省种植面积稳定在17万亩以上，产量1.7万吨左右。重点发展夏芝麻，湘北洞庭湖区种植油用白芝麻，湘东南丘陵山地和湘中丘陵山地为黑、白芝麻混种区。</w:t>
            </w:r>
          </w:p>
          <w:p w14:paraId="6E3437EF">
            <w:pPr>
              <w:autoSpaceDE w:val="0"/>
              <w:autoSpaceDN w:val="0"/>
              <w:adjustRightInd/>
              <w:spacing w:line="460" w:lineRule="exact"/>
              <w:ind w:firstLine="482"/>
              <w:textAlignment w:val="center"/>
              <w:rPr>
                <w:rFonts w:eastAsia="宋体"/>
                <w:bCs/>
                <w:color w:val="000000"/>
                <w:kern w:val="0"/>
                <w:sz w:val="24"/>
              </w:rPr>
            </w:pPr>
            <w:r>
              <w:rPr>
                <w:rFonts w:eastAsia="宋体"/>
                <w:b/>
                <w:bCs/>
                <w:color w:val="000000"/>
                <w:kern w:val="0"/>
                <w:sz w:val="24"/>
              </w:rPr>
              <w:t>2.向日葵。</w:t>
            </w:r>
            <w:r>
              <w:rPr>
                <w:rFonts w:eastAsia="宋体"/>
                <w:color w:val="000000"/>
                <w:kern w:val="0"/>
                <w:sz w:val="24"/>
              </w:rPr>
              <w:t>2020年，</w:t>
            </w:r>
            <w:r>
              <w:rPr>
                <w:rFonts w:eastAsia="宋体"/>
                <w:bCs/>
                <w:color w:val="000000"/>
                <w:kern w:val="0"/>
                <w:sz w:val="24"/>
              </w:rPr>
              <w:t>种植面积2.6万亩，总产量0.2万吨，分别占全省油料面积和产量的0.1%和0.1%。“十四五”期间，全省种植面积稳定在2.5万亩以上，产量稳定在0.2万吨以上。重点发展油用向日葵。</w:t>
            </w:r>
          </w:p>
        </w:tc>
      </w:tr>
    </w:tbl>
    <w:p w14:paraId="7A084CAB">
      <w:pPr>
        <w:ind w:firstLine="643"/>
        <w:outlineLvl w:val="2"/>
        <w:rPr>
          <w:rFonts w:eastAsia="楷体_GB2312"/>
          <w:b/>
          <w:bCs/>
          <w:color w:val="000000"/>
          <w:kern w:val="0"/>
          <w:szCs w:val="32"/>
        </w:rPr>
      </w:pPr>
      <w:bookmarkStart w:id="49" w:name="_Toc27129"/>
      <w:bookmarkStart w:id="50" w:name="_Toc105594900"/>
      <w:r>
        <w:rPr>
          <w:rFonts w:eastAsia="楷体_GB2312"/>
          <w:b/>
          <w:bCs/>
          <w:color w:val="000000"/>
          <w:kern w:val="0"/>
          <w:szCs w:val="32"/>
        </w:rPr>
        <w:t>（三）棉花</w:t>
      </w:r>
      <w:bookmarkEnd w:id="49"/>
      <w:bookmarkEnd w:id="50"/>
    </w:p>
    <w:p w14:paraId="7F9A685E">
      <w:pPr>
        <w:ind w:firstLine="640"/>
        <w:rPr>
          <w:color w:val="000000"/>
          <w:kern w:val="0"/>
        </w:rPr>
      </w:pPr>
      <w:r>
        <w:rPr>
          <w:color w:val="000000"/>
          <w:kern w:val="0"/>
        </w:rPr>
        <w:t>湖南棉花生产历史悠久，是全国主产棉省之一，</w:t>
      </w:r>
      <w:r>
        <w:rPr>
          <w:bCs/>
          <w:color w:val="000000"/>
          <w:kern w:val="0"/>
        </w:rPr>
        <w:t>生产规模居全国第5位、长江流域第2位。</w:t>
      </w:r>
      <w:r>
        <w:rPr>
          <w:color w:val="000000"/>
          <w:kern w:val="0"/>
        </w:rPr>
        <w:t>2020年全省棉花播种面积89.0万亩，产量7.9万吨。全省植棉区域主要集中在常德市、岳阳市、益阳市和衡阳市4市的15个县市区，种植面积84.6万亩，占全省面积的95%。</w:t>
      </w:r>
    </w:p>
    <w:p w14:paraId="36B97463">
      <w:pPr>
        <w:ind w:firstLine="640"/>
        <w:rPr>
          <w:color w:val="000000"/>
          <w:kern w:val="0"/>
        </w:rPr>
      </w:pPr>
      <w:r>
        <w:rPr>
          <w:color w:val="000000"/>
          <w:kern w:val="0"/>
        </w:rPr>
        <w:t>“十四五”期间，坚持“两保两提”（保面积产量总体稳定、保棉农收入基本稳定，提高单产、提高品质），以高质量发展为引领，着力建设优势棉区，在严格管控区开展棉花替代种植试点</w:t>
      </w:r>
      <w:r>
        <w:rPr>
          <w:rFonts w:hint="eastAsia"/>
          <w:color w:val="000000"/>
          <w:kern w:val="0"/>
        </w:rPr>
        <w:t>示范</w:t>
      </w:r>
      <w:r>
        <w:rPr>
          <w:color w:val="000000"/>
          <w:kern w:val="0"/>
        </w:rPr>
        <w:t>，调整优化品种结构，推广集中成熟轻简高效栽培技术模式，大力提升棉花品质，提高机械化采收水平和质量。到2025年，全省棉花播种面积稳定在100万亩，产量10万吨左右，高品质棉占比达到45％左右。</w:t>
      </w:r>
    </w:p>
    <w:p w14:paraId="636EE759">
      <w:pPr>
        <w:ind w:firstLine="643"/>
        <w:rPr>
          <w:color w:val="000000"/>
        </w:rPr>
      </w:pPr>
      <w:r>
        <w:rPr>
          <w:b/>
          <w:color w:val="000000"/>
        </w:rPr>
        <w:t>建设优质棉区。</w:t>
      </w:r>
      <w:r>
        <w:rPr>
          <w:color w:val="000000"/>
        </w:rPr>
        <w:t>扩大在环洞庭湖区和衡阳盆地两大优势区域的棉花生产基地，重点抓好华容县、澧县、安乡县、鼎城区、衡阳县、汉寿县、桃源县、君山区、岳阳县、南县、临澧县、衡南县、津市市、沅江市、大通湖区等15个基地县建设，建设好高标准、上规模、产加销链接的优质棉花生产基地。</w:t>
      </w:r>
      <w:r>
        <w:rPr>
          <w:b/>
          <w:color w:val="000000"/>
        </w:rPr>
        <w:t>提高棉花品质。</w:t>
      </w:r>
      <w:r>
        <w:rPr>
          <w:color w:val="000000"/>
        </w:rPr>
        <w:t>加强抗病虫、耐高温、发育快、成铃吐絮集中的早熟品种选育，并加快培育长度、强度和细度相协调的优良品种。提高棉花纤维整体品质，重点推广优质、高产品种，引导和鼓励农民单收、单晒、单藏、单售，保证棉花纤维品质的一致性。</w:t>
      </w:r>
      <w:r>
        <w:rPr>
          <w:b/>
          <w:bCs/>
          <w:color w:val="000000"/>
        </w:rPr>
        <w:t>新扩棉花面积。</w:t>
      </w:r>
      <w:r>
        <w:rPr>
          <w:color w:val="000000"/>
        </w:rPr>
        <w:t>在严格管控区开展棉花替代种植试点，发展面积10万亩。</w:t>
      </w:r>
      <w:r>
        <w:rPr>
          <w:b/>
          <w:bCs/>
          <w:color w:val="000000"/>
        </w:rPr>
        <w:t>提升机械化、社会化服务水平。</w:t>
      </w:r>
      <w:r>
        <w:rPr>
          <w:color w:val="000000"/>
        </w:rPr>
        <w:t>引导种植大户尝试阶段机械化种棉，推行棉花规模化种植。重点探索农机农艺相融合的生产方式，加强技术指导。全力提高棉花社会化服务水平，提升棉花生产效率。</w:t>
      </w:r>
      <w:r>
        <w:rPr>
          <w:b/>
          <w:bCs/>
          <w:color w:val="000000"/>
        </w:rPr>
        <w:t>大力推行轻简化技术。</w:t>
      </w:r>
      <w:r>
        <w:rPr>
          <w:color w:val="000000"/>
        </w:rPr>
        <w:t>推广棉花轻简化栽培等绿色高效栽培技术，集成应用推广单粒精播壮苗技术、免整枝技术、节水灌溉和水肥协同管理技术和基于集中吐絮的群体调控技术。</w:t>
      </w:r>
    </w:p>
    <w:p w14:paraId="2789457B">
      <w:pPr>
        <w:ind w:firstLine="643"/>
        <w:outlineLvl w:val="2"/>
        <w:rPr>
          <w:rFonts w:eastAsia="楷体_GB2312"/>
          <w:b/>
          <w:bCs/>
          <w:color w:val="000000"/>
          <w:kern w:val="0"/>
          <w:szCs w:val="32"/>
        </w:rPr>
      </w:pPr>
      <w:bookmarkStart w:id="51" w:name="_Toc105594901"/>
      <w:bookmarkStart w:id="52" w:name="_Toc12773"/>
      <w:r>
        <w:rPr>
          <w:rFonts w:eastAsia="楷体_GB2312"/>
          <w:b/>
          <w:bCs/>
          <w:color w:val="000000"/>
          <w:kern w:val="0"/>
          <w:szCs w:val="32"/>
        </w:rPr>
        <w:t>（四）蔬菜</w:t>
      </w:r>
      <w:bookmarkEnd w:id="51"/>
      <w:bookmarkEnd w:id="52"/>
    </w:p>
    <w:p w14:paraId="3B71E13F">
      <w:pPr>
        <w:ind w:firstLine="640"/>
        <w:rPr>
          <w:color w:val="000000"/>
        </w:rPr>
      </w:pPr>
      <w:r>
        <w:rPr>
          <w:color w:val="000000"/>
        </w:rPr>
        <w:t>2020年，全省蔬菜播种面积2032.5万亩，</w:t>
      </w:r>
      <w:r>
        <w:rPr>
          <w:bCs/>
          <w:color w:val="000000"/>
        </w:rPr>
        <w:t>居全国第8位；</w:t>
      </w:r>
      <w:r>
        <w:rPr>
          <w:color w:val="000000"/>
        </w:rPr>
        <w:t>产量4110.1万吨，</w:t>
      </w:r>
      <w:r>
        <w:rPr>
          <w:bCs/>
          <w:color w:val="000000"/>
        </w:rPr>
        <w:t>居全国第7位</w:t>
      </w:r>
      <w:r>
        <w:rPr>
          <w:color w:val="000000"/>
        </w:rPr>
        <w:t>。基本形成了“长株潭、环洞庭湖、湘南和大湘西”的区域化布局。全省蔬菜除辣椒、大白菜、豇豆、茄子、南瓜、冬瓜、菜薹等优势作物外，还有传统和地方特色蔬菜作物，主要有食用菌、湘莲、香芋、黄花菜、</w:t>
      </w:r>
      <w:r>
        <w:rPr>
          <w:rFonts w:eastAsia="宋体"/>
          <w:color w:val="000000"/>
        </w:rPr>
        <w:t>藠</w:t>
      </w:r>
      <w:r>
        <w:rPr>
          <w:color w:val="000000"/>
        </w:rPr>
        <w:t>头、芥菜、小黄姜、矮脚白等。</w:t>
      </w:r>
    </w:p>
    <w:p w14:paraId="478A8326">
      <w:pPr>
        <w:ind w:firstLine="640"/>
        <w:rPr>
          <w:color w:val="000000"/>
        </w:rPr>
      </w:pPr>
      <w:r>
        <w:rPr>
          <w:color w:val="000000"/>
        </w:rPr>
        <w:t>“十四五”期间，着力优化区域布局和调整产业结构，推进蔬菜标准化、规模化、专业化生产，提高质量安全水平和经济效益。稳定大中城市近郊及周边蔬菜生产，保证城区蔬菜常年供应平衡。推广良种化、水肥一体化，设施蔬菜春提早、秋延后栽培技术，绿色防控技术等。加强高标准生产基地建设，建设一批智能化温室、大棚等设施。打造“湘江源”</w:t>
      </w:r>
      <w:r>
        <w:rPr>
          <w:rFonts w:hint="eastAsia"/>
          <w:color w:val="000000"/>
        </w:rPr>
        <w:t>蔬菜、</w:t>
      </w:r>
      <w:r>
        <w:rPr>
          <w:color w:val="000000"/>
        </w:rPr>
        <w:t>“湖南辣椒”公用品牌。到2025年，全省蔬菜播种面积稳定在2000万亩以上，产量4000万吨以上。</w:t>
      </w:r>
    </w:p>
    <w:p w14:paraId="66DA1A1F">
      <w:pPr>
        <w:ind w:firstLine="640"/>
        <w:rPr>
          <w:color w:val="000000"/>
        </w:rPr>
      </w:pPr>
      <w:r>
        <w:rPr>
          <w:color w:val="000000"/>
        </w:rPr>
        <w:t>通过不断优化区域布局，使我省蔬菜生产进一步向优势产区集中，形成八大蔬菜基地。</w:t>
      </w:r>
      <w:r>
        <w:rPr>
          <w:b/>
          <w:color w:val="000000"/>
        </w:rPr>
        <w:t>一是市州（县市区）区域中心城镇专业蔬菜基地</w:t>
      </w:r>
      <w:r>
        <w:rPr>
          <w:color w:val="000000"/>
        </w:rPr>
        <w:t>。以四季菜园为主，重点保障城镇蔬菜供应。</w:t>
      </w:r>
      <w:r>
        <w:rPr>
          <w:b/>
          <w:color w:val="000000"/>
        </w:rPr>
        <w:t>二是环洞庭湖区的春夏瓜果类、秋冬叶菜类蔬菜基地</w:t>
      </w:r>
      <w:r>
        <w:rPr>
          <w:color w:val="000000"/>
        </w:rPr>
        <w:t>。我省重要的秋冬叶类蔬菜基地</w:t>
      </w:r>
      <w:r>
        <w:rPr>
          <w:rFonts w:hint="eastAsia"/>
          <w:color w:val="000000"/>
        </w:rPr>
        <w:t>和</w:t>
      </w:r>
      <w:r>
        <w:rPr>
          <w:color w:val="000000"/>
        </w:rPr>
        <w:t>南瓜、冬瓜等瓜类蔬菜</w:t>
      </w:r>
      <w:r>
        <w:rPr>
          <w:rFonts w:hint="eastAsia"/>
          <w:color w:val="000000"/>
        </w:rPr>
        <w:t>基地</w:t>
      </w:r>
      <w:r>
        <w:rPr>
          <w:color w:val="000000"/>
        </w:rPr>
        <w:t>，产品主要作为区域大中城市蔬菜供应的补充，或北上南下供应外省市场。</w:t>
      </w:r>
      <w:r>
        <w:rPr>
          <w:b/>
          <w:color w:val="000000"/>
        </w:rPr>
        <w:t>三是粤港澳</w:t>
      </w:r>
      <w:r>
        <w:rPr>
          <w:rFonts w:hint="eastAsia"/>
          <w:b/>
          <w:color w:val="000000"/>
        </w:rPr>
        <w:t>大湾区</w:t>
      </w:r>
      <w:r>
        <w:rPr>
          <w:b/>
          <w:color w:val="000000"/>
        </w:rPr>
        <w:t>叶类、瓜果</w:t>
      </w:r>
      <w:r>
        <w:rPr>
          <w:rFonts w:hint="eastAsia"/>
          <w:b/>
          <w:color w:val="000000"/>
        </w:rPr>
        <w:t>类</w:t>
      </w:r>
      <w:r>
        <w:rPr>
          <w:b/>
          <w:color w:val="000000"/>
        </w:rPr>
        <w:t>、根茎类蔬菜供应基地</w:t>
      </w:r>
      <w:r>
        <w:rPr>
          <w:color w:val="000000"/>
        </w:rPr>
        <w:t>。以永州市、郴州市、衡阳市等湘南地区为重点，生产粤港澳</w:t>
      </w:r>
      <w:r>
        <w:rPr>
          <w:rFonts w:hint="eastAsia"/>
          <w:color w:val="000000"/>
        </w:rPr>
        <w:t>大湾区</w:t>
      </w:r>
      <w:r>
        <w:rPr>
          <w:color w:val="000000"/>
        </w:rPr>
        <w:t>市场畅销的</w:t>
      </w:r>
      <w:r>
        <w:rPr>
          <w:rFonts w:hint="eastAsia"/>
          <w:color w:val="000000"/>
        </w:rPr>
        <w:t>优质</w:t>
      </w:r>
      <w:r>
        <w:rPr>
          <w:color w:val="000000"/>
        </w:rPr>
        <w:t>“湘江源”蔬菜。</w:t>
      </w:r>
      <w:r>
        <w:rPr>
          <w:b/>
          <w:color w:val="000000"/>
        </w:rPr>
        <w:t>四是高山蔬菜基地</w:t>
      </w:r>
      <w:r>
        <w:rPr>
          <w:color w:val="000000"/>
        </w:rPr>
        <w:t>。以武陵山脉片区、罗霄山脉片区和雪峰山脉片区为主，主要分布在城步苗族自治县、石门县、桑植县、慈利县、麻阳苗族自治县、洪江市、龙山县、花垣县、古丈县、新化县等大湘西地区和桂东县、汝城县、炎陵县、资兴市、新田县等湘东南地区，生产高山越夏渡淡蔬菜，有辣椒、萝卜、甜玉米、生姜、茄子、番茄等蔬菜品类，供应省内外市场。</w:t>
      </w:r>
      <w:r>
        <w:rPr>
          <w:b/>
          <w:color w:val="000000"/>
        </w:rPr>
        <w:t>五是</w:t>
      </w:r>
      <w:r>
        <w:rPr>
          <w:b/>
          <w:bCs/>
          <w:color w:val="000000"/>
        </w:rPr>
        <w:t>洞庭湖区水生蔬菜基地</w:t>
      </w:r>
      <w:r>
        <w:rPr>
          <w:color w:val="000000"/>
        </w:rPr>
        <w:t>。以岳阳市、常德市、益阳市等靠湖区的区县为重点，包括沅江市、南县、汉寿县、安乡县、君山区等，种植莲藕、藕尖、藜蒿、茭白、菱角、芦笋等水生蔬菜供应省内外市场。</w:t>
      </w:r>
      <w:r>
        <w:rPr>
          <w:b/>
          <w:color w:val="000000"/>
        </w:rPr>
        <w:t>六是特色蔬菜基地。</w:t>
      </w:r>
      <w:r>
        <w:rPr>
          <w:color w:val="000000"/>
        </w:rPr>
        <w:t>主要有祁东县、邵东市</w:t>
      </w:r>
      <w:r>
        <w:rPr>
          <w:rFonts w:hint="eastAsia"/>
          <w:color w:val="000000"/>
        </w:rPr>
        <w:t>等县市</w:t>
      </w:r>
      <w:r>
        <w:rPr>
          <w:color w:val="000000"/>
        </w:rPr>
        <w:t>的黄花菜，临武县、江永县、蓝山县、祁东县、祁阳市</w:t>
      </w:r>
      <w:r>
        <w:rPr>
          <w:rFonts w:hint="eastAsia"/>
          <w:color w:val="000000"/>
        </w:rPr>
        <w:t>等县市</w:t>
      </w:r>
      <w:r>
        <w:rPr>
          <w:color w:val="000000"/>
        </w:rPr>
        <w:t>的香芋，湘阴县、津市市等县市的</w:t>
      </w:r>
      <w:r>
        <w:rPr>
          <w:rFonts w:eastAsia="宋体"/>
          <w:color w:val="000000"/>
        </w:rPr>
        <w:t>藠</w:t>
      </w:r>
      <w:r>
        <w:rPr>
          <w:color w:val="000000"/>
        </w:rPr>
        <w:t>头，隆回县、龙山县</w:t>
      </w:r>
      <w:r>
        <w:rPr>
          <w:rFonts w:hint="eastAsia"/>
          <w:color w:val="000000"/>
        </w:rPr>
        <w:t>等县市</w:t>
      </w:r>
      <w:r>
        <w:rPr>
          <w:color w:val="000000"/>
        </w:rPr>
        <w:t>的百合，</w:t>
      </w:r>
      <w:r>
        <w:rPr>
          <w:rFonts w:hint="eastAsia"/>
          <w:color w:val="000000"/>
        </w:rPr>
        <w:t>湘潭市</w:t>
      </w:r>
      <w:r>
        <w:rPr>
          <w:color w:val="000000"/>
        </w:rPr>
        <w:t>雨湖区的矮脚白、九华红菜薹，湘潭县的肉丝瓜，桃江县的竹笋，沅江市的芦</w:t>
      </w:r>
      <w:r>
        <w:rPr>
          <w:rFonts w:hint="eastAsia"/>
          <w:color w:val="000000"/>
        </w:rPr>
        <w:t xml:space="preserve">苇 </w:t>
      </w:r>
      <w:r>
        <w:rPr>
          <w:color w:val="000000"/>
        </w:rPr>
        <w:t>笋、莲藕，涟源市的桥头河萝卜，新化县的魔芋。</w:t>
      </w:r>
      <w:r>
        <w:rPr>
          <w:b/>
          <w:color w:val="000000"/>
        </w:rPr>
        <w:t>七是加工蔬菜基地</w:t>
      </w:r>
      <w:r>
        <w:rPr>
          <w:color w:val="000000"/>
        </w:rPr>
        <w:t>。主要有以华容县、南县、赫山区、沅江市、鼎城区、安乡县、江永县为主的芥菜、豆角生产加工基地，以武陵、雪峰、罗霄山脉丘陵山区为主的加工辣椒生产基地。</w:t>
      </w:r>
      <w:r>
        <w:rPr>
          <w:b/>
          <w:color w:val="000000"/>
        </w:rPr>
        <w:t>八是食用菌生产基地。</w:t>
      </w:r>
      <w:r>
        <w:rPr>
          <w:color w:val="000000"/>
        </w:rPr>
        <w:t>主要发展以秀珍菇、金针菇、平菇、木耳、香菇、杏鲍菇、茶树菇为主的湘</w:t>
      </w:r>
      <w:r>
        <w:rPr>
          <w:rFonts w:hint="eastAsia"/>
          <w:color w:val="000000"/>
        </w:rPr>
        <w:t>中、湘</w:t>
      </w:r>
      <w:r>
        <w:rPr>
          <w:color w:val="000000"/>
        </w:rPr>
        <w:t>东食用菌生产基地</w:t>
      </w:r>
      <w:r>
        <w:rPr>
          <w:rFonts w:hint="eastAsia"/>
          <w:color w:val="000000"/>
        </w:rPr>
        <w:t>，</w:t>
      </w:r>
      <w:r>
        <w:rPr>
          <w:color w:val="000000"/>
        </w:rPr>
        <w:t>以羊肚菌、东方灵芝、杏鲍菇、芦苇菇、香菇、茶树菇、平菇、秀珍菇为主的湘北食用菌生产基地</w:t>
      </w:r>
      <w:r>
        <w:rPr>
          <w:rFonts w:hint="eastAsia"/>
          <w:color w:val="000000"/>
        </w:rPr>
        <w:t>，</w:t>
      </w:r>
      <w:r>
        <w:rPr>
          <w:color w:val="000000"/>
        </w:rPr>
        <w:t>以姬菇、草菇、鹿茸菌、羊肚菌、灵芝、杏鲍菇、双孢白蘑菇、秀珍菇、金针菇、黑木耳、香菇、平菇、茯苓为主的湘南食用菌生产基地</w:t>
      </w:r>
      <w:r>
        <w:rPr>
          <w:rFonts w:hint="eastAsia"/>
          <w:color w:val="000000"/>
        </w:rPr>
        <w:t>，</w:t>
      </w:r>
      <w:r>
        <w:rPr>
          <w:color w:val="000000"/>
        </w:rPr>
        <w:t>以茯苓、灵芝等为主的湘西食用菌生产基地。</w:t>
      </w:r>
    </w:p>
    <w:p w14:paraId="76F06DDC">
      <w:pPr>
        <w:ind w:firstLine="643"/>
        <w:outlineLvl w:val="2"/>
        <w:rPr>
          <w:rFonts w:eastAsia="楷体_GB2312"/>
          <w:b/>
          <w:bCs/>
          <w:color w:val="000000"/>
          <w:kern w:val="0"/>
          <w:szCs w:val="32"/>
        </w:rPr>
      </w:pPr>
      <w:bookmarkStart w:id="53" w:name="_Toc105594902"/>
      <w:bookmarkStart w:id="54" w:name="_Toc11062"/>
      <w:r>
        <w:rPr>
          <w:rFonts w:eastAsia="楷体_GB2312"/>
          <w:b/>
          <w:bCs/>
          <w:color w:val="000000"/>
          <w:kern w:val="0"/>
          <w:szCs w:val="32"/>
        </w:rPr>
        <w:t>（五）水果</w:t>
      </w:r>
      <w:bookmarkEnd w:id="53"/>
      <w:bookmarkEnd w:id="54"/>
    </w:p>
    <w:p w14:paraId="749D8B7C">
      <w:pPr>
        <w:ind w:firstLine="640"/>
        <w:rPr>
          <w:color w:val="000000"/>
        </w:rPr>
      </w:pPr>
      <w:r>
        <w:rPr>
          <w:color w:val="000000"/>
        </w:rPr>
        <w:t>2020年，全省水果种植面积834.2万亩，产量743.4万吨（不含西甜瓜）。湖南省水果以柑橘种植为主，柑橘面积和产量占全省果园面积和产量的四分之三以上，形成了以柑橘为主，梨、桃、葡萄、猕猴桃、李等为辅的种植格局。</w:t>
      </w:r>
    </w:p>
    <w:p w14:paraId="34FFF0A6">
      <w:pPr>
        <w:ind w:firstLine="640"/>
        <w:rPr>
          <w:color w:val="000000"/>
        </w:rPr>
      </w:pPr>
      <w:r>
        <w:rPr>
          <w:color w:val="000000"/>
        </w:rPr>
        <w:t>“十四五”期间，实施果树“三品”（品种改良、品质提升、品牌升级）提升工程，强化种苗体系建设，完善省部级、市级、县级三级良种苗木繁育体系，坚持“适地适栽”，调整区域布局和品种结构，推广轻简化、机械化、智能化栽培技术和生产模式，发展水肥一体化、测土配方施肥、</w:t>
      </w:r>
      <w:r>
        <w:rPr>
          <w:bCs/>
          <w:color w:val="000000"/>
        </w:rPr>
        <w:t>有机肥施用、病虫害绿色防控等绿色低碳技术，</w:t>
      </w:r>
      <w:r>
        <w:rPr>
          <w:color w:val="000000"/>
        </w:rPr>
        <w:t>加强水果采后处理和贮藏保鲜技术的开发与应用。到2025年，全省果园面积达到890万亩，产量增加到900万吨左右（不含西甜瓜）。</w:t>
      </w:r>
    </w:p>
    <w:p w14:paraId="19FE099E">
      <w:pPr>
        <w:ind w:firstLine="643"/>
        <w:rPr>
          <w:b/>
          <w:color w:val="000000"/>
        </w:rPr>
      </w:pPr>
      <w:r>
        <w:rPr>
          <w:b/>
          <w:color w:val="000000"/>
        </w:rPr>
        <w:t>1.柑橘</w:t>
      </w:r>
    </w:p>
    <w:p w14:paraId="2EF6EE06">
      <w:pPr>
        <w:ind w:firstLine="640"/>
        <w:rPr>
          <w:color w:val="000000"/>
        </w:rPr>
      </w:pPr>
      <w:r>
        <w:rPr>
          <w:color w:val="000000"/>
        </w:rPr>
        <w:t>湖南是全国柑橘生产大省，2020年，柑橘面积624.1万亩，产量626.7万吨，柑橘面积和柑橘产量均居全国第2位，分别占全国柑橘面积和产量的15.4%、12.2%。</w:t>
      </w:r>
    </w:p>
    <w:p w14:paraId="31C7B148">
      <w:pPr>
        <w:ind w:firstLine="640"/>
        <w:rPr>
          <w:color w:val="000000"/>
        </w:rPr>
      </w:pPr>
      <w:r>
        <w:rPr>
          <w:color w:val="000000"/>
        </w:rPr>
        <w:t>“十四五”期间，重点进行老橘园品改、低改，大力推广柑橘无病毒种苗和水肥一体化、测土配方施肥、有机肥施用等绿色低碳技术，实施“良种+良法”种植模式，建设一批精品柑橘生产基地和出口柑橘基地，着力构建高品质、多样化和周年均衡供应的生产体系。到2025年，全省柑橘面积发展到650万亩左右，产量增加到650万吨左右，将早中晚熟品种的比例调整到</w:t>
      </w:r>
      <w:r>
        <w:rPr>
          <w:color w:val="000000"/>
          <w:kern w:val="0"/>
        </w:rPr>
        <w:t>4：4：2</w:t>
      </w:r>
      <w:r>
        <w:rPr>
          <w:color w:val="000000"/>
        </w:rPr>
        <w:t>。</w:t>
      </w:r>
    </w:p>
    <w:tbl>
      <w:tblPr>
        <w:tblStyle w:val="15"/>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6"/>
      </w:tblGrid>
      <w:tr w14:paraId="37E57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946" w:type="dxa"/>
            <w:noWrap w:val="0"/>
            <w:vAlign w:val="center"/>
          </w:tcPr>
          <w:p w14:paraId="0D383ABE">
            <w:pPr>
              <w:adjustRightInd/>
              <w:spacing w:line="520" w:lineRule="exact"/>
              <w:ind w:firstLine="0" w:firstLineChars="0"/>
              <w:jc w:val="center"/>
              <w:textAlignment w:val="center"/>
              <w:rPr>
                <w:rFonts w:eastAsia="宋体"/>
                <w:b/>
                <w:bCs/>
                <w:color w:val="000000"/>
                <w:kern w:val="0"/>
                <w:sz w:val="24"/>
              </w:rPr>
            </w:pPr>
            <w:r>
              <w:rPr>
                <w:rFonts w:eastAsia="宋体"/>
                <w:b/>
                <w:bCs/>
                <w:color w:val="000000"/>
                <w:kern w:val="0"/>
                <w:sz w:val="24"/>
              </w:rPr>
              <w:t xml:space="preserve">专栏4 </w:t>
            </w:r>
            <w:r>
              <w:rPr>
                <w:rFonts w:eastAsia="宋体"/>
                <w:b/>
                <w:color w:val="000000"/>
                <w:kern w:val="0"/>
                <w:sz w:val="24"/>
              </w:rPr>
              <w:t>湖南省柑橘类水果优势区域布局</w:t>
            </w:r>
          </w:p>
        </w:tc>
      </w:tr>
      <w:tr w14:paraId="27F0F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6" w:type="dxa"/>
            <w:noWrap w:val="0"/>
            <w:vAlign w:val="top"/>
          </w:tcPr>
          <w:p w14:paraId="5DFE0CE7">
            <w:pPr>
              <w:adjustRightInd/>
              <w:spacing w:line="460" w:lineRule="exact"/>
              <w:ind w:firstLine="482"/>
              <w:textAlignment w:val="center"/>
              <w:rPr>
                <w:rFonts w:eastAsia="宋体"/>
                <w:bCs/>
                <w:color w:val="000000"/>
                <w:sz w:val="24"/>
              </w:rPr>
            </w:pPr>
            <w:r>
              <w:rPr>
                <w:rFonts w:eastAsia="宋体"/>
                <w:b/>
                <w:bCs/>
                <w:color w:val="000000"/>
                <w:sz w:val="24"/>
              </w:rPr>
              <w:t>1.宽皮柑橘优势区域布局</w:t>
            </w:r>
          </w:p>
          <w:p w14:paraId="5459EDBD">
            <w:pPr>
              <w:adjustRightInd/>
              <w:spacing w:line="460" w:lineRule="exact"/>
              <w:ind w:firstLine="480"/>
              <w:textAlignment w:val="center"/>
              <w:rPr>
                <w:rFonts w:eastAsia="宋体"/>
                <w:bCs/>
                <w:color w:val="000000"/>
                <w:sz w:val="24"/>
              </w:rPr>
            </w:pPr>
            <w:r>
              <w:rPr>
                <w:rFonts w:ascii="宋体" w:eastAsia="宋体"/>
                <w:bCs/>
                <w:color w:val="000000"/>
                <w:sz w:val="24"/>
              </w:rPr>
              <w:t>①</w:t>
            </w:r>
            <w:r>
              <w:rPr>
                <w:rFonts w:eastAsia="宋体"/>
                <w:bCs/>
                <w:color w:val="000000"/>
                <w:sz w:val="24"/>
              </w:rPr>
              <w:t>宽皮柑橘最适宜区域。本区包括南岳衡山以南的衡阳盆地，阳明山以南的湘南山地、丘陵以及武功山以南、罗霄山脉以西的茶陵盆地。主要包括永州市、衡阳市、郴州市、湘潭市等市的19个县市区。</w:t>
            </w:r>
          </w:p>
          <w:p w14:paraId="6B5D7FF3">
            <w:pPr>
              <w:adjustRightInd/>
              <w:spacing w:line="460" w:lineRule="exact"/>
              <w:ind w:firstLine="480"/>
              <w:textAlignment w:val="center"/>
              <w:rPr>
                <w:rFonts w:eastAsia="宋体"/>
                <w:bCs/>
                <w:color w:val="000000"/>
                <w:sz w:val="24"/>
              </w:rPr>
            </w:pPr>
            <w:r>
              <w:rPr>
                <w:rFonts w:ascii="宋体" w:eastAsia="宋体"/>
                <w:bCs/>
                <w:color w:val="000000"/>
                <w:sz w:val="24"/>
              </w:rPr>
              <w:t>②</w:t>
            </w:r>
            <w:r>
              <w:rPr>
                <w:rFonts w:eastAsia="宋体"/>
                <w:bCs/>
                <w:color w:val="000000"/>
                <w:sz w:val="24"/>
              </w:rPr>
              <w:t>宽皮柑橘适宜区域。本区从湘西北、湘西通过湘中，一直延伸至湘东南的广大丘陵地带。主要包括湘西自治州、邵阳市、怀化市、娄底市、益阳市、常德市、永州市、张家界市等市州的47个县市区。</w:t>
            </w:r>
          </w:p>
          <w:p w14:paraId="767AC8EE">
            <w:pPr>
              <w:adjustRightInd/>
              <w:spacing w:line="460" w:lineRule="exact"/>
              <w:ind w:firstLine="480"/>
              <w:textAlignment w:val="center"/>
              <w:rPr>
                <w:rFonts w:eastAsia="宋体"/>
                <w:bCs/>
                <w:color w:val="000000"/>
                <w:sz w:val="24"/>
              </w:rPr>
            </w:pPr>
            <w:r>
              <w:rPr>
                <w:rFonts w:ascii="宋体" w:eastAsia="宋体"/>
                <w:bCs/>
                <w:color w:val="000000"/>
                <w:sz w:val="24"/>
              </w:rPr>
              <w:t>③</w:t>
            </w:r>
            <w:r>
              <w:rPr>
                <w:rFonts w:eastAsia="宋体"/>
                <w:bCs/>
                <w:color w:val="000000"/>
                <w:sz w:val="24"/>
              </w:rPr>
              <w:t>宽皮柑橘次适宜区域。本区在湘北的滨湖地区及附近低平地带。主要包括常德市、益阳市、岳阳市、湘潭市、湘西自治州、怀化市、张家界市等市州的25个县市区。</w:t>
            </w:r>
          </w:p>
          <w:p w14:paraId="07DF96C4">
            <w:pPr>
              <w:adjustRightInd/>
              <w:spacing w:line="460" w:lineRule="exact"/>
              <w:ind w:firstLine="482"/>
              <w:textAlignment w:val="center"/>
              <w:rPr>
                <w:rFonts w:eastAsia="宋体"/>
                <w:b/>
                <w:bCs/>
                <w:color w:val="000000"/>
                <w:sz w:val="24"/>
              </w:rPr>
            </w:pPr>
            <w:r>
              <w:rPr>
                <w:rFonts w:eastAsia="宋体"/>
                <w:b/>
                <w:bCs/>
                <w:color w:val="000000"/>
                <w:sz w:val="24"/>
              </w:rPr>
              <w:t>2.甜橙优势区域布局</w:t>
            </w:r>
          </w:p>
          <w:p w14:paraId="7DCDF5D4">
            <w:pPr>
              <w:adjustRightInd/>
              <w:spacing w:line="460" w:lineRule="exact"/>
              <w:ind w:firstLine="480"/>
              <w:textAlignment w:val="center"/>
              <w:rPr>
                <w:rFonts w:eastAsia="宋体"/>
                <w:color w:val="000000"/>
                <w:sz w:val="24"/>
              </w:rPr>
            </w:pPr>
            <w:r>
              <w:rPr>
                <w:rFonts w:eastAsia="宋体"/>
                <w:color w:val="000000"/>
                <w:sz w:val="24"/>
              </w:rPr>
              <w:fldChar w:fldCharType="begin"/>
            </w:r>
            <w:r>
              <w:rPr>
                <w:rFonts w:eastAsia="宋体"/>
                <w:color w:val="000000"/>
                <w:sz w:val="24"/>
              </w:rPr>
              <w:instrText xml:space="preserve"> = 1 \* GB3 </w:instrText>
            </w:r>
            <w:r>
              <w:rPr>
                <w:rFonts w:eastAsia="宋体"/>
                <w:color w:val="000000"/>
                <w:sz w:val="24"/>
              </w:rPr>
              <w:fldChar w:fldCharType="separate"/>
            </w:r>
            <w:r>
              <w:rPr>
                <w:rFonts w:ascii="宋体" w:eastAsia="宋体"/>
                <w:color w:val="000000"/>
                <w:sz w:val="24"/>
              </w:rPr>
              <w:t>①</w:t>
            </w:r>
            <w:r>
              <w:rPr>
                <w:rFonts w:eastAsia="宋体"/>
                <w:color w:val="000000"/>
                <w:sz w:val="24"/>
              </w:rPr>
              <w:fldChar w:fldCharType="end"/>
            </w:r>
            <w:r>
              <w:rPr>
                <w:rFonts w:eastAsia="宋体"/>
                <w:color w:val="000000"/>
                <w:sz w:val="24"/>
              </w:rPr>
              <w:t>甜橙最适宜生态区域。本区位于阳明山南麓的道县与宁远县。该区域气候温和，雨水充沛，属中亚热带向南亚热带过渡的气候区，宜种植甜橙与柚。</w:t>
            </w:r>
          </w:p>
          <w:p w14:paraId="003E7C92">
            <w:pPr>
              <w:adjustRightInd/>
              <w:spacing w:line="460" w:lineRule="exact"/>
              <w:ind w:firstLine="480"/>
              <w:textAlignment w:val="center"/>
              <w:rPr>
                <w:rFonts w:eastAsia="仿宋"/>
                <w:bCs/>
                <w:color w:val="000000"/>
                <w:sz w:val="28"/>
                <w:szCs w:val="28"/>
              </w:rPr>
            </w:pPr>
            <w:r>
              <w:rPr>
                <w:rFonts w:eastAsia="宋体"/>
                <w:color w:val="000000"/>
                <w:sz w:val="24"/>
              </w:rPr>
              <w:fldChar w:fldCharType="begin"/>
            </w:r>
            <w:r>
              <w:rPr>
                <w:rFonts w:eastAsia="宋体"/>
                <w:color w:val="000000"/>
                <w:sz w:val="24"/>
              </w:rPr>
              <w:instrText xml:space="preserve"> = 2 \* GB3 </w:instrText>
            </w:r>
            <w:r>
              <w:rPr>
                <w:rFonts w:eastAsia="宋体"/>
                <w:color w:val="000000"/>
                <w:sz w:val="24"/>
              </w:rPr>
              <w:fldChar w:fldCharType="separate"/>
            </w:r>
            <w:r>
              <w:rPr>
                <w:rFonts w:ascii="宋体" w:eastAsia="宋体"/>
                <w:color w:val="000000"/>
                <w:sz w:val="24"/>
              </w:rPr>
              <w:t>②</w:t>
            </w:r>
            <w:r>
              <w:rPr>
                <w:rFonts w:eastAsia="宋体"/>
                <w:color w:val="000000"/>
                <w:sz w:val="24"/>
              </w:rPr>
              <w:fldChar w:fldCharType="end"/>
            </w:r>
            <w:r>
              <w:rPr>
                <w:rFonts w:eastAsia="宋体"/>
                <w:color w:val="000000"/>
                <w:sz w:val="24"/>
              </w:rPr>
              <w:t>甜橙次适宜生态区域。本区包括除道县与宁远县以外的宽皮柑橘最适宜区、适宜区，均适合甜橙种植。</w:t>
            </w:r>
          </w:p>
        </w:tc>
      </w:tr>
    </w:tbl>
    <w:p w14:paraId="46701664">
      <w:pPr>
        <w:spacing w:line="550" w:lineRule="atLeast"/>
        <w:ind w:firstLine="643"/>
        <w:rPr>
          <w:b/>
          <w:color w:val="000000"/>
        </w:rPr>
      </w:pPr>
      <w:r>
        <w:rPr>
          <w:b/>
          <w:color w:val="000000"/>
        </w:rPr>
        <w:t>2.其他优势水果</w:t>
      </w:r>
    </w:p>
    <w:p w14:paraId="1CB6DCA9">
      <w:pPr>
        <w:spacing w:line="550" w:lineRule="atLeast"/>
        <w:ind w:firstLine="640"/>
        <w:rPr>
          <w:color w:val="000000"/>
        </w:rPr>
      </w:pPr>
      <w:r>
        <w:rPr>
          <w:color w:val="000000"/>
        </w:rPr>
        <w:t>（1）梨</w:t>
      </w:r>
    </w:p>
    <w:p w14:paraId="07A7C8C2">
      <w:pPr>
        <w:spacing w:line="550" w:lineRule="atLeast"/>
        <w:ind w:firstLine="640"/>
        <w:rPr>
          <w:color w:val="000000"/>
          <w:kern w:val="0"/>
        </w:rPr>
      </w:pPr>
      <w:r>
        <w:rPr>
          <w:color w:val="000000"/>
          <w:kern w:val="0"/>
        </w:rPr>
        <w:t>2020年，全省梨园51.4万亩，产量24.4万吨，分别占全省果园面积和水果产量的6.2%和2.7%。到2025年，全省梨园面积稳定在50万亩左右，产量稳定在25万吨左右。</w:t>
      </w:r>
    </w:p>
    <w:p w14:paraId="6278A17B">
      <w:pPr>
        <w:spacing w:line="550" w:lineRule="atLeast"/>
        <w:ind w:firstLine="640"/>
        <w:rPr>
          <w:color w:val="000000"/>
          <w:kern w:val="0"/>
        </w:rPr>
      </w:pPr>
      <w:r>
        <w:rPr>
          <w:color w:val="000000"/>
        </w:rPr>
        <w:t>“十四五”期间，</w:t>
      </w:r>
      <w:r>
        <w:rPr>
          <w:color w:val="000000"/>
          <w:kern w:val="0"/>
        </w:rPr>
        <w:t>大力发展翠冠梨、圆黄梨、黄金梨</w:t>
      </w:r>
      <w:r>
        <w:rPr>
          <w:b/>
          <w:color w:val="000000"/>
          <w:kern w:val="0"/>
        </w:rPr>
        <w:t>、</w:t>
      </w:r>
      <w:r>
        <w:rPr>
          <w:color w:val="000000"/>
          <w:kern w:val="0"/>
        </w:rPr>
        <w:t>黔阳金秋梨、水晶梨、苗香梨等特色优势品种生产，合理搭配早、中、晚熟品种结构。创新开发适合不同立地条件梨园的农机具，推广梨树高效生态栽培技术，建设标准化生产示范园。全省梨种植主要布局在六大优势区域，包括湘南、湘北、湘西南、湘西北、湘东以及湘中梨区。湘南梨区集中在江华瑶族自治县、蓝山县、宜章县、临武县、汝城县、桂阳县、宁远县等县市区；湘北梨区集中在岳阳县、平江县、华容县、湘阴县、汨罗市等县市区；湘西南梨区集中在洪江市、城步苗族自治县、武冈市、隆回县等县市区；湘西北梨区集中在永顺县、花垣县、龙山县、慈利县、桑植县、永定区、武陵源区等县市区；湘东梨区集中在长沙县、茶陵县、炎陵县等县市区；湘中梨区集中在桃源县、安化县、涟源市、衡阳县、衡南县等县市区。</w:t>
      </w:r>
    </w:p>
    <w:p w14:paraId="4C659CB0">
      <w:pPr>
        <w:spacing w:line="550" w:lineRule="atLeast"/>
        <w:ind w:firstLine="640"/>
        <w:rPr>
          <w:color w:val="000000"/>
        </w:rPr>
      </w:pPr>
      <w:r>
        <w:rPr>
          <w:color w:val="000000"/>
        </w:rPr>
        <w:t>（2）桃</w:t>
      </w:r>
    </w:p>
    <w:p w14:paraId="6F40C910">
      <w:pPr>
        <w:spacing w:line="550" w:lineRule="atLeast"/>
        <w:ind w:firstLine="640"/>
        <w:rPr>
          <w:color w:val="000000"/>
          <w:kern w:val="0"/>
        </w:rPr>
      </w:pPr>
      <w:r>
        <w:rPr>
          <w:color w:val="000000"/>
          <w:kern w:val="0"/>
        </w:rPr>
        <w:t>2020年，全省桃园面积46.8万亩，产量23.2万吨，分别占全省果园面积和水果产量的5.6%和3.1%。到2025年，全省桃园面积发展到50万亩左右，产量达到30万吨左右。</w:t>
      </w:r>
    </w:p>
    <w:p w14:paraId="4FB51036">
      <w:pPr>
        <w:spacing w:line="550" w:lineRule="atLeast"/>
        <w:ind w:firstLine="640"/>
        <w:rPr>
          <w:color w:val="000000"/>
          <w:kern w:val="0"/>
        </w:rPr>
      </w:pPr>
      <w:r>
        <w:rPr>
          <w:color w:val="000000"/>
        </w:rPr>
        <w:t>“十四五”期间，重点</w:t>
      </w:r>
      <w:r>
        <w:rPr>
          <w:color w:val="000000"/>
          <w:kern w:val="0"/>
        </w:rPr>
        <w:t>发展新优特品种，培育与推广炎陵黄桃、麻阳桃、衡山红脆桃、菁香桃、中华脆蜜桃、水云峰黄桃等地方特色品种，做到早中晚熟品种合理搭配，全面提升产品优质化率。推广现代栽培模式与技术，打造省力化、智能化、生态化、优质化的现代化桃园。推进农旅融合，开展桃花节、采摘节等体验活动，发展桃产业三产融合新模式。继续稳定炎陵县、辰溪县、浏阳市、麻阳苗族自治县、芷江侗族自治县、临澧县、桃源县、中方县、平江县、永顺县、永定区等种植大县的生产规模。</w:t>
      </w:r>
    </w:p>
    <w:p w14:paraId="20A6ED6C">
      <w:pPr>
        <w:spacing w:line="550" w:lineRule="atLeast"/>
        <w:ind w:firstLine="640"/>
        <w:rPr>
          <w:color w:val="000000"/>
        </w:rPr>
      </w:pPr>
      <w:r>
        <w:rPr>
          <w:color w:val="000000"/>
        </w:rPr>
        <w:t>（3）葡萄</w:t>
      </w:r>
    </w:p>
    <w:p w14:paraId="7485BCA2">
      <w:pPr>
        <w:spacing w:line="550" w:lineRule="atLeast"/>
        <w:ind w:firstLine="640"/>
        <w:rPr>
          <w:color w:val="000000"/>
          <w:kern w:val="0"/>
        </w:rPr>
      </w:pPr>
      <w:r>
        <w:rPr>
          <w:color w:val="000000"/>
          <w:kern w:val="0"/>
        </w:rPr>
        <w:t>2020年，全省葡萄园面积41.3万亩，产量24.4万吨，分别占全省果园面积和水果产量的5%和3.3%。到2025年，全省葡萄种植面积发展到45万亩左右，产量达到33万吨左右，鲜食葡萄优质商品果率均超80%以上。</w:t>
      </w:r>
    </w:p>
    <w:p w14:paraId="3DCE0815">
      <w:pPr>
        <w:spacing w:line="550" w:lineRule="atLeast"/>
        <w:ind w:firstLine="640"/>
        <w:rPr>
          <w:color w:val="000000"/>
        </w:rPr>
      </w:pPr>
      <w:r>
        <w:rPr>
          <w:color w:val="000000"/>
        </w:rPr>
        <w:t>“十四五”期间，</w:t>
      </w:r>
      <w:r>
        <w:rPr>
          <w:color w:val="000000"/>
          <w:kern w:val="0"/>
        </w:rPr>
        <w:t>优化品种品质结构，加快葡萄优良品种、抗性品种品系的筛选和培育，建立优质葡萄苗木繁育体系。发展阳光玫瑰、巨峰、夏黑无核等特色优势品种，鲜食葡萄早、中、晚熟品种比例达到3：3：4，通过促早栽培早熟品种，延迟栽培晚熟品种，延长葡萄的供应期</w:t>
      </w:r>
      <w:r>
        <w:rPr>
          <w:b/>
          <w:color w:val="000000"/>
          <w:kern w:val="0"/>
        </w:rPr>
        <w:t>。</w:t>
      </w:r>
      <w:r>
        <w:rPr>
          <w:color w:val="000000"/>
          <w:kern w:val="0"/>
        </w:rPr>
        <w:t>发展避雨设施栽培，有效降低病虫害的发病率，推行绿色生产方式，提高果品质量。全省葡萄重点布局在湘南、湘西和湘中北部优势区，继续稳定芷江侗族自治县、澧县、中方县、苏仙区、宜章县、绥宁县、岳阳县、冷水江市、麻阳苗族自治县、衡阳县等种植大县的生产规模。</w:t>
      </w:r>
    </w:p>
    <w:p w14:paraId="0659F29D">
      <w:pPr>
        <w:spacing w:line="550" w:lineRule="atLeast"/>
        <w:ind w:firstLine="640"/>
        <w:rPr>
          <w:color w:val="000000"/>
        </w:rPr>
      </w:pPr>
      <w:r>
        <w:rPr>
          <w:color w:val="000000"/>
        </w:rPr>
        <w:t>（4）猕猴桃</w:t>
      </w:r>
    </w:p>
    <w:p w14:paraId="3E986E3E">
      <w:pPr>
        <w:spacing w:line="550" w:lineRule="atLeast"/>
        <w:ind w:firstLine="640"/>
        <w:rPr>
          <w:color w:val="000000"/>
          <w:kern w:val="0"/>
        </w:rPr>
      </w:pPr>
      <w:r>
        <w:rPr>
          <w:color w:val="000000"/>
          <w:kern w:val="0"/>
        </w:rPr>
        <w:t>2020年，全省猕猴桃面积24.9万亩，产量13.7万吨，分别占全省果园面积和水果产量的3%和1.8%。到2025年，全省猕猴桃种植面积发展到30万亩左右，产量达到30万吨左右。</w:t>
      </w:r>
    </w:p>
    <w:p w14:paraId="70CBE968">
      <w:pPr>
        <w:spacing w:line="550" w:lineRule="atLeast"/>
        <w:ind w:firstLine="640"/>
        <w:rPr>
          <w:color w:val="000000"/>
          <w:kern w:val="0"/>
        </w:rPr>
      </w:pPr>
      <w:r>
        <w:rPr>
          <w:color w:val="000000"/>
        </w:rPr>
        <w:t>“十四五”期间，</w:t>
      </w:r>
      <w:r>
        <w:rPr>
          <w:color w:val="000000"/>
          <w:kern w:val="0"/>
        </w:rPr>
        <w:t>优化品种结构和区域布局，重点在湘西北发展中晚熟及加工型的美味猕猴桃品种，在湘东、湘南地区则宜发展中华猕猴桃优质早熟鲜食良种。加强猕猴桃溃疡病监测防控，减轻病害影响。实行标准化建园，建立优质生产基地，发展水肥一体化、测土配方施肥、有机肥施用等绿色低碳技术，推广果实套袋、果园生草覆盖、病虫害绿色防控及生态栽培等关键栽培技术应用，提高猕猴桃果实品质与安全性水平。全省猕猴桃生产以武陵山片区为主。</w:t>
      </w:r>
    </w:p>
    <w:p w14:paraId="40ECCDB4">
      <w:pPr>
        <w:spacing w:line="550" w:lineRule="atLeast"/>
        <w:ind w:firstLine="640"/>
        <w:rPr>
          <w:color w:val="000000"/>
        </w:rPr>
      </w:pPr>
      <w:r>
        <w:rPr>
          <w:color w:val="000000"/>
        </w:rPr>
        <w:t>（5）西甜瓜</w:t>
      </w:r>
    </w:p>
    <w:p w14:paraId="79C946FD">
      <w:pPr>
        <w:spacing w:line="550" w:lineRule="atLeast"/>
        <w:ind w:firstLine="640"/>
        <w:rPr>
          <w:color w:val="000000"/>
        </w:rPr>
      </w:pPr>
      <w:r>
        <w:rPr>
          <w:color w:val="000000"/>
        </w:rPr>
        <w:t>2020年，全省西甜瓜种植面积197.8万亩。到2025年，全省西甜瓜种植面积稳定在200万亩左右。</w:t>
      </w:r>
    </w:p>
    <w:p w14:paraId="582A93BE">
      <w:pPr>
        <w:spacing w:line="550" w:lineRule="atLeast"/>
        <w:ind w:firstLine="640"/>
        <w:rPr>
          <w:color w:val="000000"/>
        </w:rPr>
      </w:pPr>
      <w:r>
        <w:rPr>
          <w:color w:val="000000"/>
        </w:rPr>
        <w:t>“十四五”期间，加强中小果型、功能型和适于简约化栽培无籽西瓜新品种选育，促进品种更新换代，调整种植结构，发展无籽西瓜、小西瓜、厚皮甜瓜。重点推广适于湖南地区西甜瓜嫁接育苗技术，加强病虫害综合防治。大力发展设施栽培和反季节生产，延长产品供应期。推广丘陵地幼龄油茶、果树等套种。重点布局在邵阳市、岳阳市、怀化市、永州市、衡阳市、长沙市和常德市等地区。</w:t>
      </w:r>
    </w:p>
    <w:tbl>
      <w:tblPr>
        <w:tblStyle w:val="15"/>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14:paraId="76B5A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trPr>
        <w:tc>
          <w:tcPr>
            <w:tcW w:w="9061" w:type="dxa"/>
            <w:noWrap w:val="0"/>
            <w:vAlign w:val="center"/>
          </w:tcPr>
          <w:p w14:paraId="1D34379F">
            <w:pPr>
              <w:widowControl/>
              <w:adjustRightInd/>
              <w:spacing w:line="430" w:lineRule="exact"/>
              <w:ind w:firstLine="0" w:firstLineChars="0"/>
              <w:jc w:val="center"/>
              <w:rPr>
                <w:rFonts w:eastAsia="宋体"/>
                <w:b/>
                <w:color w:val="000000"/>
                <w:kern w:val="0"/>
                <w:sz w:val="24"/>
              </w:rPr>
            </w:pPr>
            <w:r>
              <w:rPr>
                <w:rFonts w:eastAsia="宋体"/>
                <w:b/>
                <w:color w:val="000000"/>
                <w:kern w:val="0"/>
                <w:sz w:val="24"/>
              </w:rPr>
              <w:t>专栏5 其他水果</w:t>
            </w:r>
          </w:p>
        </w:tc>
      </w:tr>
      <w:tr w14:paraId="1706A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3" w:hRule="atLeast"/>
        </w:trPr>
        <w:tc>
          <w:tcPr>
            <w:tcW w:w="9061" w:type="dxa"/>
            <w:noWrap w:val="0"/>
            <w:vAlign w:val="top"/>
          </w:tcPr>
          <w:p w14:paraId="6DC5E842">
            <w:pPr>
              <w:autoSpaceDE w:val="0"/>
              <w:autoSpaceDN w:val="0"/>
              <w:adjustRightInd/>
              <w:spacing w:line="400" w:lineRule="exact"/>
              <w:ind w:firstLine="480"/>
              <w:rPr>
                <w:rFonts w:eastAsia="宋体"/>
                <w:bCs/>
                <w:color w:val="000000"/>
                <w:kern w:val="0"/>
                <w:sz w:val="24"/>
              </w:rPr>
            </w:pPr>
            <w:r>
              <w:rPr>
                <w:rFonts w:eastAsia="宋体"/>
                <w:bCs/>
                <w:color w:val="000000"/>
                <w:kern w:val="0"/>
                <w:sz w:val="24"/>
              </w:rPr>
              <w:t>1.李。2020年，全省李子产量8.9万吨，占全省水果产量的1.2%。到2025年，全省李子产量发展到10万吨左右。“十四五”期间，重点推广奈李、布朗李等优质特色品种，推广控制树冠、延长花期、提高坐果方面的省力化技术。</w:t>
            </w:r>
          </w:p>
          <w:p w14:paraId="3F69874A">
            <w:pPr>
              <w:autoSpaceDE w:val="0"/>
              <w:autoSpaceDN w:val="0"/>
              <w:adjustRightInd/>
              <w:spacing w:line="400" w:lineRule="exact"/>
              <w:ind w:firstLine="480"/>
              <w:rPr>
                <w:rFonts w:eastAsia="宋体"/>
                <w:bCs/>
                <w:color w:val="000000"/>
                <w:kern w:val="0"/>
                <w:sz w:val="24"/>
              </w:rPr>
            </w:pPr>
            <w:r>
              <w:rPr>
                <w:rFonts w:eastAsia="宋体"/>
                <w:bCs/>
                <w:color w:val="000000"/>
                <w:kern w:val="0"/>
                <w:sz w:val="24"/>
              </w:rPr>
              <w:t>2.杨梅。全省杨梅品种主要有荸荠种杨梅（乌梅）、东魁杨梅以及木洞杨梅等。到2025年，全省杨梅产量稳定在10万吨左右。“十四五”期间，重点开展本地优良品种提纯复壮、种质资源的保存与利用；推广矮化修剪与标准化树形培育技术、果园省力化精准施肥技术、设施栽培技术、病虫害绿色综合防控技术。重点布局在怀化市、邵阳市、娄底市、郴州市等地区。</w:t>
            </w:r>
          </w:p>
          <w:p w14:paraId="4F10B806">
            <w:pPr>
              <w:autoSpaceDE w:val="0"/>
              <w:autoSpaceDN w:val="0"/>
              <w:adjustRightInd/>
              <w:spacing w:line="400" w:lineRule="exact"/>
              <w:ind w:firstLine="480"/>
              <w:rPr>
                <w:rFonts w:eastAsia="宋体"/>
                <w:bCs/>
                <w:color w:val="000000"/>
                <w:kern w:val="0"/>
                <w:sz w:val="24"/>
              </w:rPr>
            </w:pPr>
            <w:r>
              <w:rPr>
                <w:rFonts w:eastAsia="宋体"/>
                <w:bCs/>
                <w:color w:val="000000"/>
                <w:kern w:val="0"/>
                <w:sz w:val="24"/>
              </w:rPr>
              <w:t>3.枣。2020年，全省枣产量3.2万吨，占全省水果产量的0.4%。到2025年，全省枣产量稳定在3万吨左右。“十四五”期间，重点发展早熟、鲜食品种，推广丰产稳产省力化栽培技术。主要分布在永州市、衡阳市、湘西自治州等地区。</w:t>
            </w:r>
          </w:p>
          <w:p w14:paraId="2E438231">
            <w:pPr>
              <w:autoSpaceDE w:val="0"/>
              <w:autoSpaceDN w:val="0"/>
              <w:adjustRightInd/>
              <w:spacing w:line="400" w:lineRule="exact"/>
              <w:ind w:firstLine="480"/>
              <w:rPr>
                <w:rFonts w:eastAsia="宋体"/>
                <w:bCs/>
                <w:color w:val="000000"/>
                <w:kern w:val="0"/>
                <w:sz w:val="24"/>
              </w:rPr>
            </w:pPr>
            <w:r>
              <w:rPr>
                <w:rFonts w:eastAsia="宋体"/>
                <w:bCs/>
                <w:color w:val="000000"/>
                <w:kern w:val="0"/>
                <w:sz w:val="24"/>
              </w:rPr>
              <w:t>4.柿子。2020年，全省鲜柿子产量2.3万吨，占全省水果产量的0.3%。到2025年，全省鲜柿子产量发展到2.5万吨左右。“十四五”期间，重点在湘西、湘中地区发展优质早熟甜柿品种，推广矮密技术。</w:t>
            </w:r>
          </w:p>
          <w:p w14:paraId="214A05FD">
            <w:pPr>
              <w:autoSpaceDE w:val="0"/>
              <w:autoSpaceDN w:val="0"/>
              <w:adjustRightInd/>
              <w:spacing w:line="400" w:lineRule="exact"/>
              <w:ind w:firstLine="480"/>
              <w:rPr>
                <w:color w:val="000000"/>
                <w:szCs w:val="32"/>
              </w:rPr>
            </w:pPr>
            <w:r>
              <w:rPr>
                <w:rFonts w:eastAsia="宋体"/>
                <w:bCs/>
                <w:color w:val="000000"/>
                <w:kern w:val="0"/>
                <w:sz w:val="24"/>
              </w:rPr>
              <w:t>5.枇杷。2020年，全省枇杷产量1.5万吨，占全省水果产量的0.2%。到2025年，全省枇杷产量稳定在1.5万吨左右。</w:t>
            </w:r>
          </w:p>
        </w:tc>
      </w:tr>
    </w:tbl>
    <w:p w14:paraId="1740466A">
      <w:pPr>
        <w:ind w:firstLine="643"/>
        <w:outlineLvl w:val="2"/>
        <w:rPr>
          <w:rFonts w:eastAsia="楷体_GB2312"/>
          <w:b/>
          <w:bCs/>
          <w:color w:val="000000"/>
          <w:kern w:val="0"/>
          <w:szCs w:val="32"/>
        </w:rPr>
      </w:pPr>
      <w:bookmarkStart w:id="55" w:name="_Toc105594903"/>
      <w:bookmarkStart w:id="56" w:name="_Toc12534"/>
      <w:r>
        <w:rPr>
          <w:rFonts w:eastAsia="楷体_GB2312"/>
          <w:b/>
          <w:bCs/>
          <w:color w:val="000000"/>
          <w:kern w:val="0"/>
          <w:szCs w:val="32"/>
        </w:rPr>
        <w:t>（六）茶叶</w:t>
      </w:r>
      <w:bookmarkEnd w:id="55"/>
      <w:bookmarkEnd w:id="56"/>
    </w:p>
    <w:p w14:paraId="690C83AA">
      <w:pPr>
        <w:ind w:firstLine="640"/>
        <w:rPr>
          <w:color w:val="000000"/>
        </w:rPr>
      </w:pPr>
      <w:r>
        <w:rPr>
          <w:color w:val="000000"/>
        </w:rPr>
        <w:t>湖南是全国茶叶主产区，是全国名优绿茶和出口绿茶优势区域。2020年全省茶园面积276.7万亩，茶叶产量25万吨，分别占全国总量的5.8%和8.5%，分别位居全国第8位和第5位。</w:t>
      </w:r>
    </w:p>
    <w:p w14:paraId="3829A02D">
      <w:pPr>
        <w:ind w:firstLine="640"/>
        <w:rPr>
          <w:color w:val="000000"/>
        </w:rPr>
      </w:pPr>
      <w:r>
        <w:rPr>
          <w:color w:val="000000"/>
        </w:rPr>
        <w:t>“十四五”期间，以“潇湘茶、湖南红茶、安化黑茶、岳阳黄茶、桑植白茶”形成的五彩湘茶品牌集群为统领，以市场需求为导向，坚持适区适种、适品适种，形成核心主产区、优势产区、辐射产区，推广适宜主导品种和主推绿色高效技术，加快出口茶原料基地培育和备案，推广生态、绿色、有机种植模式和标准化、机械化、智慧化茶园建设，提高品质、单产和效益，推进茶产业高质量发展。到2025年，全省优质茶园面积稳定在300万亩左右，产量达到45万吨，年出口达到6万吨以上。</w:t>
      </w:r>
    </w:p>
    <w:p w14:paraId="5828D8EC">
      <w:pPr>
        <w:ind w:firstLine="643"/>
        <w:rPr>
          <w:color w:val="000000"/>
        </w:rPr>
      </w:pPr>
      <w:r>
        <w:rPr>
          <w:b/>
          <w:color w:val="000000"/>
        </w:rPr>
        <w:t>加快特色茶树新品种选育与推广。</w:t>
      </w:r>
      <w:r>
        <w:rPr>
          <w:color w:val="000000"/>
        </w:rPr>
        <w:t>开展湖南特色茶树资源新品种选育，优化良种繁育体系，建设标准化、智慧化茶树良种繁育基地，加快衰老茶园改造和茶树品种更新换代。</w:t>
      </w:r>
      <w:r>
        <w:rPr>
          <w:b/>
          <w:color w:val="000000"/>
        </w:rPr>
        <w:t>加强茶叶质量安全控制与技术推广。</w:t>
      </w:r>
      <w:r>
        <w:rPr>
          <w:color w:val="000000"/>
        </w:rPr>
        <w:t>推广茶叶绿色防控和茶叶优质高效栽培生产技术，形成湖南茶区茶园化肥农药减施增效技术模式；制定茶园环境、茶树种苗、肥料使用、病虫害防治、鲜叶管理等系列茶叶标准规范，建立茶园管理和茶叶生产加工全程可追溯体系。</w:t>
      </w:r>
      <w:r>
        <w:rPr>
          <w:b/>
          <w:color w:val="000000"/>
        </w:rPr>
        <w:t>加快茶园标准化、机械化、智慧化建设。</w:t>
      </w:r>
      <w:r>
        <w:rPr>
          <w:color w:val="000000"/>
        </w:rPr>
        <w:t>推进茶园管理标准化，加大适宜湖南省丘陵、山地茶园的采茶机、耕作机等茶园耕作设备的应用力度，加快推进机耕机采，促进农机农艺深度融合，提高茶园管理智慧化和采摘机械化水平。</w:t>
      </w:r>
      <w:r>
        <w:rPr>
          <w:b/>
          <w:color w:val="000000"/>
        </w:rPr>
        <w:t>推进茶旅文康养等产业融合发展。</w:t>
      </w:r>
      <w:r>
        <w:rPr>
          <w:color w:val="000000"/>
        </w:rPr>
        <w:t>推动传统茶业与文化、旅游、教育、康养等产业深度融合，协调发展，提升茶产业综合效益。</w:t>
      </w:r>
    </w:p>
    <w:tbl>
      <w:tblPr>
        <w:tblStyle w:val="15"/>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14:paraId="2183C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9061" w:type="dxa"/>
            <w:noWrap w:val="0"/>
            <w:vAlign w:val="center"/>
          </w:tcPr>
          <w:p w14:paraId="095A490F">
            <w:pPr>
              <w:widowControl/>
              <w:adjustRightInd/>
              <w:spacing w:line="480" w:lineRule="exact"/>
              <w:ind w:firstLine="0" w:firstLineChars="0"/>
              <w:jc w:val="center"/>
              <w:rPr>
                <w:rFonts w:eastAsia="宋体"/>
                <w:b/>
                <w:color w:val="000000"/>
                <w:kern w:val="0"/>
                <w:sz w:val="24"/>
              </w:rPr>
            </w:pPr>
            <w:r>
              <w:rPr>
                <w:rFonts w:eastAsia="宋体"/>
                <w:b/>
                <w:color w:val="000000"/>
                <w:kern w:val="0"/>
                <w:sz w:val="24"/>
              </w:rPr>
              <w:t>专栏6 茶叶优势区域布局</w:t>
            </w:r>
          </w:p>
        </w:tc>
      </w:tr>
      <w:tr w14:paraId="430F6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61" w:type="dxa"/>
            <w:noWrap w:val="0"/>
            <w:vAlign w:val="top"/>
          </w:tcPr>
          <w:p w14:paraId="33A19C9C">
            <w:pPr>
              <w:autoSpaceDE w:val="0"/>
              <w:autoSpaceDN w:val="0"/>
              <w:adjustRightInd/>
              <w:spacing w:line="480" w:lineRule="exact"/>
              <w:ind w:firstLine="482"/>
              <w:rPr>
                <w:rFonts w:eastAsia="宋体"/>
                <w:bCs/>
                <w:color w:val="000000"/>
                <w:kern w:val="0"/>
                <w:sz w:val="24"/>
              </w:rPr>
            </w:pPr>
            <w:r>
              <w:rPr>
                <w:rFonts w:eastAsia="宋体"/>
                <w:b/>
                <w:bCs/>
                <w:color w:val="000000"/>
                <w:kern w:val="0"/>
                <w:sz w:val="24"/>
              </w:rPr>
              <w:t>1.绿茶优势产区。</w:t>
            </w:r>
            <w:r>
              <w:rPr>
                <w:rFonts w:eastAsia="宋体"/>
                <w:bCs/>
                <w:color w:val="000000"/>
                <w:kern w:val="0"/>
                <w:sz w:val="24"/>
              </w:rPr>
              <w:t>优质绿茶重点分布在武陵山脉、南岭山脉、罗宵山脉以及长岳山丘区，其优势产区包括石门县、慈利县、桃源县、澧县、桑植县、永顺县、保靖县、吉首市、古丈县、花垣县、龙山县、凤凰县、沅陵县、洞口县、会同县、江华瑶族自治县、蓝山县、汝城县、资兴市、桂东县、攸县、常宁市、南岳区、衡山县、渌口区、茶陵县、炎陵县、宁乡市、长沙县等29个县市区。大力发展名优绿茶，建设标准化基地，推广无性系良种，扩大绿茶精深加工能力，提高优质绿茶产量，同时建设名优绿茶冷藏保鲜库、茶文化博览园等，建立优质绿茶出口基地。重点培育区域公共品牌和企业品牌。</w:t>
            </w:r>
          </w:p>
          <w:p w14:paraId="00C2A8AF">
            <w:pPr>
              <w:autoSpaceDE w:val="0"/>
              <w:autoSpaceDN w:val="0"/>
              <w:adjustRightInd/>
              <w:spacing w:line="480" w:lineRule="exact"/>
              <w:ind w:firstLine="482"/>
              <w:rPr>
                <w:rFonts w:eastAsia="宋体"/>
                <w:bCs/>
                <w:color w:val="000000"/>
                <w:kern w:val="0"/>
                <w:sz w:val="24"/>
              </w:rPr>
            </w:pPr>
            <w:r>
              <w:rPr>
                <w:rFonts w:eastAsia="宋体"/>
                <w:b/>
                <w:bCs/>
                <w:color w:val="000000"/>
                <w:kern w:val="0"/>
                <w:sz w:val="24"/>
              </w:rPr>
              <w:t>2. 红茶优势产区</w:t>
            </w:r>
            <w:r>
              <w:rPr>
                <w:rFonts w:eastAsia="宋体"/>
                <w:bCs/>
                <w:color w:val="000000"/>
                <w:kern w:val="0"/>
                <w:sz w:val="24"/>
              </w:rPr>
              <w:t>。湖南茶叶主产区几乎都生产红茶，但优势产区主要还是分布在武陵山脉、雪峰山脉、五岭山脉、罗霄山脉等区域，包括石门县、桃源县、新化县、安化县、洞口县、隆回县、新宁县、城步苗族自治县、吉首市、保靖县、古丈县、永顺县、花垣县、江华瑶族自治县、蓝山县、宜章县、汝城县、桂东县、韶山市、湘乡市、炎陵县、常宁市、茶陵县、平江县等24个县市区。该区域以湖南红茶省级公共品牌为统领，建立湖南红茶市、县区域品牌核心产区，扶强优势企业品牌，构建红茶品牌体系，围绕湖南红茶核心产区，建立优质红茶出口基地，着力打造湖南红茶产业集群，打响湖南红茶这张名片。</w:t>
            </w:r>
          </w:p>
          <w:p w14:paraId="786982F6">
            <w:pPr>
              <w:widowControl/>
              <w:adjustRightInd/>
              <w:spacing w:line="480" w:lineRule="exact"/>
              <w:ind w:firstLine="482"/>
              <w:jc w:val="left"/>
              <w:rPr>
                <w:rFonts w:eastAsia="宋体"/>
                <w:bCs/>
                <w:color w:val="000000"/>
                <w:kern w:val="0"/>
                <w:sz w:val="24"/>
              </w:rPr>
            </w:pPr>
            <w:r>
              <w:rPr>
                <w:rFonts w:eastAsia="宋体"/>
                <w:b/>
                <w:color w:val="000000"/>
                <w:sz w:val="24"/>
              </w:rPr>
              <w:t>3.黑茶优势产区。</w:t>
            </w:r>
            <w:r>
              <w:rPr>
                <w:rFonts w:eastAsia="宋体"/>
                <w:bCs/>
                <w:color w:val="000000"/>
                <w:kern w:val="0"/>
                <w:sz w:val="24"/>
              </w:rPr>
              <w:t>湖南省黑茶优势产区主要分布在雪峰山脉和湘北部分地区，包括安化县、桃江县、赫山区、资阳区、新化县、桃源县、临湘市、祁阳市等8个县市区。重点培育“安化黑茶”区域公用品牌，大力发展黑茶精深加工，加大黑茶功能成分提取以及茶饮料、速溶茶的研发生产；稳定边茶加工，拓展内销、外销市场。发展“茶+”多业态生态圈综合体，拓展茶叶产业链，带动区域经济发展。</w:t>
            </w:r>
          </w:p>
          <w:p w14:paraId="1FD5459E">
            <w:pPr>
              <w:autoSpaceDE w:val="0"/>
              <w:autoSpaceDN w:val="0"/>
              <w:adjustRightInd/>
              <w:spacing w:line="480" w:lineRule="exact"/>
              <w:ind w:firstLine="482"/>
              <w:rPr>
                <w:rFonts w:eastAsia="宋体"/>
                <w:bCs/>
                <w:color w:val="000000"/>
                <w:kern w:val="0"/>
                <w:sz w:val="24"/>
              </w:rPr>
            </w:pPr>
            <w:r>
              <w:rPr>
                <w:rFonts w:eastAsia="宋体"/>
                <w:b/>
                <w:color w:val="000000"/>
                <w:kern w:val="0"/>
                <w:sz w:val="24"/>
              </w:rPr>
              <w:t>4.</w:t>
            </w:r>
            <w:r>
              <w:rPr>
                <w:rFonts w:eastAsia="宋体"/>
                <w:b/>
                <w:color w:val="000000"/>
                <w:sz w:val="24"/>
              </w:rPr>
              <w:t>黄茶优势产区</w:t>
            </w:r>
            <w:r>
              <w:rPr>
                <w:rFonts w:eastAsia="宋体"/>
                <w:b/>
                <w:color w:val="000000"/>
                <w:kern w:val="0"/>
                <w:sz w:val="24"/>
              </w:rPr>
              <w:t>。</w:t>
            </w:r>
            <w:r>
              <w:rPr>
                <w:rFonts w:eastAsia="宋体"/>
                <w:bCs/>
                <w:color w:val="000000"/>
                <w:kern w:val="0"/>
                <w:sz w:val="24"/>
              </w:rPr>
              <w:t>湖南省黄茶主产区重点布局在环洞庭湖区，有“中国黄茶之乡”之称，包括湘阴县、汨罗市、平江县、岳阳县、君山区等5个县市区。重点培育“岳阳黄茶”区域公用品牌，进一步扩大黄茶标准化基地面积，建设特色茶出口基地，促进黄茶加工企业的工艺设备改造升级，不断提升黄茶品牌的知名度。</w:t>
            </w:r>
          </w:p>
          <w:p w14:paraId="515DB5C7">
            <w:pPr>
              <w:widowControl/>
              <w:adjustRightInd/>
              <w:spacing w:line="480" w:lineRule="exact"/>
              <w:ind w:firstLine="482"/>
              <w:jc w:val="left"/>
              <w:rPr>
                <w:color w:val="000000"/>
                <w:szCs w:val="32"/>
              </w:rPr>
            </w:pPr>
            <w:r>
              <w:rPr>
                <w:rFonts w:eastAsia="宋体"/>
                <w:b/>
                <w:color w:val="000000"/>
                <w:kern w:val="0"/>
                <w:sz w:val="24"/>
              </w:rPr>
              <w:t>5.</w:t>
            </w:r>
            <w:r>
              <w:rPr>
                <w:rFonts w:eastAsia="宋体"/>
                <w:b/>
                <w:color w:val="000000"/>
                <w:sz w:val="24"/>
              </w:rPr>
              <w:t>白茶优势产区</w:t>
            </w:r>
            <w:r>
              <w:rPr>
                <w:rFonts w:eastAsia="宋体"/>
                <w:b/>
                <w:color w:val="000000"/>
                <w:kern w:val="0"/>
                <w:sz w:val="24"/>
              </w:rPr>
              <w:t>。</w:t>
            </w:r>
            <w:r>
              <w:rPr>
                <w:rFonts w:eastAsia="宋体"/>
                <w:bCs/>
                <w:color w:val="000000"/>
                <w:kern w:val="0"/>
                <w:sz w:val="24"/>
              </w:rPr>
              <w:t>白茶在湖南产量比较小，其生产主要以桑植县为核心，汝城县也有少量生产，重点继续培育“桑植白茶”区域公用品牌，进一步提升白茶加工工艺，拓展国内市场，建设特色茶出口基地。</w:t>
            </w:r>
          </w:p>
        </w:tc>
      </w:tr>
    </w:tbl>
    <w:p w14:paraId="37B987A0">
      <w:pPr>
        <w:spacing w:line="550" w:lineRule="atLeast"/>
        <w:ind w:firstLine="643"/>
        <w:outlineLvl w:val="2"/>
        <w:rPr>
          <w:rFonts w:eastAsia="楷体_GB2312"/>
          <w:b/>
          <w:bCs/>
          <w:color w:val="000000"/>
          <w:kern w:val="0"/>
          <w:szCs w:val="32"/>
        </w:rPr>
      </w:pPr>
      <w:bookmarkStart w:id="57" w:name="_Toc105594904"/>
      <w:bookmarkStart w:id="58" w:name="_Toc23502"/>
      <w:r>
        <w:rPr>
          <w:rFonts w:eastAsia="楷体_GB2312"/>
          <w:b/>
          <w:bCs/>
          <w:color w:val="000000"/>
          <w:kern w:val="0"/>
          <w:szCs w:val="32"/>
        </w:rPr>
        <w:t>（七）中药材</w:t>
      </w:r>
      <w:bookmarkEnd w:id="57"/>
      <w:bookmarkEnd w:id="58"/>
    </w:p>
    <w:p w14:paraId="1F820335">
      <w:pPr>
        <w:spacing w:line="550" w:lineRule="atLeast"/>
        <w:ind w:firstLine="640"/>
        <w:rPr>
          <w:color w:val="000000"/>
        </w:rPr>
      </w:pPr>
      <w:bookmarkStart w:id="59" w:name="_Toc105595000"/>
      <w:bookmarkStart w:id="60" w:name="_Toc105594905"/>
      <w:r>
        <w:rPr>
          <w:color w:val="000000"/>
        </w:rPr>
        <w:t>2020年，全省中药材种植面积468万亩。“十四五”期间，中药材生产以稳定种植面积，提升药材质量，培育打造全国市场认可的“湘九味”中药材品牌品种为重点。到2025年，全省中药材面积稳定在500万亩左右，道地药材和特色药材占60%以上。</w:t>
      </w:r>
    </w:p>
    <w:p w14:paraId="34DE6F82">
      <w:pPr>
        <w:spacing w:line="550" w:lineRule="atLeast"/>
        <w:ind w:firstLine="643"/>
        <w:rPr>
          <w:color w:val="000000"/>
          <w:kern w:val="0"/>
        </w:rPr>
      </w:pPr>
      <w:r>
        <w:rPr>
          <w:b/>
          <w:bCs/>
          <w:color w:val="000000"/>
        </w:rPr>
        <w:t>优化生产布局。</w:t>
      </w:r>
      <w:r>
        <w:rPr>
          <w:color w:val="000000"/>
        </w:rPr>
        <w:t>依据气候资源、立地条件等区域特点，建设道地与特色药材生态化生产基地，发挥道地药材的品质特性。建好湘中道地药材优势片和湘东道地与特色药材优势片，加快形成布局合理、特色鲜明、供给有力的中药材生产格局，以湖南省20个中药材种植基地示范县为核心，发展“湘九味”及其他湘产道地中药材和特色中药材。</w:t>
      </w:r>
      <w:bookmarkEnd w:id="59"/>
      <w:bookmarkEnd w:id="60"/>
      <w:r>
        <w:rPr>
          <w:b/>
          <w:color w:val="000000"/>
          <w:kern w:val="0"/>
        </w:rPr>
        <w:t>加快品种选育。</w:t>
      </w:r>
      <w:r>
        <w:rPr>
          <w:color w:val="000000"/>
          <w:kern w:val="0"/>
        </w:rPr>
        <w:t>开展道地与特色药材野生资源保护和优良品种选育，加快野生药材驯化和人工繁育，建设中药材良种繁育基地。推广特色中药材优良品种及其繁育技术，提纯复壮并推广一批地域性强、品质优良、质量稳定的新品种。</w:t>
      </w:r>
      <w:r>
        <w:rPr>
          <w:b/>
          <w:color w:val="000000"/>
          <w:kern w:val="0"/>
        </w:rPr>
        <w:t>推进标准化种植。</w:t>
      </w:r>
      <w:r>
        <w:rPr>
          <w:color w:val="000000"/>
          <w:kern w:val="0"/>
        </w:rPr>
        <w:t>加快建设一批标准高、规模大、质量优的中药材种子种苗繁育基地，提高道地与特色药材供种供苗能力。促进农机农艺融合，集成组装适宜不同区域、不同品种的中药材绿色优质高效技术模式，打造一批种植规模化、设施现代化、生产标准化的中药材特色生产基地，开展中药材种植基地示范县动态评估，培育一批县域中药材品牌。加强对中药材良种选育、病虫害防治等方面的科技开发，加强对各药材生产基地和药农的技术指导和人员培训工作。加强质量追溯体系建设，构建覆盖种养、加工、收购、贮藏、运输、销售等各环节的质量追溯体系。</w:t>
      </w:r>
    </w:p>
    <w:p w14:paraId="157EC078">
      <w:pPr>
        <w:spacing w:line="550" w:lineRule="atLeast"/>
        <w:ind w:firstLine="643"/>
        <w:outlineLvl w:val="2"/>
        <w:rPr>
          <w:rFonts w:eastAsia="楷体_GB2312"/>
          <w:b/>
          <w:bCs/>
          <w:color w:val="000000"/>
          <w:kern w:val="0"/>
          <w:szCs w:val="32"/>
        </w:rPr>
      </w:pPr>
      <w:bookmarkStart w:id="61" w:name="_Toc105594906"/>
      <w:bookmarkStart w:id="62" w:name="_Toc13165"/>
      <w:r>
        <w:rPr>
          <w:rFonts w:eastAsia="楷体_GB2312"/>
          <w:b/>
          <w:bCs/>
          <w:color w:val="000000"/>
          <w:kern w:val="0"/>
          <w:szCs w:val="32"/>
        </w:rPr>
        <w:t>（八）麻类</w:t>
      </w:r>
      <w:bookmarkEnd w:id="61"/>
      <w:bookmarkEnd w:id="62"/>
    </w:p>
    <w:p w14:paraId="4C82D81A">
      <w:pPr>
        <w:spacing w:line="550" w:lineRule="atLeast"/>
        <w:ind w:firstLine="640"/>
        <w:rPr>
          <w:color w:val="000000"/>
          <w:kern w:val="0"/>
        </w:rPr>
      </w:pPr>
      <w:r>
        <w:rPr>
          <w:color w:val="000000"/>
          <w:kern w:val="0"/>
        </w:rPr>
        <w:t>2020年，全省麻类种植面积11.3万亩，在全国22个产麻省中排名第8位，其中苎麻面积10.3万亩，产量为1.5万吨，其次是黄红麻，面积为1万亩，产量为0.3万吨。</w:t>
      </w:r>
    </w:p>
    <w:p w14:paraId="65D1A330">
      <w:pPr>
        <w:spacing w:line="550" w:lineRule="atLeast"/>
        <w:ind w:firstLine="640"/>
        <w:rPr>
          <w:color w:val="000000"/>
          <w:kern w:val="0"/>
        </w:rPr>
      </w:pPr>
      <w:r>
        <w:rPr>
          <w:color w:val="000000"/>
          <w:kern w:val="0"/>
        </w:rPr>
        <w:t>“十四五”时期，重点在优化麻类结构，平原区主要以高产优质苎麻生产为主，重金属污染耕地实施苎麻、黄红麻替代种植，发展纤维产业。集成推广高品质、抗性强的苎麻品种，主要有“中苎一号”、“湘苎三号”、“多倍体一号”等，并采用配套轻简高效种植技术模式，提高全程机械化水平。到2025年，全省麻类种植面积稳定在11.3万亩左右，产量1.8万吨以上。</w:t>
      </w:r>
    </w:p>
    <w:p w14:paraId="73FD4184">
      <w:pPr>
        <w:spacing w:line="550" w:lineRule="atLeast"/>
        <w:ind w:firstLine="640"/>
        <w:rPr>
          <w:color w:val="000000"/>
          <w:kern w:val="0"/>
        </w:rPr>
      </w:pPr>
      <w:r>
        <w:rPr>
          <w:color w:val="000000"/>
          <w:kern w:val="0"/>
        </w:rPr>
        <w:t>苎麻重点布局在沅江市、汉寿县、南县、华容县、君山区、桃源县、浏阳市、慈利县、永定区等县市区。</w:t>
      </w:r>
    </w:p>
    <w:p w14:paraId="1F7D1A41">
      <w:pPr>
        <w:spacing w:line="550" w:lineRule="atLeast"/>
        <w:ind w:firstLine="643"/>
        <w:outlineLvl w:val="2"/>
        <w:rPr>
          <w:rFonts w:eastAsia="楷体_GB2312"/>
          <w:b/>
          <w:bCs/>
          <w:color w:val="000000"/>
          <w:kern w:val="0"/>
          <w:szCs w:val="32"/>
        </w:rPr>
      </w:pPr>
      <w:bookmarkStart w:id="63" w:name="_Toc16076"/>
      <w:bookmarkStart w:id="64" w:name="_Toc105594907"/>
      <w:r>
        <w:rPr>
          <w:rFonts w:eastAsia="楷体_GB2312"/>
          <w:b/>
          <w:bCs/>
          <w:color w:val="000000"/>
          <w:kern w:val="0"/>
          <w:szCs w:val="32"/>
        </w:rPr>
        <w:t>（九）蚕桑</w:t>
      </w:r>
      <w:bookmarkEnd w:id="63"/>
      <w:bookmarkEnd w:id="64"/>
    </w:p>
    <w:p w14:paraId="44E5B3B7">
      <w:pPr>
        <w:spacing w:line="550" w:lineRule="atLeast"/>
        <w:ind w:firstLine="640"/>
        <w:rPr>
          <w:color w:val="000000"/>
          <w:kern w:val="0"/>
        </w:rPr>
      </w:pPr>
      <w:r>
        <w:rPr>
          <w:color w:val="000000"/>
          <w:kern w:val="0"/>
        </w:rPr>
        <w:t>2020年，湖南省桑园面积15.8万亩，发种量8.6万张，蚕茧产量2950吨。“十四五”时期，全省蚕桑业重点在创新种养方式，集成省力高效新技术，提高机械化水平。到2025年，全省桑园面积稳定发展到20万亩，产量达6万吨左右，其中人工饲料工厂化养蚕产茧量5万吨以上，蚕茧销售总收入超过30亿。</w:t>
      </w:r>
    </w:p>
    <w:p w14:paraId="06C95788">
      <w:pPr>
        <w:spacing w:line="550" w:lineRule="atLeast"/>
        <w:ind w:firstLine="643"/>
        <w:rPr>
          <w:color w:val="000000"/>
          <w:kern w:val="0"/>
        </w:rPr>
      </w:pPr>
      <w:bookmarkStart w:id="65" w:name="_Toc21995"/>
      <w:bookmarkStart w:id="66" w:name="_Toc105594908"/>
      <w:r>
        <w:rPr>
          <w:b/>
          <w:color w:val="000000"/>
          <w:kern w:val="0"/>
        </w:rPr>
        <w:t>推广优良品种。</w:t>
      </w:r>
      <w:r>
        <w:rPr>
          <w:color w:val="000000"/>
          <w:kern w:val="0"/>
        </w:rPr>
        <w:t>重点推广具有抗逆性特点的强健、优质、高产桑蚕新品种，实行良种良法，桑蚕品种良种化。加强蚕桑新技术创新研究，选育蚕用、饲用、茶用、药用、菜用、果用桑树新品种，培育高产优质高抗、天然彩色茧、食药用、科普用和人工饲料新蚕品种。</w:t>
      </w:r>
      <w:r>
        <w:rPr>
          <w:b/>
          <w:color w:val="000000"/>
        </w:rPr>
        <w:t>集成推广高效技术。</w:t>
      </w:r>
      <w:r>
        <w:rPr>
          <w:color w:val="000000"/>
          <w:kern w:val="0"/>
        </w:rPr>
        <w:t>集成省力高效新技术，推广蚕桑专业新机械、设备与器具，逐步实现作业机械化。全面推广具有湖南区域特色的现代蚕业“222”高效种养、桑园复合经营、循环养殖等新技术，推行桑蚕品种优良化、桑园管理机械化、蚕种催青智能化、消毒防病制度化、小蚕饲养共育化、大棚养蚕省力化、熟蚕上蔟方格化等轻简化省力化养蚕技术。</w:t>
      </w:r>
      <w:r>
        <w:rPr>
          <w:b/>
          <w:color w:val="000000"/>
          <w:kern w:val="0"/>
        </w:rPr>
        <w:t>优化区域布局。</w:t>
      </w:r>
      <w:r>
        <w:rPr>
          <w:color w:val="000000"/>
          <w:kern w:val="0"/>
        </w:rPr>
        <w:t>重点发展大湘西优质蚕茧产业带、环洞庭湖蚕桑特色产业带、湘中生态蚕桑产业带与湘东南高产高效产业带。大湘西重点发展花垣县、凤凰县、保靖县、泸溪县、永顺县、桑植县、慈利县、沅陵县、通道侗族自治县等县市区；环洞庭湖重点发展津市市、澧县、鼎城区、君山区、岳阳县、平江县等县市区；湘中主要发展武冈市、洞口县、绥宁县、城步苗族自治县、邵东市、双峰县等县市区；湘东南主要发展宁乡市、长沙县、浏阳市、渌口区、湘潭县、醴陵市、攸县、茶陵县、祁阳市、道县、宁远县等县市区。</w:t>
      </w:r>
    </w:p>
    <w:p w14:paraId="683E4CCB">
      <w:pPr>
        <w:spacing w:line="550" w:lineRule="atLeast"/>
        <w:ind w:firstLine="643"/>
        <w:outlineLvl w:val="2"/>
        <w:rPr>
          <w:rFonts w:eastAsia="楷体_GB2312"/>
          <w:b/>
          <w:bCs/>
          <w:color w:val="000000"/>
          <w:kern w:val="0"/>
          <w:szCs w:val="32"/>
        </w:rPr>
      </w:pPr>
      <w:r>
        <w:rPr>
          <w:rFonts w:eastAsia="楷体_GB2312"/>
          <w:b/>
          <w:bCs/>
          <w:color w:val="000000"/>
          <w:kern w:val="0"/>
          <w:szCs w:val="32"/>
        </w:rPr>
        <w:t>（十）花卉</w:t>
      </w:r>
      <w:bookmarkEnd w:id="65"/>
      <w:bookmarkEnd w:id="66"/>
    </w:p>
    <w:p w14:paraId="7C11074B">
      <w:pPr>
        <w:spacing w:line="550" w:lineRule="atLeast"/>
        <w:ind w:firstLine="640"/>
        <w:rPr>
          <w:color w:val="000000"/>
          <w:kern w:val="0"/>
        </w:rPr>
      </w:pPr>
      <w:r>
        <w:rPr>
          <w:color w:val="000000"/>
          <w:kern w:val="0"/>
        </w:rPr>
        <w:t>2020年，全省种植面积117.9万亩，年产值68.9亿元。到2025年，全省花卉产业种植总面积发展到150万亩，年销售产值100亿元。</w:t>
      </w:r>
    </w:p>
    <w:p w14:paraId="260567B3">
      <w:pPr>
        <w:spacing w:line="550" w:lineRule="atLeast"/>
        <w:ind w:firstLine="643"/>
        <w:rPr>
          <w:color w:val="000000"/>
          <w:kern w:val="0"/>
        </w:rPr>
      </w:pPr>
      <w:r>
        <w:rPr>
          <w:b/>
          <w:color w:val="000000"/>
          <w:kern w:val="0"/>
        </w:rPr>
        <w:t>优化产业结构。</w:t>
      </w:r>
      <w:r>
        <w:rPr>
          <w:color w:val="000000"/>
          <w:kern w:val="0"/>
        </w:rPr>
        <w:t>按照自然、区位条件和产业基础，以长沙市、株洲市、湘潭市、益阳市、常德市为核心，发展观赏性花卉。以邵阳市为主，衡阳市、湘西自治州、怀化市、娄底市、永州市、张家界市等为辅，发展山银花、百合、丹皮、玫瑰、黄花菜、菊花、栀子花、迷迭香等食用药用加工用花卉。以张家界市、湘西自治州、常德市、岳阳市、永州市部分地区为核心，发展湿地花卉。以郴州市、永州市为重点，发展亚热带彩叶植物。</w:t>
      </w:r>
      <w:r>
        <w:rPr>
          <w:b/>
          <w:color w:val="000000"/>
          <w:kern w:val="0"/>
        </w:rPr>
        <w:t>加快品种选育与推广。</w:t>
      </w:r>
      <w:r>
        <w:rPr>
          <w:color w:val="000000"/>
          <w:kern w:val="0"/>
        </w:rPr>
        <w:t>加强花卉种质资源利用，建立湖南特色花卉种质资源库，加强新品种选育与品种权保护。重点发展盆花与观叶植物、绿化苗木、食用与药用花卉、盆栽植物、草坪及湖南省取得国家授权且拥有自主知识产权的花卉新品种。</w:t>
      </w:r>
    </w:p>
    <w:p w14:paraId="37292E3B">
      <w:pPr>
        <w:spacing w:line="550" w:lineRule="atLeast"/>
        <w:ind w:firstLine="643"/>
        <w:outlineLvl w:val="2"/>
        <w:rPr>
          <w:rFonts w:eastAsia="楷体_GB2312"/>
          <w:b/>
          <w:bCs/>
          <w:color w:val="000000"/>
          <w:kern w:val="0"/>
          <w:szCs w:val="32"/>
        </w:rPr>
      </w:pPr>
      <w:bookmarkStart w:id="67" w:name="_Toc21763"/>
      <w:bookmarkStart w:id="68" w:name="_Toc105594909"/>
      <w:r>
        <w:rPr>
          <w:rFonts w:eastAsia="楷体_GB2312"/>
          <w:b/>
          <w:bCs/>
          <w:color w:val="000000"/>
          <w:kern w:val="0"/>
          <w:szCs w:val="32"/>
        </w:rPr>
        <w:t>（十一）甘蔗</w:t>
      </w:r>
      <w:bookmarkEnd w:id="67"/>
      <w:bookmarkEnd w:id="68"/>
    </w:p>
    <w:p w14:paraId="3BB95AEC">
      <w:pPr>
        <w:spacing w:line="550" w:lineRule="atLeast"/>
        <w:ind w:firstLine="640"/>
        <w:rPr>
          <w:color w:val="000000"/>
          <w:kern w:val="0"/>
        </w:rPr>
      </w:pPr>
      <w:r>
        <w:rPr>
          <w:color w:val="000000"/>
          <w:kern w:val="0"/>
        </w:rPr>
        <w:t>2020年，湖南省甘蔗面积11.4万亩，产量34.9万吨。“十四五”期间，主要是稳定甘蔗播种面积和产量，推广种植高产、高糖、抗逆性强、抗倒伏能力强、宿根性好</w:t>
      </w:r>
      <w:r>
        <w:rPr>
          <w:rFonts w:hint="eastAsia"/>
          <w:color w:val="000000"/>
          <w:kern w:val="0"/>
        </w:rPr>
        <w:t>、</w:t>
      </w:r>
      <w:r>
        <w:rPr>
          <w:color w:val="000000"/>
          <w:kern w:val="0"/>
        </w:rPr>
        <w:t>适应性广的果蔗品种。推广应用“浅种、宽行、密植”栽培方式，施足基肥等技术方法，提高甘蔗种植、田间管理、采收机械化水平。到2025年，全省甘蔗播种面积稳定在10万亩左右，产量35万吨左右。</w:t>
      </w:r>
    </w:p>
    <w:p w14:paraId="1B16507E">
      <w:pPr>
        <w:spacing w:line="550" w:lineRule="atLeast"/>
        <w:ind w:firstLine="624"/>
        <w:rPr>
          <w:color w:val="000000"/>
          <w:spacing w:val="-4"/>
          <w:kern w:val="0"/>
        </w:rPr>
      </w:pPr>
      <w:r>
        <w:rPr>
          <w:color w:val="000000"/>
          <w:spacing w:val="-4"/>
          <w:kern w:val="0"/>
        </w:rPr>
        <w:t>甘蔗重点布局</w:t>
      </w:r>
      <w:bookmarkStart w:id="69" w:name="_Toc105594910"/>
      <w:r>
        <w:rPr>
          <w:color w:val="000000"/>
          <w:spacing w:val="-4"/>
          <w:kern w:val="0"/>
        </w:rPr>
        <w:t>在汉寿县、澧县、鼎城区、安乡县、大通湖区、赫山区、南县、祁东市、溆浦县、冷水滩区等县市区。</w:t>
      </w:r>
    </w:p>
    <w:p w14:paraId="08B3DA48">
      <w:pPr>
        <w:spacing w:line="550" w:lineRule="atLeast"/>
        <w:ind w:firstLine="643"/>
        <w:outlineLvl w:val="2"/>
        <w:rPr>
          <w:rFonts w:eastAsia="楷体_GB2312"/>
          <w:b/>
          <w:bCs/>
          <w:color w:val="000000"/>
          <w:kern w:val="0"/>
          <w:szCs w:val="32"/>
        </w:rPr>
      </w:pPr>
      <w:bookmarkStart w:id="70" w:name="_Toc31180"/>
      <w:r>
        <w:rPr>
          <w:rFonts w:eastAsia="楷体_GB2312"/>
          <w:b/>
          <w:bCs/>
          <w:color w:val="000000"/>
          <w:kern w:val="0"/>
          <w:szCs w:val="32"/>
        </w:rPr>
        <w:t>（十二）烟</w:t>
      </w:r>
      <w:bookmarkEnd w:id="69"/>
      <w:r>
        <w:rPr>
          <w:rFonts w:eastAsia="楷体_GB2312"/>
          <w:b/>
          <w:bCs/>
          <w:color w:val="000000"/>
          <w:kern w:val="0"/>
          <w:szCs w:val="32"/>
        </w:rPr>
        <w:t>叶</w:t>
      </w:r>
      <w:bookmarkEnd w:id="70"/>
    </w:p>
    <w:p w14:paraId="74691744">
      <w:pPr>
        <w:spacing w:line="550" w:lineRule="atLeast"/>
        <w:ind w:firstLine="640"/>
        <w:rPr>
          <w:color w:val="000000"/>
          <w:kern w:val="0"/>
        </w:rPr>
      </w:pPr>
      <w:r>
        <w:rPr>
          <w:color w:val="000000"/>
          <w:kern w:val="0"/>
        </w:rPr>
        <w:t>2020年，全省烟叶播种面积110.7万亩，收购量13.2万吨，居全国第4位。</w:t>
      </w:r>
    </w:p>
    <w:p w14:paraId="0238F402">
      <w:pPr>
        <w:spacing w:line="550" w:lineRule="atLeast"/>
        <w:ind w:firstLine="640"/>
        <w:rPr>
          <w:color w:val="000000"/>
          <w:kern w:val="0"/>
        </w:rPr>
      </w:pPr>
      <w:r>
        <w:rPr>
          <w:color w:val="000000"/>
          <w:kern w:val="0"/>
        </w:rPr>
        <w:t>“十四五”时期，围绕提升优质烟叶原料保障能力，稳步推进烟区生产力布局优化，提高烟草生产集中度和集约化水平，加快烟叶生产转型升级，推进烟叶生产全程机械化应用，实现烟草产业高质量发展。到2025年，全省烟叶面积稳定在140万亩左右，产量17.5万吨左右，稳居全国第3位。</w:t>
      </w:r>
    </w:p>
    <w:p w14:paraId="1AB8CAF9">
      <w:pPr>
        <w:ind w:firstLine="643"/>
        <w:rPr>
          <w:color w:val="000000"/>
          <w:kern w:val="0"/>
        </w:rPr>
      </w:pPr>
      <w:r>
        <w:rPr>
          <w:b/>
          <w:color w:val="000000"/>
        </w:rPr>
        <w:t>优化烟区空间布局</w:t>
      </w:r>
      <w:r>
        <w:rPr>
          <w:color w:val="000000"/>
        </w:rPr>
        <w:t>。稳步推进市州级烟区空间布局优化，推动资源要素向核心烟区、重点烟区转移，力争通过5年时间，核心烟区产能占比调增到60%以上，重点烟区产能占比稳定在40%以内。</w:t>
      </w:r>
      <w:r>
        <w:rPr>
          <w:b/>
          <w:color w:val="000000"/>
        </w:rPr>
        <w:t>优化烟区产能布局。</w:t>
      </w:r>
      <w:r>
        <w:rPr>
          <w:color w:val="000000"/>
        </w:rPr>
        <w:t>着力推动县、乡、村产能布局优化，力争通过5年时间，5万担以上的县、万担乡、千亩村产能占比分别达到90%、80%、60%左右。</w:t>
      </w:r>
      <w:r>
        <w:rPr>
          <w:b/>
          <w:color w:val="000000"/>
        </w:rPr>
        <w:t>在烟稻轮作区，推进高标准基本烟田建设。</w:t>
      </w:r>
      <w:r>
        <w:rPr>
          <w:color w:val="000000"/>
        </w:rPr>
        <w:t>以灌溉排水、田间道路、土地平整为主要建设内容，对现有要素进行再配置、再提升，全面覆盖核心烟区、重点烟区。</w:t>
      </w:r>
      <w:r>
        <w:rPr>
          <w:b/>
          <w:color w:val="000000"/>
        </w:rPr>
        <w:t>推进烟叶生产设施装备提升。</w:t>
      </w:r>
      <w:r>
        <w:rPr>
          <w:color w:val="000000"/>
        </w:rPr>
        <w:t>结合布局优化，在推进高标准基本烟田规划建设的基础上，因地制宜、分类做好育苗设施、密集烤房、高效作业机械以及支撑绿色发展的新技术装备等生产设施配套完善工作。</w:t>
      </w:r>
      <w:r>
        <w:rPr>
          <w:b/>
          <w:color w:val="000000"/>
        </w:rPr>
        <w:t>推进烟叶生产方式转型。</w:t>
      </w:r>
      <w:r>
        <w:rPr>
          <w:color w:val="000000"/>
        </w:rPr>
        <w:t>加快构建以集约经营、连片作业为基础的现代生产方式。</w:t>
      </w:r>
      <w:r>
        <w:rPr>
          <w:b/>
          <w:color w:val="000000"/>
        </w:rPr>
        <w:t>推进烟叶绿色生产。</w:t>
      </w:r>
      <w:r>
        <w:rPr>
          <w:color w:val="000000"/>
        </w:rPr>
        <w:t>围绕“一控两减三基本”目标，严格落实以烟为主的烟粮轮作制度，</w:t>
      </w:r>
      <w:r>
        <w:rPr>
          <w:color w:val="000000"/>
          <w:kern w:val="0"/>
        </w:rPr>
        <w:t>努力形成以土壤保育、绿色防控、节能减排为重点的绿色生态优质烟叶生产体系。</w:t>
      </w:r>
      <w:r>
        <w:rPr>
          <w:b/>
          <w:color w:val="000000"/>
          <w:kern w:val="0"/>
        </w:rPr>
        <w:t>推进烟区产业融合发展。</w:t>
      </w:r>
      <w:r>
        <w:rPr>
          <w:color w:val="000000"/>
          <w:kern w:val="0"/>
        </w:rPr>
        <w:t>按照“平台管理好、设施配套好、产业组合好、市场销售好、烟农收益好”的五好要求，推进“烟叶+非烟”产业融合发展的烟区产业综合体建设。</w:t>
      </w:r>
    </w:p>
    <w:p w14:paraId="7C4A7D51">
      <w:pPr>
        <w:spacing w:line="550" w:lineRule="atLeast"/>
        <w:ind w:firstLine="0" w:firstLineChars="0"/>
        <w:jc w:val="center"/>
        <w:outlineLvl w:val="0"/>
        <w:rPr>
          <w:rFonts w:hint="eastAsia" w:eastAsia="黑体"/>
          <w:bCs/>
          <w:color w:val="000000"/>
          <w:kern w:val="0"/>
          <w:szCs w:val="32"/>
        </w:rPr>
      </w:pPr>
      <w:bookmarkStart w:id="71" w:name="_Toc5873"/>
      <w:bookmarkStart w:id="72" w:name="_Toc105594911"/>
    </w:p>
    <w:p w14:paraId="2CCA29E2">
      <w:pPr>
        <w:spacing w:line="550" w:lineRule="atLeast"/>
        <w:ind w:firstLine="0" w:firstLineChars="0"/>
        <w:jc w:val="center"/>
        <w:outlineLvl w:val="0"/>
        <w:rPr>
          <w:rFonts w:eastAsia="黑体"/>
          <w:bCs/>
          <w:color w:val="000000"/>
          <w:kern w:val="0"/>
          <w:szCs w:val="32"/>
        </w:rPr>
      </w:pPr>
      <w:r>
        <w:rPr>
          <w:rFonts w:eastAsia="黑体"/>
          <w:bCs/>
          <w:color w:val="000000"/>
          <w:kern w:val="0"/>
          <w:szCs w:val="32"/>
        </w:rPr>
        <w:t>第二节 区域布局</w:t>
      </w:r>
      <w:bookmarkEnd w:id="71"/>
      <w:bookmarkEnd w:id="72"/>
    </w:p>
    <w:p w14:paraId="7D2210AC">
      <w:pPr>
        <w:spacing w:line="550" w:lineRule="atLeast"/>
        <w:ind w:firstLine="643"/>
        <w:outlineLvl w:val="2"/>
        <w:rPr>
          <w:rFonts w:eastAsia="楷体_GB2312"/>
          <w:b/>
          <w:bCs/>
          <w:color w:val="000000"/>
          <w:kern w:val="0"/>
          <w:szCs w:val="32"/>
        </w:rPr>
      </w:pPr>
      <w:bookmarkStart w:id="73" w:name="_Toc105594912"/>
    </w:p>
    <w:p w14:paraId="67F7240F">
      <w:pPr>
        <w:spacing w:line="550" w:lineRule="atLeast"/>
        <w:ind w:firstLine="643"/>
        <w:outlineLvl w:val="2"/>
        <w:rPr>
          <w:rFonts w:eastAsia="楷体_GB2312"/>
          <w:b/>
          <w:bCs/>
          <w:color w:val="000000"/>
          <w:kern w:val="0"/>
          <w:szCs w:val="32"/>
        </w:rPr>
      </w:pPr>
      <w:bookmarkStart w:id="74" w:name="_Toc2041"/>
      <w:r>
        <w:rPr>
          <w:rFonts w:eastAsia="楷体_GB2312"/>
          <w:b/>
          <w:bCs/>
          <w:color w:val="000000"/>
          <w:kern w:val="0"/>
          <w:szCs w:val="32"/>
        </w:rPr>
        <w:t>（一）长株潭都市农业区</w:t>
      </w:r>
      <w:bookmarkEnd w:id="73"/>
      <w:bookmarkEnd w:id="74"/>
    </w:p>
    <w:p w14:paraId="2BCBCBB4">
      <w:pPr>
        <w:spacing w:line="550" w:lineRule="atLeast"/>
        <w:ind w:firstLine="640"/>
        <w:rPr>
          <w:color w:val="000000"/>
        </w:rPr>
      </w:pPr>
      <w:r>
        <w:rPr>
          <w:color w:val="000000"/>
        </w:rPr>
        <w:t>包括湘潭市全市，长沙市、株洲市的部分县市区。域内河谷平原宽广，丘陵岗地广布，光热水资源丰富，粮食和经济作物种植广泛，主要作物包括水稻、蔬菜、油菜、玉米、大豆、水果、茶叶和花卉等。“十四五”期间，立足交通区位优势，打造优质农产品供应基地。重点发展设施蔬菜、小水果及花卉等产业，建设设施农业示范基地；恢复双季稻播种面积，开展大豆玉米带状复合种植，巩固提升粮食生产战略地位；适度开发菜油两用，提高油菜生产比较效益。大力发展名优绿茶、红茶和出口茶，打造都市休闲农业体验区。</w:t>
      </w:r>
    </w:p>
    <w:p w14:paraId="08AA50EF">
      <w:pPr>
        <w:spacing w:line="550" w:lineRule="atLeast"/>
        <w:ind w:firstLine="643"/>
        <w:outlineLvl w:val="2"/>
        <w:rPr>
          <w:rFonts w:eastAsia="楷体_GB2312"/>
          <w:b/>
          <w:bCs/>
          <w:color w:val="000000"/>
          <w:kern w:val="0"/>
          <w:szCs w:val="32"/>
        </w:rPr>
      </w:pPr>
      <w:bookmarkStart w:id="75" w:name="_Toc105594913"/>
      <w:bookmarkStart w:id="76" w:name="_Toc23214"/>
      <w:r>
        <w:rPr>
          <w:rFonts w:eastAsia="楷体_GB2312"/>
          <w:b/>
          <w:bCs/>
          <w:color w:val="000000"/>
          <w:kern w:val="0"/>
          <w:szCs w:val="32"/>
        </w:rPr>
        <w:t>（二）洞庭湖平湖农业区</w:t>
      </w:r>
      <w:bookmarkEnd w:id="75"/>
      <w:bookmarkEnd w:id="76"/>
    </w:p>
    <w:p w14:paraId="5BC5E8CE">
      <w:pPr>
        <w:spacing w:line="550" w:lineRule="atLeast"/>
        <w:ind w:firstLine="640"/>
        <w:rPr>
          <w:color w:val="000000"/>
        </w:rPr>
      </w:pPr>
      <w:r>
        <w:rPr>
          <w:color w:val="000000"/>
        </w:rPr>
        <w:t>包括常德市、岳阳市、益阳市三市的部分县市区。俗有“鱼米之乡”“天下粮仓”的美称，域内土地肥沃，气候温和，物产丰富，是湖南省重要的商品粮油棉基地，</w:t>
      </w:r>
      <w:r>
        <w:rPr>
          <w:bCs/>
          <w:color w:val="000000"/>
        </w:rPr>
        <w:t>主要作物包括</w:t>
      </w:r>
      <w:r>
        <w:rPr>
          <w:color w:val="000000"/>
        </w:rPr>
        <w:t>水稻、油菜、棉花、蔬菜、茶叶等。“十四五”期间，立足农业资源丰富、生产基础良好，推进农业规模化发展。重点发展双季稻、油菜、棉花等产业。</w:t>
      </w:r>
      <w:r>
        <w:rPr>
          <w:bCs/>
          <w:color w:val="000000"/>
        </w:rPr>
        <w:t>稳定双季稻面积，</w:t>
      </w:r>
      <w:r>
        <w:rPr>
          <w:color w:val="000000"/>
        </w:rPr>
        <w:t>发展优质杂交稻，</w:t>
      </w:r>
      <w:r>
        <w:rPr>
          <w:bCs/>
          <w:color w:val="000000"/>
        </w:rPr>
        <w:t>巩固提升粮食综合生产能力；充分利用冬闲田种植油菜；推广专用棉和高品质棉品种种植；</w:t>
      </w:r>
      <w:r>
        <w:rPr>
          <w:color w:val="000000"/>
        </w:rPr>
        <w:t>发展露地蔬菜，并利用设施发展春提早、秋延后蔬菜生产，发展高档食用菌；优化柑橘品种结构，延长柑橘鲜果市场供应期；大力发展黑茶、黄茶、名优茶和出口茶。</w:t>
      </w:r>
    </w:p>
    <w:p w14:paraId="7D5DC3A1">
      <w:pPr>
        <w:spacing w:line="550" w:lineRule="atLeast"/>
        <w:ind w:firstLine="643"/>
        <w:outlineLvl w:val="2"/>
        <w:rPr>
          <w:rFonts w:eastAsia="楷体_GB2312"/>
          <w:b/>
          <w:bCs/>
          <w:color w:val="000000"/>
          <w:kern w:val="0"/>
          <w:szCs w:val="32"/>
        </w:rPr>
      </w:pPr>
      <w:bookmarkStart w:id="77" w:name="_Toc13203"/>
      <w:bookmarkStart w:id="78" w:name="_Toc105594914"/>
      <w:r>
        <w:rPr>
          <w:rFonts w:eastAsia="楷体_GB2312"/>
          <w:b/>
          <w:bCs/>
          <w:color w:val="000000"/>
          <w:kern w:val="0"/>
          <w:szCs w:val="32"/>
        </w:rPr>
        <w:t>（三）湘中南丘岗节水农业区</w:t>
      </w:r>
      <w:bookmarkEnd w:id="77"/>
      <w:bookmarkEnd w:id="78"/>
    </w:p>
    <w:p w14:paraId="0D301EA0">
      <w:pPr>
        <w:spacing w:line="550" w:lineRule="atLeast"/>
        <w:ind w:firstLine="640"/>
        <w:rPr>
          <w:bCs/>
          <w:color w:val="000000"/>
        </w:rPr>
      </w:pPr>
      <w:r>
        <w:rPr>
          <w:color w:val="000000"/>
        </w:rPr>
        <w:t>包括衡阳市全市，娄底市、邵阳市、永州市、郴州市的部分县市区。域内</w:t>
      </w:r>
      <w:r>
        <w:rPr>
          <w:bCs/>
          <w:color w:val="000000"/>
          <w:kern w:val="0"/>
        </w:rPr>
        <w:t>水热资源丰富，无霜期长，是湖南省重要的粮食、蔬菜、油料、水果和中药材基地，主要作物包括水稻、蔬菜、油菜、茶叶、玉米、大豆、棉花、食用菌、水果和中药材等。</w:t>
      </w:r>
      <w:r>
        <w:rPr>
          <w:color w:val="000000"/>
        </w:rPr>
        <w:t>“十四五”期间，充分挖掘丘岗、山地生产潜力，推进节水和循环农业发展。重点发展粮油、果蔬等优势农产品，</w:t>
      </w:r>
      <w:r>
        <w:rPr>
          <w:bCs/>
          <w:color w:val="000000"/>
        </w:rPr>
        <w:t>打造粤港澳大湾区</w:t>
      </w:r>
      <w:r>
        <w:rPr>
          <w:color w:val="000000"/>
        </w:rPr>
        <w:t>“米袋子”“菜篮子”“果盘子”基地。稳定双季稻面积，发展优质晚稻；开展大豆玉米带状复合种植；充分利用冬闲田种植油菜；在衡阳市等严格管控区实施棉花替代种植试点；面向粤港澳大湾区，形成外销出口蔬菜产业集群；建设</w:t>
      </w:r>
      <w:r>
        <w:rPr>
          <w:bCs/>
          <w:color w:val="000000"/>
        </w:rPr>
        <w:t>国家区域性柑橘良种苗木繁育基地，对接</w:t>
      </w:r>
      <w:r>
        <w:rPr>
          <w:color w:val="000000"/>
        </w:rPr>
        <w:t>供粤港澳大湾区发展炎陵黄桃、阳光玫瑰葡萄等特色水果；</w:t>
      </w:r>
      <w:r>
        <w:rPr>
          <w:bCs/>
          <w:color w:val="000000"/>
        </w:rPr>
        <w:t>大力发展优质红茶、名优绿茶和出口茶；建设标准化道地与特色中药材基地，提升中药材产业化、标准化生产水平。</w:t>
      </w:r>
    </w:p>
    <w:p w14:paraId="595E6E9A">
      <w:pPr>
        <w:spacing w:line="550" w:lineRule="atLeast"/>
        <w:ind w:firstLine="643"/>
        <w:outlineLvl w:val="2"/>
        <w:rPr>
          <w:rFonts w:eastAsia="楷体_GB2312"/>
          <w:b/>
          <w:bCs/>
          <w:color w:val="000000"/>
          <w:kern w:val="0"/>
          <w:szCs w:val="32"/>
        </w:rPr>
      </w:pPr>
      <w:bookmarkStart w:id="79" w:name="_Toc11905"/>
      <w:bookmarkStart w:id="80" w:name="_Toc105594915"/>
      <w:r>
        <w:rPr>
          <w:rFonts w:eastAsia="楷体_GB2312"/>
          <w:b/>
          <w:bCs/>
          <w:color w:val="000000"/>
          <w:kern w:val="0"/>
          <w:szCs w:val="32"/>
        </w:rPr>
        <w:t>（四）武陵雪峰南岭罗霄山脉山地农业区</w:t>
      </w:r>
      <w:bookmarkEnd w:id="79"/>
      <w:bookmarkEnd w:id="80"/>
    </w:p>
    <w:p w14:paraId="1697AA2D">
      <w:pPr>
        <w:spacing w:line="550" w:lineRule="atLeast"/>
        <w:ind w:firstLine="640"/>
        <w:rPr>
          <w:color w:val="000000"/>
        </w:rPr>
      </w:pPr>
      <w:r>
        <w:rPr>
          <w:color w:val="000000"/>
        </w:rPr>
        <w:t>包括湘西自治州、怀化市、张家界市三市，长沙市、株洲市、娄底市、邵阳市、永州市、郴州市的部分县市区。域内以山地为主，山高坡陡，盆地串联，生物资源丰富，是湖南省重要的中药材、水果、茶叶和特色旱杂粮生产基地，主要作物包括水稻、蔬菜、茶叶、玉米、大豆、红薯、水果和中药材等。“十四五”期间，重点发展品牌茶叶、特色水果、道地药材。建设国家级杂交水稻制种基地，发展高档优质稻；开展大豆玉米带状复合种植；</w:t>
      </w:r>
      <w:r>
        <w:rPr>
          <w:bCs/>
          <w:color w:val="000000"/>
        </w:rPr>
        <w:t>稳定大湘西地区的山坡地油菜播种面积；</w:t>
      </w:r>
      <w:r>
        <w:rPr>
          <w:color w:val="000000"/>
        </w:rPr>
        <w:t>建设国家区域性柑橘良种苗木繁育基地，重点发展温州蜜柑、</w:t>
      </w:r>
      <w:r>
        <w:rPr>
          <w:rFonts w:eastAsia="宋体"/>
          <w:color w:val="000000"/>
        </w:rPr>
        <w:t>椪</w:t>
      </w:r>
      <w:r>
        <w:rPr>
          <w:color w:val="000000"/>
        </w:rPr>
        <w:t>柑、猕猴桃、刺葡萄、杨梅等特色水果；大力发展名优绿茶、红茶、白茶和出口茶；建设中药材国家区域良种繁育基地，因地制宜发展黄精、百合、枳壳、山银花等“湘九味”中药材。</w:t>
      </w:r>
    </w:p>
    <w:p w14:paraId="36B26406">
      <w:pPr>
        <w:adjustRightInd/>
        <w:spacing w:line="550" w:lineRule="atLeast"/>
        <w:ind w:firstLine="320" w:firstLineChars="100"/>
        <w:rPr>
          <w:color w:val="000000"/>
          <w:szCs w:val="22"/>
        </w:rPr>
      </w:pPr>
    </w:p>
    <w:p w14:paraId="04CCF12C">
      <w:pPr>
        <w:spacing w:line="550" w:lineRule="atLeast"/>
        <w:ind w:firstLine="0" w:firstLineChars="0"/>
        <w:jc w:val="center"/>
        <w:outlineLvl w:val="0"/>
        <w:rPr>
          <w:rFonts w:eastAsia="黑体"/>
          <w:bCs/>
          <w:color w:val="000000"/>
          <w:kern w:val="0"/>
          <w:sz w:val="36"/>
          <w:szCs w:val="36"/>
        </w:rPr>
      </w:pPr>
      <w:bookmarkStart w:id="81" w:name="_Toc105594916"/>
      <w:bookmarkStart w:id="82" w:name="_Toc721"/>
      <w:r>
        <w:rPr>
          <w:rFonts w:eastAsia="黑体"/>
          <w:bCs/>
          <w:color w:val="000000"/>
          <w:kern w:val="0"/>
          <w:sz w:val="36"/>
          <w:szCs w:val="36"/>
        </w:rPr>
        <w:t>第四章 主要任务</w:t>
      </w:r>
      <w:bookmarkEnd w:id="81"/>
      <w:bookmarkEnd w:id="82"/>
    </w:p>
    <w:p w14:paraId="4CC3270B">
      <w:pPr>
        <w:spacing w:line="550" w:lineRule="atLeast"/>
        <w:ind w:firstLine="640"/>
        <w:rPr>
          <w:color w:val="000000"/>
          <w:kern w:val="0"/>
        </w:rPr>
      </w:pPr>
    </w:p>
    <w:p w14:paraId="5DF04D21">
      <w:pPr>
        <w:spacing w:line="550" w:lineRule="atLeast"/>
        <w:ind w:firstLine="640"/>
        <w:rPr>
          <w:color w:val="000000"/>
          <w:kern w:val="0"/>
        </w:rPr>
      </w:pPr>
      <w:r>
        <w:rPr>
          <w:color w:val="000000"/>
          <w:kern w:val="0"/>
        </w:rPr>
        <w:t>“十四五”时期，紧紧围绕保障粮食和重要农产品有效供给，聚焦七大重点任务，加强统筹协调，着力基础建设，强化科技支撑，优化品种结构与布局，不断提升粮食等重要农产品生产能力，恢复棉麻桑供给能力，促进菜果茶药特色化发展，推动种植业高质量发展。</w:t>
      </w:r>
    </w:p>
    <w:p w14:paraId="3FBC952B">
      <w:pPr>
        <w:spacing w:line="550" w:lineRule="atLeast"/>
        <w:ind w:firstLine="640"/>
        <w:rPr>
          <w:color w:val="000000"/>
          <w:kern w:val="0"/>
        </w:rPr>
      </w:pPr>
    </w:p>
    <w:p w14:paraId="142D15E3">
      <w:pPr>
        <w:numPr>
          <w:ilvl w:val="0"/>
          <w:numId w:val="3"/>
        </w:numPr>
        <w:spacing w:line="550" w:lineRule="atLeast"/>
        <w:ind w:firstLine="0" w:firstLineChars="0"/>
        <w:jc w:val="center"/>
        <w:outlineLvl w:val="0"/>
        <w:rPr>
          <w:rFonts w:eastAsia="黑体"/>
          <w:bCs/>
          <w:color w:val="000000"/>
          <w:kern w:val="0"/>
          <w:szCs w:val="32"/>
        </w:rPr>
      </w:pPr>
      <w:bookmarkStart w:id="83" w:name="_Toc105594917"/>
      <w:bookmarkStart w:id="84" w:name="_Toc29892"/>
      <w:r>
        <w:rPr>
          <w:rFonts w:eastAsia="黑体"/>
          <w:bCs/>
          <w:color w:val="000000"/>
          <w:kern w:val="0"/>
          <w:szCs w:val="32"/>
        </w:rPr>
        <w:t>巩固提升粮食生产能力</w:t>
      </w:r>
      <w:bookmarkEnd w:id="83"/>
      <w:bookmarkEnd w:id="84"/>
    </w:p>
    <w:p w14:paraId="0DFA3AE4">
      <w:pPr>
        <w:numPr>
          <w:ilvl w:val="0"/>
          <w:numId w:val="0"/>
        </w:numPr>
        <w:spacing w:line="550" w:lineRule="atLeast"/>
        <w:outlineLvl w:val="0"/>
        <w:rPr>
          <w:rFonts w:eastAsia="黑体"/>
          <w:bCs/>
          <w:color w:val="000000"/>
          <w:kern w:val="0"/>
          <w:szCs w:val="32"/>
        </w:rPr>
      </w:pPr>
    </w:p>
    <w:p w14:paraId="56361482">
      <w:pPr>
        <w:spacing w:line="550" w:lineRule="atLeast"/>
        <w:ind w:firstLine="643"/>
        <w:rPr>
          <w:color w:val="000000"/>
          <w:kern w:val="0"/>
        </w:rPr>
      </w:pPr>
      <w:bookmarkStart w:id="85" w:name="_Toc22451"/>
      <w:r>
        <w:rPr>
          <w:rFonts w:eastAsia="楷体_GB2312"/>
          <w:b/>
          <w:bCs/>
          <w:color w:val="000000"/>
          <w:szCs w:val="32"/>
        </w:rPr>
        <w:t>夯实粮食生产基础。</w:t>
      </w:r>
      <w:bookmarkEnd w:id="85"/>
      <w:r>
        <w:rPr>
          <w:color w:val="000000"/>
          <w:kern w:val="0"/>
        </w:rPr>
        <w:t>落实最严格的耕地保护制度，确保耕地保有量不减少。坚决遏制耕地“非农化”、防止耕地“非粮化”，确保水稻生产功能区3850万亩底线不突破。落实耕地利用优先序，耕地主要用于粮食和棉、油、糖、蔬菜等农产品生产，永久基本农田重点用于粮食生产，高标准农田原则上全部用于粮食生产，水稻生产功能区至少种植一季水稻。继续实施耕地轮作试点，推广保护性耕作模式，集中示范推广稻田酸性土壤改良、地力培肥、深翻耕等集成技术模式，全面提升耕地综合生产能力。加强农田水利基本建设，狠抓农田提质改造，重点建设一批集中连片、高质高效的高标准农田建设示范区，到2025年，累计建成高标准农田4298万亩。</w:t>
      </w:r>
    </w:p>
    <w:p w14:paraId="70911E0A">
      <w:pPr>
        <w:spacing w:line="550" w:lineRule="atLeast"/>
        <w:ind w:firstLine="643"/>
        <w:rPr>
          <w:color w:val="000000"/>
          <w:kern w:val="0"/>
        </w:rPr>
      </w:pPr>
      <w:r>
        <w:rPr>
          <w:b/>
          <w:color w:val="000000"/>
          <w:kern w:val="0"/>
        </w:rPr>
        <w:t>推进种业创新突破。</w:t>
      </w:r>
      <w:r>
        <w:rPr>
          <w:color w:val="000000"/>
          <w:kern w:val="0"/>
        </w:rPr>
        <w:t>加强种质资源收集、保护和开发利用。开展种业创新关键技术研究，加快推进第三代杂交水稻技术、适合机械化制种的水稻新品种选育技术、稻米品质与抗性分子育种技术等种业关键技术的完善与应用。推动品种更新换代、加快品种产业化速度、夯实湖南省杂交水稻育种能力及竞争力。加快推进岳麓山实验室建设，争创种业国家实验室。支持岳麓山种业创新中心建设，聚焦“卡脖子”技术，开展生物种业重大科技联合攻关。强化杂交水稻全球领先优势，加快攻克高效轻简制种和抗逆育种技术，开展第三代杂交稻、耐盐碱稻、高档优质稻、超级稻等新品种攻关，镉低积累水稻品种选育要取得重大突破。高效运营省南繁科研育种园，高标准建设杂交水稻制种基地、区域性良种繁育基地、种业产业园等种业发展关键项目。落实“十四五”现代种业提升工程和制种大县奖励政策，提升供种保障能力和水平。支持种业龙头企业做大做强。强化种业知识产权保护，严厉打击假冒伪劣、套牌侵权等违法犯罪行为。</w:t>
      </w:r>
    </w:p>
    <w:p w14:paraId="41EA56D7">
      <w:pPr>
        <w:spacing w:line="550" w:lineRule="atLeast"/>
        <w:ind w:firstLine="643"/>
        <w:rPr>
          <w:color w:val="000000"/>
          <w:kern w:val="0"/>
        </w:rPr>
      </w:pPr>
      <w:bookmarkStart w:id="86" w:name="_Toc13376"/>
      <w:r>
        <w:rPr>
          <w:rFonts w:eastAsia="楷体_GB2312"/>
          <w:b/>
          <w:bCs/>
          <w:color w:val="000000"/>
          <w:szCs w:val="32"/>
        </w:rPr>
        <w:t>推进农艺农机融合。</w:t>
      </w:r>
      <w:bookmarkEnd w:id="86"/>
      <w:r>
        <w:rPr>
          <w:color w:val="000000"/>
          <w:kern w:val="0"/>
        </w:rPr>
        <w:t>大力推广保护性耕作、旱作节水、水肥一体化、高效植保等节能减排技术。加强农机技术研究，抓紧水稻育插秧、玉米收获、大豆收获等薄弱环节机械化技术及装备研发，适应农业规模化、精准化、设施化等要求，加快开发多功能、智能化、经济型农业装备设施。推广一批绿色高效、农艺农机结合、全程机械化生产等水稻、旱杂粮新技术新模式，着力提高粮食生产效率。加快研发丘陵山区机具和设施农业设备设施，加强农机农艺技术集成，有针对性地开展农机作业规范、农艺技术标准和机艺融合模式研究推广，针对重点薄弱环节，制定和完善区域性农机化技术路线、模式和作业规范。</w:t>
      </w:r>
    </w:p>
    <w:tbl>
      <w:tblPr>
        <w:tblStyle w:val="15"/>
        <w:tblW w:w="8970" w:type="dxa"/>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0"/>
      </w:tblGrid>
      <w:tr w14:paraId="1DFFE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trPr>
        <w:tc>
          <w:tcPr>
            <w:tcW w:w="89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4D578FF">
            <w:pPr>
              <w:adjustRightInd/>
              <w:spacing w:line="380" w:lineRule="exact"/>
              <w:ind w:firstLine="0" w:firstLineChars="0"/>
              <w:jc w:val="center"/>
              <w:rPr>
                <w:rFonts w:eastAsia="宋体"/>
                <w:b/>
                <w:bCs/>
                <w:color w:val="000000"/>
                <w:kern w:val="0"/>
                <w:sz w:val="24"/>
              </w:rPr>
            </w:pPr>
            <w:r>
              <w:rPr>
                <w:rFonts w:eastAsia="宋体"/>
                <w:b/>
                <w:bCs/>
                <w:color w:val="000000"/>
                <w:kern w:val="0"/>
                <w:sz w:val="24"/>
              </w:rPr>
              <w:t>专栏7 提升粮食综合生产能力重点工程</w:t>
            </w:r>
          </w:p>
        </w:tc>
      </w:tr>
      <w:tr w14:paraId="3F330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89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CC50E9">
            <w:pPr>
              <w:adjustRightInd/>
              <w:spacing w:line="380" w:lineRule="exact"/>
              <w:ind w:firstLine="482"/>
              <w:rPr>
                <w:rFonts w:eastAsia="宋体"/>
                <w:color w:val="000000"/>
                <w:sz w:val="24"/>
              </w:rPr>
            </w:pPr>
            <w:r>
              <w:rPr>
                <w:rFonts w:eastAsia="宋体"/>
                <w:b/>
                <w:color w:val="000000"/>
                <w:sz w:val="24"/>
              </w:rPr>
              <w:t>1.粮食绿色高产行动。</w:t>
            </w:r>
            <w:r>
              <w:rPr>
                <w:rFonts w:eastAsia="宋体"/>
                <w:color w:val="000000"/>
                <w:sz w:val="24"/>
              </w:rPr>
              <w:t>大力推广优良品种，推广高产、优质主导品种，提高主栽品种覆盖率，实现主栽品种优良化，着力抓好杂交稻、超级稻的推广应用，提升粮食单产水平。推广以品种为核心的关键技术，确保粮食主推技术到位率达到95%。建立20个绿色高产行动整建制推进县，推广一批绿色高效、农艺农机结合、全程机械化生产等水稻、旱杂粮新技术新模式，着力提高粮食生产效率。</w:t>
            </w:r>
          </w:p>
          <w:p w14:paraId="3B64506D">
            <w:pPr>
              <w:adjustRightInd/>
              <w:spacing w:line="380" w:lineRule="exact"/>
              <w:ind w:firstLine="482"/>
              <w:rPr>
                <w:rFonts w:eastAsia="宋体"/>
                <w:color w:val="000000"/>
                <w:sz w:val="24"/>
              </w:rPr>
            </w:pPr>
            <w:r>
              <w:rPr>
                <w:rFonts w:eastAsia="宋体"/>
                <w:b/>
                <w:color w:val="000000"/>
                <w:sz w:val="24"/>
              </w:rPr>
              <w:t>2.国家粮食安全产业带建设。</w:t>
            </w:r>
            <w:r>
              <w:rPr>
                <w:rFonts w:eastAsia="宋体"/>
                <w:color w:val="000000"/>
                <w:sz w:val="24"/>
              </w:rPr>
              <w:t>稳定全年粮食播种面积和产量，确保到2025年全省粮食播种面积7150万亩，其中，水稻播种面积稳定在5800万亩左右，每年开展早稻集中育秧1350万亩左右。</w:t>
            </w:r>
          </w:p>
          <w:p w14:paraId="6188A0E2">
            <w:pPr>
              <w:adjustRightInd/>
              <w:spacing w:line="380" w:lineRule="exact"/>
              <w:ind w:firstLine="482"/>
              <w:rPr>
                <w:rFonts w:eastAsia="宋体"/>
                <w:color w:val="000000"/>
                <w:sz w:val="24"/>
              </w:rPr>
            </w:pPr>
            <w:r>
              <w:rPr>
                <w:rFonts w:eastAsia="宋体"/>
                <w:b/>
                <w:color w:val="000000"/>
                <w:sz w:val="24"/>
              </w:rPr>
              <w:t>3.实施湘米产业工程和优质粮油工程。</w:t>
            </w:r>
            <w:r>
              <w:rPr>
                <w:rFonts w:eastAsia="宋体"/>
                <w:color w:val="000000"/>
                <w:sz w:val="24"/>
              </w:rPr>
              <w:t>支持发展“一企一片一种”标准化基地，推广“早专晚优”、“稻油双优”等绿色高质高效模式。加快发展优质粮食产销联盟，支持互联网企业开发粮食加工企业和生产主体有效对接的大数据平台，实现粮食产业链上下游有效衔接。引导规模型粮食加工企业大力发展精细化加工，实现“好谷产好米”，打造“湘米”品牌。</w:t>
            </w:r>
          </w:p>
          <w:p w14:paraId="1233F612">
            <w:pPr>
              <w:adjustRightInd/>
              <w:spacing w:line="380" w:lineRule="exact"/>
              <w:ind w:firstLine="482"/>
              <w:rPr>
                <w:rFonts w:eastAsia="宋体"/>
                <w:color w:val="000000"/>
                <w:sz w:val="24"/>
              </w:rPr>
            </w:pPr>
            <w:r>
              <w:rPr>
                <w:rFonts w:eastAsia="宋体"/>
                <w:b/>
                <w:color w:val="000000"/>
                <w:sz w:val="24"/>
              </w:rPr>
              <w:t>4.优质粮食生产基地建设。</w:t>
            </w:r>
            <w:r>
              <w:rPr>
                <w:rFonts w:eastAsia="宋体"/>
                <w:color w:val="000000"/>
                <w:sz w:val="24"/>
              </w:rPr>
              <w:t>在全省14个市州及78个重点县加强农田基础设施建设、稳定粮食生产面积、优化粮食生产结构和种植模式、依靠科技提高产量、实施粮食品牌提升行动、发展社会化服务。高档优质稻面积和早稻加工专用稻、特色旱杂粮分别为1800万亩、750万亩、200万亩。</w:t>
            </w:r>
          </w:p>
          <w:p w14:paraId="43C867C1">
            <w:pPr>
              <w:adjustRightInd/>
              <w:spacing w:line="380" w:lineRule="exact"/>
              <w:ind w:firstLine="482"/>
              <w:rPr>
                <w:rFonts w:eastAsia="宋体"/>
                <w:color w:val="000000"/>
                <w:sz w:val="24"/>
              </w:rPr>
            </w:pPr>
            <w:r>
              <w:rPr>
                <w:rFonts w:eastAsia="宋体"/>
                <w:b/>
                <w:color w:val="000000"/>
                <w:sz w:val="24"/>
              </w:rPr>
              <w:t>5.品种选育攻关工程。</w:t>
            </w:r>
            <w:r>
              <w:rPr>
                <w:rFonts w:eastAsia="宋体"/>
                <w:color w:val="000000"/>
                <w:sz w:val="24"/>
              </w:rPr>
              <w:t>成立省级层面的高档优质稻和早稻加工专用新、特色旱杂粮品种选育协作攻关组，选育一批米质达到国标一等、综合性状优良的中晚稻新品种和适应作米粉等加工类型早稻新品种和特色旱杂粮品种。</w:t>
            </w:r>
          </w:p>
          <w:p w14:paraId="072BA0C7">
            <w:pPr>
              <w:adjustRightInd/>
              <w:spacing w:line="380" w:lineRule="exact"/>
              <w:ind w:firstLine="482"/>
              <w:rPr>
                <w:rFonts w:eastAsia="宋体"/>
                <w:color w:val="000000"/>
                <w:sz w:val="24"/>
              </w:rPr>
            </w:pPr>
            <w:r>
              <w:rPr>
                <w:rFonts w:eastAsia="宋体"/>
                <w:b/>
                <w:color w:val="000000"/>
                <w:sz w:val="24"/>
              </w:rPr>
              <w:t>6.水稻良种繁育基地工程。</w:t>
            </w:r>
            <w:r>
              <w:rPr>
                <w:rFonts w:eastAsia="宋体"/>
                <w:color w:val="000000"/>
                <w:sz w:val="24"/>
              </w:rPr>
              <w:t>推进南繁科研育种、杂交水稻制种基地建设，建设南繁科研育种基地3500亩以上，高效运营省南繁科研育种园（海南陵水）。以绥宁县、武冈市、靖州苗族侗族自治县、溆浦县、攸县、零陵区6个国家级杂交水稻制种大县为重点，配套建设洪江市、会同县、芷江侗族自治县、资兴市、宁远县、隆回县6个省级杂交水稻制种基地。</w:t>
            </w:r>
          </w:p>
          <w:p w14:paraId="1FBA355F">
            <w:pPr>
              <w:adjustRightInd/>
              <w:spacing w:line="380" w:lineRule="exact"/>
              <w:ind w:firstLine="482"/>
              <w:rPr>
                <w:rFonts w:eastAsia="仿宋"/>
                <w:color w:val="000000"/>
                <w:sz w:val="28"/>
                <w:szCs w:val="28"/>
              </w:rPr>
            </w:pPr>
            <w:r>
              <w:rPr>
                <w:rFonts w:eastAsia="宋体"/>
                <w:b/>
                <w:color w:val="000000"/>
                <w:sz w:val="24"/>
              </w:rPr>
              <w:t>7.大豆玉米带状复合种植行动。</w:t>
            </w:r>
            <w:r>
              <w:rPr>
                <w:rFonts w:eastAsia="宋体"/>
                <w:color w:val="000000"/>
                <w:sz w:val="24"/>
              </w:rPr>
              <w:t>在玉米生产重点县市区，大力发展大豆玉米带状复合种植，增加一季大豆生产面积。注重因地制宜，结合各地传统种植习惯，推广一批熟化、本地化种植模式。在新型主体发展较快的地方，依托种植大户、家庭农场、农业专业合作社统一组织实施，在新型主体发展滞后的地方，着力发展以村组为单元的生产联合体组织实施。力争到2025年大豆玉米带状复合种植面积150万亩，同时适度发展幼龄果树套种大豆等模式。</w:t>
            </w:r>
          </w:p>
        </w:tc>
      </w:tr>
    </w:tbl>
    <w:p w14:paraId="677F2081">
      <w:pPr>
        <w:ind w:firstLine="0" w:firstLineChars="0"/>
        <w:jc w:val="center"/>
        <w:outlineLvl w:val="0"/>
        <w:rPr>
          <w:rFonts w:eastAsia="黑体"/>
          <w:bCs/>
          <w:color w:val="000000"/>
          <w:kern w:val="0"/>
          <w:szCs w:val="32"/>
        </w:rPr>
      </w:pPr>
      <w:bookmarkStart w:id="87" w:name="_Toc16258"/>
      <w:bookmarkStart w:id="88" w:name="_Toc105594918"/>
    </w:p>
    <w:p w14:paraId="51E29CB7">
      <w:pPr>
        <w:spacing w:line="550" w:lineRule="atLeast"/>
        <w:ind w:firstLine="0" w:firstLineChars="0"/>
        <w:jc w:val="center"/>
        <w:outlineLvl w:val="0"/>
        <w:rPr>
          <w:rFonts w:eastAsia="黑体"/>
          <w:bCs/>
          <w:color w:val="000000"/>
          <w:kern w:val="0"/>
          <w:szCs w:val="32"/>
        </w:rPr>
      </w:pPr>
      <w:r>
        <w:rPr>
          <w:rFonts w:eastAsia="黑体"/>
          <w:bCs/>
          <w:color w:val="000000"/>
          <w:kern w:val="0"/>
          <w:szCs w:val="32"/>
        </w:rPr>
        <w:t>第二节 提升油料综合产能</w:t>
      </w:r>
      <w:bookmarkEnd w:id="87"/>
      <w:bookmarkEnd w:id="88"/>
    </w:p>
    <w:p w14:paraId="4E0C6BCC">
      <w:pPr>
        <w:spacing w:line="550" w:lineRule="atLeast"/>
        <w:ind w:firstLine="643"/>
        <w:rPr>
          <w:b/>
          <w:color w:val="000000"/>
          <w:kern w:val="0"/>
        </w:rPr>
      </w:pPr>
    </w:p>
    <w:p w14:paraId="1209AB20">
      <w:pPr>
        <w:ind w:firstLine="643"/>
        <w:rPr>
          <w:color w:val="000000"/>
          <w:kern w:val="0"/>
        </w:rPr>
      </w:pPr>
      <w:bookmarkStart w:id="89" w:name="_Toc26671"/>
      <w:r>
        <w:rPr>
          <w:rFonts w:eastAsia="楷体_GB2312"/>
          <w:b/>
          <w:bCs/>
          <w:color w:val="000000"/>
          <w:szCs w:val="32"/>
        </w:rPr>
        <w:t>建设高标准油料生产基地。</w:t>
      </w:r>
      <w:bookmarkEnd w:id="89"/>
      <w:r>
        <w:rPr>
          <w:color w:val="000000"/>
          <w:kern w:val="0"/>
        </w:rPr>
        <w:t>建设一批标准化、规模化高产油料示范县，进行宜机化改造，扩展中小型农机运用空间，加快补齐丘陵山区油料农机化基础条件薄弱的短板，加强耕地质量和农田灌排渠系建设，推进生产基地规模化、生产全程机械化、栽培技术轻简化、生产管理集成化、生产体系标准化、集中力量打造一批地块相对集中、土地质量相对较好、设施配套完善、适宜机械化作业、绿色稳产高产的现代化油料生产基地。发挥规模经营主体的引领示范作用，鼓励充分利用荒山荒坡荒地，促进加工产业增值，推动产业融合发展。</w:t>
      </w:r>
    </w:p>
    <w:p w14:paraId="51F2D8EF">
      <w:pPr>
        <w:ind w:firstLine="643"/>
        <w:rPr>
          <w:color w:val="000000"/>
          <w:kern w:val="0"/>
        </w:rPr>
      </w:pPr>
      <w:bookmarkStart w:id="90" w:name="_Toc18236"/>
      <w:r>
        <w:rPr>
          <w:rFonts w:eastAsia="楷体_GB2312"/>
          <w:b/>
          <w:bCs/>
          <w:color w:val="000000"/>
          <w:szCs w:val="32"/>
        </w:rPr>
        <w:t>选育与推广油料优新品种。</w:t>
      </w:r>
      <w:bookmarkEnd w:id="90"/>
      <w:r>
        <w:rPr>
          <w:color w:val="000000"/>
          <w:kern w:val="0"/>
        </w:rPr>
        <w:t>深入实施现代种业提升工程，巩固油料资源普查、种质资源库建设，改扩建实验室，进行高标准核心试验基地建设、完善配套排灌设施建设。加大油料良种攻关，加快培育遴选一批“三高两低”油菜品种、高蛋白食用小花生、高油酸油用大花生等高产稳产、优质专用、多抗广适、适宜机收的新品种，加快功能型专用油菜品种</w:t>
      </w:r>
      <w:r>
        <w:rPr>
          <w:rFonts w:hint="eastAsia"/>
          <w:color w:val="000000"/>
          <w:kern w:val="0"/>
        </w:rPr>
        <w:t>和生育期符合双季稻区油菜生产需求的极早熟品种</w:t>
      </w:r>
      <w:r>
        <w:rPr>
          <w:color w:val="000000"/>
          <w:kern w:val="0"/>
        </w:rPr>
        <w:t>选育。制定颁布优质油料品种标准、加强种质资源保护。完善油菜亲本繁殖核心基地和特约杂交制种基地；加快花生提纯复壮，建立一批良种繁育基地，实现优势产区油料良种全覆盖。</w:t>
      </w:r>
    </w:p>
    <w:p w14:paraId="1F707023">
      <w:pPr>
        <w:ind w:firstLine="643"/>
        <w:rPr>
          <w:color w:val="000000"/>
        </w:rPr>
      </w:pPr>
      <w:bookmarkStart w:id="91" w:name="_Toc13699"/>
      <w:r>
        <w:rPr>
          <w:rFonts w:eastAsia="楷体_GB2312"/>
          <w:b/>
          <w:bCs/>
          <w:color w:val="000000"/>
          <w:szCs w:val="32"/>
        </w:rPr>
        <w:t>推进油料生产机械化规模化。</w:t>
      </w:r>
      <w:bookmarkEnd w:id="91"/>
      <w:r>
        <w:rPr>
          <w:color w:val="000000"/>
          <w:kern w:val="0"/>
        </w:rPr>
        <w:t>加快研发油菜、花生等油料作物起垄、播种、植保和收获等农机，提高油料生产机械化水平。油菜生产重点推广油菜机械化联合播种技术；田间管理推广农用航空植保机等；油菜收割主推联合收割机；产后推广高效节能型烘干机。花生重点推广高垄防灾、单粒精播、高效施肥为核心的机械化技术。加强特色新装备示范推广，促进农机农艺融合。培育一批油料规模化</w:t>
      </w:r>
      <w:r>
        <w:rPr>
          <w:rFonts w:hint="eastAsia"/>
          <w:color w:val="000000"/>
          <w:kern w:val="0"/>
        </w:rPr>
        <w:t>、</w:t>
      </w:r>
      <w:r>
        <w:rPr>
          <w:color w:val="000000"/>
          <w:kern w:val="0"/>
        </w:rPr>
        <w:t>专业化种植大户和家庭农场，扶持一批代育代插、代耕代管、代收代储等全过程托管或多环节托管的专业化服务组织，促进油料生产规模化与产业化发展。</w:t>
      </w:r>
    </w:p>
    <w:p w14:paraId="573BA955">
      <w:pPr>
        <w:ind w:firstLine="618"/>
        <w:rPr>
          <w:color w:val="000000"/>
          <w:spacing w:val="-6"/>
        </w:rPr>
      </w:pPr>
      <w:bookmarkStart w:id="92" w:name="_Toc17492"/>
      <w:r>
        <w:rPr>
          <w:rFonts w:eastAsia="楷体_GB2312"/>
          <w:b/>
          <w:bCs/>
          <w:color w:val="000000"/>
          <w:spacing w:val="-6"/>
          <w:szCs w:val="32"/>
        </w:rPr>
        <w:t>推广油料高质量发展技术与模式。</w:t>
      </w:r>
      <w:bookmarkEnd w:id="92"/>
      <w:r>
        <w:rPr>
          <w:color w:val="000000"/>
          <w:spacing w:val="-6"/>
        </w:rPr>
        <w:t>开展油料绿色高产高质高效行动，推广油料绿色高产高效新技术、油料绿色增产增效施肥技术、油料病虫害绿色防控技术和油菜机械化高密度直播技术、</w:t>
      </w:r>
      <w:r>
        <w:rPr>
          <w:color w:val="000000"/>
          <w:spacing w:val="-6"/>
          <w:kern w:val="0"/>
        </w:rPr>
        <w:t>花生高垄机种机收技术</w:t>
      </w:r>
      <w:r>
        <w:rPr>
          <w:color w:val="000000"/>
          <w:spacing w:val="-6"/>
        </w:rPr>
        <w:t>等，推进油料生产全程机械化、标准化、生产管理集成化。加快油菜全生育期利用、全价值链发掘、全产业链开发，拓展油菜“菜用”“花用”等</w:t>
      </w:r>
      <w:r>
        <w:rPr>
          <w:rFonts w:hint="eastAsia"/>
          <w:color w:val="000000"/>
          <w:spacing w:val="-6"/>
        </w:rPr>
        <w:t>功能</w:t>
      </w:r>
      <w:r>
        <w:rPr>
          <w:color w:val="000000"/>
          <w:spacing w:val="-6"/>
        </w:rPr>
        <w:t>，打造一批以油菜花海为主题的农旅融合综合示范点。</w:t>
      </w:r>
    </w:p>
    <w:tbl>
      <w:tblPr>
        <w:tblStyle w:val="15"/>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14:paraId="5B898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9061" w:type="dxa"/>
            <w:tcBorders>
              <w:top w:val="single" w:color="auto" w:sz="4" w:space="0"/>
              <w:left w:val="single" w:color="auto" w:sz="4" w:space="0"/>
              <w:bottom w:val="single" w:color="auto" w:sz="4" w:space="0"/>
              <w:right w:val="single" w:color="auto" w:sz="4" w:space="0"/>
            </w:tcBorders>
            <w:noWrap w:val="0"/>
            <w:vAlign w:val="center"/>
          </w:tcPr>
          <w:p w14:paraId="1ACC7185">
            <w:pPr>
              <w:adjustRightInd/>
              <w:spacing w:line="460" w:lineRule="exact"/>
              <w:ind w:firstLine="0" w:firstLineChars="0"/>
              <w:jc w:val="center"/>
              <w:rPr>
                <w:rFonts w:eastAsia="宋体"/>
                <w:b/>
                <w:color w:val="000000"/>
                <w:sz w:val="24"/>
              </w:rPr>
            </w:pPr>
            <w:r>
              <w:rPr>
                <w:rFonts w:eastAsia="宋体"/>
                <w:b/>
                <w:bCs/>
                <w:color w:val="000000"/>
                <w:sz w:val="24"/>
              </w:rPr>
              <w:t>专栏8 油料产能提升工程</w:t>
            </w:r>
          </w:p>
        </w:tc>
      </w:tr>
      <w:tr w14:paraId="30AA6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061" w:type="dxa"/>
            <w:tcBorders>
              <w:top w:val="single" w:color="auto" w:sz="4" w:space="0"/>
              <w:left w:val="single" w:color="auto" w:sz="4" w:space="0"/>
              <w:bottom w:val="single" w:color="auto" w:sz="4" w:space="0"/>
              <w:right w:val="single" w:color="auto" w:sz="4" w:space="0"/>
            </w:tcBorders>
            <w:noWrap w:val="0"/>
            <w:vAlign w:val="top"/>
          </w:tcPr>
          <w:p w14:paraId="11F88A9F">
            <w:pPr>
              <w:adjustRightInd/>
              <w:spacing w:line="460" w:lineRule="exact"/>
              <w:ind w:firstLine="482"/>
              <w:rPr>
                <w:rFonts w:eastAsia="宋体"/>
                <w:color w:val="000000"/>
                <w:sz w:val="24"/>
              </w:rPr>
            </w:pPr>
            <w:r>
              <w:rPr>
                <w:rFonts w:eastAsia="宋体"/>
                <w:b/>
                <w:color w:val="000000"/>
                <w:sz w:val="24"/>
              </w:rPr>
              <w:t>1.油菜扩种行动。</w:t>
            </w:r>
            <w:r>
              <w:rPr>
                <w:rFonts w:eastAsia="宋体"/>
                <w:color w:val="000000"/>
                <w:sz w:val="24"/>
              </w:rPr>
              <w:t>划好建好管好用好油菜生产保护区，确保1500万亩油菜生产保护区全部种上油菜；大力发展油稻轮作，推广“一季稻+油菜、双季稻+油菜、一季稻+再生稻+油菜”等模式，充分利用冬闲田、旱地和棉田种植油菜，大幅增加油菜播种面积。</w:t>
            </w:r>
          </w:p>
          <w:p w14:paraId="1AB6BE92">
            <w:pPr>
              <w:widowControl/>
              <w:adjustRightInd/>
              <w:spacing w:line="460" w:lineRule="exact"/>
              <w:ind w:firstLine="482"/>
              <w:rPr>
                <w:rFonts w:eastAsia="宋体"/>
                <w:color w:val="000000"/>
                <w:kern w:val="0"/>
                <w:sz w:val="24"/>
              </w:rPr>
            </w:pPr>
            <w:r>
              <w:rPr>
                <w:rFonts w:eastAsia="宋体"/>
                <w:b/>
                <w:color w:val="000000"/>
                <w:kern w:val="0"/>
                <w:sz w:val="24"/>
              </w:rPr>
              <w:t>2.优质油菜标准化生产示范片建设。</w:t>
            </w:r>
            <w:r>
              <w:rPr>
                <w:rFonts w:eastAsia="宋体"/>
                <w:color w:val="000000"/>
                <w:kern w:val="0"/>
                <w:sz w:val="24"/>
              </w:rPr>
              <w:t>示范推广“三高两低”油菜优新品种，以优质高产新品种为突破口，挖掘增产潜力，在油菜生产重点县市区持续开展标准化优质油菜示范片建设，推动全省油菜单产水平达到120公斤/亩左右。</w:t>
            </w:r>
          </w:p>
          <w:p w14:paraId="4B7E29F0">
            <w:pPr>
              <w:widowControl/>
              <w:adjustRightInd/>
              <w:spacing w:line="460" w:lineRule="exact"/>
              <w:ind w:firstLine="482"/>
              <w:rPr>
                <w:rFonts w:eastAsia="宋体"/>
                <w:color w:val="000000"/>
                <w:kern w:val="0"/>
                <w:sz w:val="24"/>
              </w:rPr>
            </w:pPr>
            <w:r>
              <w:rPr>
                <w:rFonts w:eastAsia="宋体"/>
                <w:b/>
                <w:color w:val="000000"/>
                <w:kern w:val="0"/>
                <w:sz w:val="24"/>
              </w:rPr>
              <w:t>3.油料生产全程机械化工程。</w:t>
            </w:r>
            <w:r>
              <w:rPr>
                <w:rFonts w:eastAsia="宋体"/>
                <w:color w:val="000000"/>
                <w:kern w:val="0"/>
                <w:sz w:val="24"/>
              </w:rPr>
              <w:t>推进农机农艺高度融合，加快农机装备智能化改造，实施高速精量联合播种、机械化移栽、绿色防控、高效低损智能化收获、高效节能烘干等农机装备再补贴。推广不同生态条件的全程机械化作业示范基地400万亩。</w:t>
            </w:r>
          </w:p>
          <w:p w14:paraId="3B5403DD">
            <w:pPr>
              <w:widowControl/>
              <w:adjustRightInd/>
              <w:spacing w:line="460" w:lineRule="exact"/>
              <w:ind w:firstLine="482"/>
              <w:rPr>
                <w:rFonts w:eastAsia="宋体"/>
                <w:b/>
                <w:color w:val="000000"/>
                <w:kern w:val="0"/>
                <w:sz w:val="24"/>
              </w:rPr>
            </w:pPr>
            <w:r>
              <w:rPr>
                <w:rFonts w:eastAsia="宋体"/>
                <w:b/>
                <w:color w:val="000000"/>
                <w:kern w:val="0"/>
                <w:sz w:val="24"/>
              </w:rPr>
              <w:t>4.花生及其他油料作物提质工程。</w:t>
            </w:r>
            <w:r>
              <w:rPr>
                <w:rFonts w:eastAsia="宋体"/>
                <w:color w:val="000000"/>
                <w:kern w:val="0"/>
                <w:sz w:val="24"/>
              </w:rPr>
              <w:t>加强高油酸花生、优质食用小籽花生、芝麻、向日葵等特色品种培育与推广，大力推广绿色高产技术，示范推广小型机械，集成推广农机农艺融合的机械化生产综合配套栽培技术。</w:t>
            </w:r>
          </w:p>
        </w:tc>
      </w:tr>
    </w:tbl>
    <w:p w14:paraId="0BD21653">
      <w:pPr>
        <w:ind w:firstLine="0" w:firstLineChars="0"/>
        <w:jc w:val="center"/>
        <w:outlineLvl w:val="0"/>
        <w:rPr>
          <w:rFonts w:eastAsia="黑体"/>
          <w:bCs/>
          <w:color w:val="000000"/>
          <w:kern w:val="0"/>
          <w:szCs w:val="32"/>
        </w:rPr>
      </w:pPr>
      <w:bookmarkStart w:id="93" w:name="_Toc105594919"/>
    </w:p>
    <w:p w14:paraId="552FCCEF">
      <w:pPr>
        <w:ind w:firstLine="0" w:firstLineChars="0"/>
        <w:jc w:val="center"/>
        <w:outlineLvl w:val="0"/>
        <w:rPr>
          <w:rFonts w:eastAsia="黑体"/>
          <w:bCs/>
          <w:color w:val="000000"/>
          <w:kern w:val="0"/>
          <w:szCs w:val="32"/>
        </w:rPr>
      </w:pPr>
      <w:bookmarkStart w:id="94" w:name="_Toc22305"/>
      <w:r>
        <w:rPr>
          <w:rFonts w:eastAsia="黑体"/>
          <w:bCs/>
          <w:color w:val="000000"/>
          <w:kern w:val="0"/>
          <w:szCs w:val="32"/>
        </w:rPr>
        <w:t>第三节 稳定棉花生产规模</w:t>
      </w:r>
      <w:bookmarkEnd w:id="93"/>
      <w:bookmarkEnd w:id="94"/>
    </w:p>
    <w:p w14:paraId="590F4972">
      <w:pPr>
        <w:spacing w:line="600" w:lineRule="atLeast"/>
        <w:ind w:firstLine="643"/>
        <w:rPr>
          <w:b/>
          <w:color w:val="000000"/>
          <w:kern w:val="0"/>
        </w:rPr>
      </w:pPr>
    </w:p>
    <w:p w14:paraId="5B4BDFDB">
      <w:pPr>
        <w:spacing w:line="600" w:lineRule="atLeast"/>
        <w:ind w:firstLine="643"/>
        <w:rPr>
          <w:color w:val="000000"/>
          <w:kern w:val="0"/>
        </w:rPr>
      </w:pPr>
      <w:bookmarkStart w:id="95" w:name="_Toc15467"/>
      <w:r>
        <w:rPr>
          <w:rFonts w:eastAsia="楷体_GB2312"/>
          <w:b/>
          <w:bCs/>
          <w:color w:val="000000"/>
          <w:szCs w:val="32"/>
        </w:rPr>
        <w:t>建设棉花生产保护区。</w:t>
      </w:r>
      <w:bookmarkEnd w:id="95"/>
      <w:r>
        <w:rPr>
          <w:color w:val="000000"/>
          <w:kern w:val="0"/>
        </w:rPr>
        <w:t>以100万亩棉花生产保护区建设为重点，大力推广标准化种植。立足湖南植棉的优异自然资源，引导棉区发展特色棉产业，建立优势区。开展棉花生产保护区配套建设，落实技术措施，提升棉田产能和抗灾保收能力，在严格管控区实施棉花替代种植试点，稳定全省棉花种植规模。</w:t>
      </w:r>
    </w:p>
    <w:p w14:paraId="1CA1EC70">
      <w:pPr>
        <w:spacing w:line="600" w:lineRule="atLeast"/>
        <w:ind w:firstLine="643"/>
        <w:rPr>
          <w:color w:val="000000"/>
          <w:kern w:val="0"/>
        </w:rPr>
      </w:pPr>
      <w:bookmarkStart w:id="96" w:name="_Toc24877"/>
      <w:r>
        <w:rPr>
          <w:rFonts w:eastAsia="楷体_GB2312"/>
          <w:b/>
          <w:bCs/>
          <w:color w:val="000000"/>
          <w:szCs w:val="32"/>
        </w:rPr>
        <w:t>优化种植技术和模式。</w:t>
      </w:r>
      <w:bookmarkEnd w:id="96"/>
      <w:r>
        <w:rPr>
          <w:color w:val="000000"/>
          <w:kern w:val="0"/>
        </w:rPr>
        <w:t>进一步优化棉田周年多熟种植模式，发挥“棉花+”技术优势，挖掘棉田时空交叉和作物收益叠加效应，最大限度地提高产值。推广“棉+油”“棉+薯”“棉+菜”“棉+药”等轮作套作模式，重点推广“棉+油”双直播和短季棉品种。充分利用病虫草害综合防控技术，推广棉花缓释肥技术，开展棉花催熟综合技术的探索。</w:t>
      </w:r>
    </w:p>
    <w:p w14:paraId="55E22CAB">
      <w:pPr>
        <w:spacing w:line="600" w:lineRule="atLeast"/>
        <w:ind w:firstLine="643"/>
        <w:rPr>
          <w:color w:val="000000"/>
          <w:kern w:val="0"/>
        </w:rPr>
      </w:pPr>
      <w:bookmarkStart w:id="97" w:name="_Toc11252"/>
      <w:r>
        <w:rPr>
          <w:rFonts w:eastAsia="楷体_GB2312"/>
          <w:b/>
          <w:bCs/>
          <w:color w:val="000000"/>
          <w:szCs w:val="32"/>
        </w:rPr>
        <w:t>提升棉花产品品质。</w:t>
      </w:r>
      <w:bookmarkEnd w:id="97"/>
      <w:r>
        <w:rPr>
          <w:color w:val="000000"/>
          <w:kern w:val="0"/>
        </w:rPr>
        <w:t>加强抗病虫、耐高温、发育快、成铃吐絮集中的早熟品种选育，并加快培育长度、强度和细度相协调的优良品种。重点推广适合绿色高质高效生产方式的中早熟、抗病性强的品种。示范建设一批高质量棉花生产区，着力提升原棉质量，扩大中高端品质棉花的有效供给。加快推广节水、节肥、节药及替代化学投入品的绿色生产技术、产品和装备，开发棉田水肥药一体化喷灌智能化管理技术和装备。</w:t>
      </w:r>
    </w:p>
    <w:p w14:paraId="5F0E32AA">
      <w:pPr>
        <w:spacing w:line="600" w:lineRule="atLeast"/>
        <w:ind w:firstLine="643"/>
        <w:rPr>
          <w:rFonts w:hint="eastAsia"/>
          <w:color w:val="000000"/>
          <w:kern w:val="0"/>
        </w:rPr>
      </w:pPr>
      <w:bookmarkStart w:id="98" w:name="_Toc15271"/>
      <w:r>
        <w:rPr>
          <w:rFonts w:eastAsia="楷体_GB2312"/>
          <w:b/>
          <w:bCs/>
          <w:color w:val="000000"/>
          <w:szCs w:val="32"/>
        </w:rPr>
        <w:t>推进全程机械化生产。</w:t>
      </w:r>
      <w:bookmarkEnd w:id="98"/>
      <w:r>
        <w:rPr>
          <w:color w:val="000000"/>
          <w:kern w:val="0"/>
        </w:rPr>
        <w:t>加快研制适应内地小规模棉田的直播、耕作及小型采摘设备，实现从播种、管理到采收的全过程轻简化、机械化管理。集中突破棉花机械化轻简化关键技术。加快推进植棉全程机械化涉及的播种、管理、采收3个关键环节的技术。加快推进高度集成适宜机采棉品种的轻简栽培技术，优化农机和农艺配套技术。</w:t>
      </w:r>
    </w:p>
    <w:tbl>
      <w:tblPr>
        <w:tblStyle w:val="15"/>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14:paraId="1C16F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9061" w:type="dxa"/>
            <w:tcBorders>
              <w:top w:val="single" w:color="auto" w:sz="4" w:space="0"/>
              <w:left w:val="single" w:color="auto" w:sz="4" w:space="0"/>
              <w:bottom w:val="single" w:color="auto" w:sz="4" w:space="0"/>
              <w:right w:val="single" w:color="auto" w:sz="4" w:space="0"/>
            </w:tcBorders>
            <w:noWrap w:val="0"/>
            <w:vAlign w:val="center"/>
          </w:tcPr>
          <w:p w14:paraId="7079E6AE">
            <w:pPr>
              <w:adjustRightInd/>
              <w:spacing w:line="490" w:lineRule="exact"/>
              <w:ind w:firstLine="0" w:firstLineChars="0"/>
              <w:jc w:val="center"/>
              <w:rPr>
                <w:rFonts w:eastAsia="宋体"/>
                <w:b/>
                <w:color w:val="000000"/>
                <w:sz w:val="24"/>
              </w:rPr>
            </w:pPr>
            <w:r>
              <w:rPr>
                <w:rFonts w:eastAsia="宋体"/>
                <w:b/>
                <w:bCs/>
                <w:color w:val="000000"/>
                <w:sz w:val="24"/>
              </w:rPr>
              <w:t>专栏9 棉花生产能力提升工程</w:t>
            </w:r>
          </w:p>
        </w:tc>
      </w:tr>
      <w:tr w14:paraId="0F5CC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061" w:type="dxa"/>
            <w:tcBorders>
              <w:top w:val="single" w:color="auto" w:sz="4" w:space="0"/>
              <w:left w:val="single" w:color="auto" w:sz="4" w:space="0"/>
              <w:bottom w:val="single" w:color="auto" w:sz="4" w:space="0"/>
              <w:right w:val="single" w:color="auto" w:sz="4" w:space="0"/>
            </w:tcBorders>
            <w:noWrap w:val="0"/>
            <w:vAlign w:val="top"/>
          </w:tcPr>
          <w:p w14:paraId="162F2459">
            <w:pPr>
              <w:adjustRightInd/>
              <w:snapToGrid/>
              <w:spacing w:line="460" w:lineRule="exact"/>
              <w:ind w:firstLine="482"/>
              <w:rPr>
                <w:rFonts w:eastAsia="宋体"/>
                <w:color w:val="000000"/>
                <w:sz w:val="24"/>
              </w:rPr>
            </w:pPr>
            <w:r>
              <w:rPr>
                <w:rFonts w:eastAsia="宋体"/>
                <w:b/>
                <w:bCs/>
                <w:color w:val="000000"/>
                <w:sz w:val="24"/>
              </w:rPr>
              <w:t>1.品种选育工程。</w:t>
            </w:r>
            <w:r>
              <w:rPr>
                <w:rFonts w:eastAsia="宋体"/>
                <w:color w:val="000000"/>
                <w:sz w:val="24"/>
              </w:rPr>
              <w:t>加快选育推广一批纤维长度、强度、整齐度和成熟期相协调的优良棉花品种，鼓励发展长绒棉等高品质棉花种植，扩大优质棉花有效供给，提升棉花产需适配性。</w:t>
            </w:r>
          </w:p>
          <w:p w14:paraId="006C7EBE">
            <w:pPr>
              <w:adjustRightInd/>
              <w:snapToGrid/>
              <w:spacing w:line="460" w:lineRule="exact"/>
              <w:ind w:firstLine="482"/>
              <w:rPr>
                <w:rFonts w:eastAsia="宋体"/>
                <w:color w:val="000000"/>
                <w:sz w:val="24"/>
              </w:rPr>
            </w:pPr>
            <w:r>
              <w:rPr>
                <w:rFonts w:eastAsia="宋体"/>
                <w:b/>
                <w:bCs/>
                <w:color w:val="000000"/>
                <w:sz w:val="24"/>
              </w:rPr>
              <w:t>2.棉田基础设施完善工程。</w:t>
            </w:r>
            <w:r>
              <w:rPr>
                <w:rFonts w:eastAsia="宋体"/>
                <w:color w:val="000000"/>
                <w:sz w:val="24"/>
              </w:rPr>
              <w:t>强化100万亩棉田基本建设工程，完善棉田道路、沟渠等基础设施建设。加大棉田改造力度，把棉田改造纳入沃土工程和测土配方施肥支持范围；加快棉田机耕配套设施建设，提高农机装备水平。</w:t>
            </w:r>
          </w:p>
          <w:p w14:paraId="6F646CA4">
            <w:pPr>
              <w:adjustRightInd/>
              <w:snapToGrid/>
              <w:spacing w:line="460" w:lineRule="exact"/>
              <w:ind w:firstLine="482"/>
              <w:rPr>
                <w:color w:val="000000"/>
                <w:szCs w:val="22"/>
              </w:rPr>
            </w:pPr>
            <w:r>
              <w:rPr>
                <w:rFonts w:eastAsia="宋体"/>
                <w:b/>
                <w:bCs/>
                <w:color w:val="000000"/>
                <w:sz w:val="24"/>
              </w:rPr>
              <w:t>3.机械化提升工程。</w:t>
            </w:r>
            <w:r>
              <w:rPr>
                <w:rFonts w:eastAsia="宋体"/>
                <w:color w:val="000000"/>
                <w:sz w:val="24"/>
              </w:rPr>
              <w:t>提升旋耕、起垄、施肥、播种一体化技术，机械中耕除草、机械打顶、无人机应用等田间机械管理技术、肥料调控、化学调控等技术。优化农机和农艺配套技术。</w:t>
            </w:r>
          </w:p>
        </w:tc>
      </w:tr>
    </w:tbl>
    <w:p w14:paraId="7EC11159">
      <w:pPr>
        <w:ind w:firstLine="0" w:firstLineChars="0"/>
        <w:jc w:val="center"/>
        <w:outlineLvl w:val="0"/>
        <w:rPr>
          <w:rFonts w:eastAsia="黑体"/>
          <w:bCs/>
          <w:color w:val="000000"/>
          <w:kern w:val="0"/>
          <w:szCs w:val="32"/>
        </w:rPr>
      </w:pPr>
      <w:bookmarkStart w:id="99" w:name="_Toc105594920"/>
      <w:bookmarkStart w:id="100" w:name="_Toc10980"/>
    </w:p>
    <w:p w14:paraId="61258011">
      <w:pPr>
        <w:numPr>
          <w:ilvl w:val="0"/>
          <w:numId w:val="4"/>
        </w:numPr>
        <w:ind w:firstLine="0" w:firstLineChars="0"/>
        <w:jc w:val="center"/>
        <w:outlineLvl w:val="0"/>
        <w:rPr>
          <w:rFonts w:eastAsia="黑体"/>
          <w:bCs/>
          <w:color w:val="000000"/>
          <w:kern w:val="0"/>
          <w:szCs w:val="32"/>
        </w:rPr>
      </w:pPr>
      <w:r>
        <w:rPr>
          <w:rFonts w:eastAsia="黑体"/>
          <w:bCs/>
          <w:color w:val="000000"/>
          <w:kern w:val="0"/>
          <w:szCs w:val="32"/>
        </w:rPr>
        <w:t>促进菜果茶药特色化发展</w:t>
      </w:r>
      <w:bookmarkEnd w:id="99"/>
      <w:bookmarkEnd w:id="100"/>
    </w:p>
    <w:p w14:paraId="09FD2DBD">
      <w:pPr>
        <w:ind w:firstLine="0" w:firstLineChars="0"/>
        <w:rPr>
          <w:color w:val="000000"/>
        </w:rPr>
      </w:pPr>
    </w:p>
    <w:p w14:paraId="6668CFEC">
      <w:pPr>
        <w:ind w:firstLine="643"/>
        <w:rPr>
          <w:color w:val="000000"/>
        </w:rPr>
      </w:pPr>
      <w:bookmarkStart w:id="101" w:name="_Toc30429"/>
      <w:r>
        <w:rPr>
          <w:rFonts w:eastAsia="楷体_GB2312"/>
          <w:b/>
          <w:bCs/>
          <w:color w:val="000000"/>
          <w:szCs w:val="32"/>
        </w:rPr>
        <w:t>优化产业结构布局。</w:t>
      </w:r>
      <w:bookmarkEnd w:id="101"/>
      <w:r>
        <w:rPr>
          <w:color w:val="000000"/>
        </w:rPr>
        <w:t>以设施蔬菜、露地蔬菜、水生蔬菜、高山蔬菜和食用菌为重点，发展品种多样、品质良好和区域适宜的产品，逐步形成品种丰富、上市供应均衡、区域特色鲜明的蔬菜生产布局。以柑橘为重点，统筹兼顾梨、桃、葡萄、猕猴桃、杨梅等特色水果，调整品种结构，进一步优化早熟、晚熟水果品种比例，稳步提升鲜果周年均衡供应水平。实施茶园提质工程，抓好低产老茶园品改，调整早中晚茶树品种结构，大力推广无性系良种。强化中药材种质创新与资源利用，建立中药材种质资源保护体系，推进道地药材、特色药材规模化发展。</w:t>
      </w:r>
    </w:p>
    <w:p w14:paraId="56D28859">
      <w:pPr>
        <w:ind w:firstLine="643"/>
        <w:rPr>
          <w:color w:val="000000"/>
        </w:rPr>
      </w:pPr>
      <w:bookmarkStart w:id="102" w:name="_Toc10194"/>
      <w:r>
        <w:rPr>
          <w:rFonts w:eastAsia="楷体_GB2312"/>
          <w:b/>
          <w:bCs/>
          <w:color w:val="000000"/>
          <w:szCs w:val="32"/>
        </w:rPr>
        <w:t>加强种质资源保护利用。</w:t>
      </w:r>
      <w:bookmarkEnd w:id="102"/>
      <w:r>
        <w:rPr>
          <w:color w:val="000000"/>
        </w:rPr>
        <w:t>加强地方特色蔬菜、水果、茶叶、中药材种质资源的调查收集、繁殖更新、鉴定评价、保存保护和创制利用工作。建好湖南蔬菜、水果、茶叶、道地中药材</w:t>
      </w:r>
      <w:r>
        <w:rPr>
          <w:bCs/>
          <w:color w:val="000000"/>
          <w:szCs w:val="32"/>
        </w:rPr>
        <w:t>种质资源保存圃</w:t>
      </w:r>
      <w:r>
        <w:rPr>
          <w:color w:val="000000"/>
        </w:rPr>
        <w:t>，加快地方良种提纯复壮、品种选育、</w:t>
      </w:r>
      <w:r>
        <w:rPr>
          <w:bCs/>
          <w:color w:val="000000"/>
          <w:szCs w:val="32"/>
        </w:rPr>
        <w:t>种质繁殖</w:t>
      </w:r>
      <w:r>
        <w:rPr>
          <w:color w:val="000000"/>
        </w:rPr>
        <w:t>和配套栽培技术研究，加快建设作物种质资源交流与利用平台，开展种质资源共享服务。</w:t>
      </w:r>
    </w:p>
    <w:p w14:paraId="73DDD72F">
      <w:pPr>
        <w:spacing w:after="289" w:afterLines="50"/>
        <w:ind w:firstLine="643"/>
        <w:rPr>
          <w:color w:val="000000"/>
        </w:rPr>
      </w:pPr>
      <w:bookmarkStart w:id="103" w:name="_Toc28801"/>
      <w:r>
        <w:rPr>
          <w:rFonts w:eastAsia="楷体_GB2312"/>
          <w:b/>
          <w:bCs/>
          <w:color w:val="000000"/>
          <w:szCs w:val="32"/>
        </w:rPr>
        <w:t>提升质量效益。</w:t>
      </w:r>
      <w:bookmarkEnd w:id="103"/>
      <w:r>
        <w:rPr>
          <w:color w:val="000000"/>
        </w:rPr>
        <w:t>持续开展菜果茶药“三品一标”提升行动，集成创新推广应用绿色、轻简高效栽培关键技术模式，提高其标准化生产水平。加强农产品质量安全监管，加大农药残留检测监管力度，严格管控上市农产品常规农药残留超标问题。建立健全菜果茶药生产全链条管理制度，构建从种植环节到流通全产业链的产品质量追溯体系。打造一批有影响力的菜果茶药知名品牌。</w:t>
      </w:r>
    </w:p>
    <w:tbl>
      <w:tblPr>
        <w:tblStyle w:val="15"/>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14:paraId="3E841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061" w:type="dxa"/>
            <w:tcBorders>
              <w:top w:val="single" w:color="auto" w:sz="4" w:space="0"/>
              <w:left w:val="single" w:color="auto" w:sz="4" w:space="0"/>
              <w:bottom w:val="single" w:color="auto" w:sz="4" w:space="0"/>
              <w:right w:val="single" w:color="auto" w:sz="4" w:space="0"/>
            </w:tcBorders>
            <w:noWrap w:val="0"/>
            <w:vAlign w:val="center"/>
          </w:tcPr>
          <w:p w14:paraId="104A45E1">
            <w:pPr>
              <w:adjustRightInd/>
              <w:spacing w:line="420" w:lineRule="exact"/>
              <w:ind w:firstLine="0" w:firstLineChars="0"/>
              <w:jc w:val="center"/>
              <w:rPr>
                <w:rFonts w:eastAsia="宋体"/>
                <w:color w:val="000000"/>
                <w:kern w:val="0"/>
                <w:sz w:val="24"/>
              </w:rPr>
            </w:pPr>
            <w:r>
              <w:rPr>
                <w:rFonts w:eastAsia="宋体"/>
                <w:b/>
                <w:bCs/>
                <w:color w:val="000000"/>
                <w:sz w:val="24"/>
              </w:rPr>
              <w:t>专栏10 菜果茶药培优工程</w:t>
            </w:r>
          </w:p>
        </w:tc>
      </w:tr>
      <w:tr w14:paraId="31FCA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1" w:type="dxa"/>
            <w:tcBorders>
              <w:top w:val="single" w:color="auto" w:sz="4" w:space="0"/>
              <w:left w:val="single" w:color="auto" w:sz="4" w:space="0"/>
              <w:bottom w:val="single" w:color="auto" w:sz="4" w:space="0"/>
              <w:right w:val="single" w:color="auto" w:sz="4" w:space="0"/>
            </w:tcBorders>
            <w:noWrap w:val="0"/>
            <w:vAlign w:val="top"/>
          </w:tcPr>
          <w:p w14:paraId="6C07686C">
            <w:pPr>
              <w:widowControl/>
              <w:tabs>
                <w:tab w:val="left" w:pos="312"/>
              </w:tabs>
              <w:spacing w:line="460" w:lineRule="exact"/>
              <w:ind w:firstLine="482"/>
              <w:jc w:val="left"/>
              <w:rPr>
                <w:rFonts w:eastAsia="宋体"/>
                <w:color w:val="000000"/>
                <w:kern w:val="0"/>
                <w:sz w:val="24"/>
              </w:rPr>
            </w:pPr>
            <w:r>
              <w:rPr>
                <w:rFonts w:eastAsia="宋体"/>
                <w:b/>
                <w:color w:val="000000"/>
                <w:kern w:val="0"/>
                <w:sz w:val="24"/>
              </w:rPr>
              <w:t>1.城镇保供蔬菜基地和粤港澳大湾区蔬菜基地建设工程。</w:t>
            </w:r>
            <w:r>
              <w:rPr>
                <w:rFonts w:eastAsia="宋体"/>
                <w:color w:val="000000"/>
                <w:kern w:val="0"/>
                <w:sz w:val="24"/>
              </w:rPr>
              <w:t>完善基地内的沟渠路、排灌水、水肥药一体化设施等，不断提高蔬菜生产抗风险能力，在14个市州城市近郊区，提质改扩建城镇保供专业蔬菜基地20万亩；重点在永州、郴州、衡阳3市建设“湘江源”优质蔬菜生产基地100万亩。供粤港澳设施蔬菜基地20万亩。</w:t>
            </w:r>
          </w:p>
          <w:p w14:paraId="60C303C1">
            <w:pPr>
              <w:adjustRightInd/>
              <w:snapToGrid/>
              <w:spacing w:line="460" w:lineRule="exact"/>
              <w:ind w:firstLine="482"/>
              <w:rPr>
                <w:rFonts w:eastAsia="宋体"/>
                <w:color w:val="000000"/>
                <w:sz w:val="24"/>
                <w:szCs w:val="22"/>
              </w:rPr>
            </w:pPr>
            <w:r>
              <w:rPr>
                <w:rFonts w:eastAsia="宋体"/>
                <w:b/>
                <w:bCs/>
                <w:color w:val="000000"/>
                <w:sz w:val="24"/>
                <w:szCs w:val="22"/>
              </w:rPr>
              <w:t>2.柑橘良繁、品改</w:t>
            </w:r>
            <w:r>
              <w:rPr>
                <w:rFonts w:eastAsia="宋体"/>
                <w:b/>
                <w:color w:val="000000"/>
                <w:sz w:val="24"/>
                <w:szCs w:val="22"/>
              </w:rPr>
              <w:t>和标准果园建设</w:t>
            </w:r>
            <w:r>
              <w:rPr>
                <w:rFonts w:eastAsia="宋体"/>
                <w:b/>
                <w:color w:val="000000"/>
                <w:kern w:val="0"/>
                <w:sz w:val="24"/>
                <w:szCs w:val="22"/>
              </w:rPr>
              <w:t>工程</w:t>
            </w:r>
            <w:r>
              <w:rPr>
                <w:rFonts w:eastAsia="宋体"/>
                <w:b/>
                <w:color w:val="000000"/>
                <w:sz w:val="24"/>
                <w:szCs w:val="22"/>
              </w:rPr>
              <w:t>。</w:t>
            </w:r>
            <w:r>
              <w:rPr>
                <w:rFonts w:eastAsia="宋体"/>
                <w:color w:val="000000"/>
                <w:sz w:val="24"/>
                <w:szCs w:val="22"/>
              </w:rPr>
              <w:t>提质改造湖南省柑橘种质资源保护与良种繁育中心，加大与国家柑橘无病毒原种苗培育基地的合作共建和信息共享。升级种质资源库，建设湖南柑橘种业创新中心，构建“省级龙头+区域性良繁基地+县级苗圃”的三级良种繁育体系，完善优势县柑橘良种苗木繁育基地。按照标准果园建设要求，完善水肥一体化、统防统治、产地商品化处理与冷藏设施、田间地头市场和园区道路等配套设施，建设一批精品柑橘生产基地。全省重点建设10个柑橘品改示范县，100个以上柑橘品改示范片和时鲜水果标准园。</w:t>
            </w:r>
          </w:p>
          <w:p w14:paraId="20394D19">
            <w:pPr>
              <w:adjustRightInd/>
              <w:snapToGrid/>
              <w:spacing w:line="460" w:lineRule="exact"/>
              <w:ind w:firstLine="482"/>
              <w:rPr>
                <w:rFonts w:eastAsia="宋体"/>
                <w:color w:val="000000"/>
                <w:kern w:val="0"/>
                <w:sz w:val="24"/>
                <w:szCs w:val="22"/>
              </w:rPr>
            </w:pPr>
            <w:r>
              <w:rPr>
                <w:rFonts w:eastAsia="宋体"/>
                <w:b/>
                <w:color w:val="000000"/>
                <w:sz w:val="24"/>
                <w:szCs w:val="22"/>
              </w:rPr>
              <w:t>3.</w:t>
            </w:r>
            <w:r>
              <w:rPr>
                <w:rFonts w:eastAsia="宋体"/>
                <w:b/>
                <w:color w:val="000000"/>
                <w:kern w:val="0"/>
                <w:sz w:val="24"/>
                <w:szCs w:val="22"/>
              </w:rPr>
              <w:t>茶园提质工程。</w:t>
            </w:r>
            <w:r>
              <w:rPr>
                <w:rFonts w:eastAsia="宋体"/>
                <w:color w:val="000000"/>
                <w:kern w:val="0"/>
                <w:sz w:val="24"/>
                <w:szCs w:val="22"/>
              </w:rPr>
              <w:t>改扩建现有的国家级茶叶良种繁育基地提升产能；在全省茶叶优势区域提质改造11个良种繁育基地，确保全省茶树品种更新换代。以全省茶叶优势区域县、重点县为重点，加快品种改良步伐，全力改造80万亩低产茶园，重点改造20世纪80年代前种植群体品种的老茶园和因管理不善、采摘不合理导致的茶树未老先衰的茶园。大力推广无性系良种，建设优质茶园，促进全省茶叶产业提质增效。</w:t>
            </w:r>
          </w:p>
          <w:p w14:paraId="2956A42F">
            <w:pPr>
              <w:widowControl/>
              <w:tabs>
                <w:tab w:val="left" w:pos="312"/>
              </w:tabs>
              <w:spacing w:line="460" w:lineRule="exact"/>
              <w:ind w:firstLine="482"/>
              <w:jc w:val="left"/>
              <w:rPr>
                <w:rFonts w:eastAsia="宋体"/>
                <w:b/>
                <w:bCs/>
                <w:color w:val="000000"/>
                <w:sz w:val="24"/>
              </w:rPr>
            </w:pPr>
            <w:r>
              <w:rPr>
                <w:rFonts w:eastAsia="宋体"/>
                <w:b/>
                <w:bCs/>
                <w:color w:val="000000"/>
                <w:sz w:val="24"/>
              </w:rPr>
              <w:t>4.湘产优质中药材生产工程。</w:t>
            </w:r>
            <w:r>
              <w:rPr>
                <w:rFonts w:eastAsia="宋体"/>
                <w:color w:val="000000"/>
                <w:sz w:val="24"/>
              </w:rPr>
              <w:t>开展中药材种质资源保护体系建设，支持建设3个野生药用植物保护区、5个省级中药材迁地保护标本园、2个离体标本及种质资源库和“湘九味”品种资源库；支持1个国家区域良种繁育基地建设，支持10个特色及珍稀中药材的种质繁育基地建设；开展特色中药材生产基地建设，结合“湘九味” 品种培育，按国家规划重点支持建设20个特色中药材基地。</w:t>
            </w:r>
          </w:p>
        </w:tc>
      </w:tr>
    </w:tbl>
    <w:p w14:paraId="4DA2B293">
      <w:pPr>
        <w:ind w:firstLine="0" w:firstLineChars="0"/>
        <w:jc w:val="center"/>
        <w:outlineLvl w:val="0"/>
        <w:rPr>
          <w:rFonts w:eastAsia="黑体"/>
          <w:bCs/>
          <w:color w:val="000000"/>
          <w:kern w:val="0"/>
          <w:szCs w:val="32"/>
        </w:rPr>
      </w:pPr>
      <w:bookmarkStart w:id="104" w:name="_Toc105594921"/>
      <w:bookmarkStart w:id="105" w:name="_Toc104202721"/>
      <w:bookmarkStart w:id="106" w:name="_Toc30012"/>
    </w:p>
    <w:p w14:paraId="3EF2A244">
      <w:pPr>
        <w:ind w:firstLine="0" w:firstLineChars="0"/>
        <w:jc w:val="center"/>
        <w:outlineLvl w:val="0"/>
        <w:rPr>
          <w:rFonts w:eastAsia="黑体"/>
          <w:bCs/>
          <w:color w:val="000000"/>
          <w:kern w:val="0"/>
          <w:szCs w:val="32"/>
        </w:rPr>
      </w:pPr>
      <w:r>
        <w:rPr>
          <w:rFonts w:eastAsia="黑体"/>
          <w:bCs/>
          <w:color w:val="000000"/>
          <w:kern w:val="0"/>
          <w:szCs w:val="32"/>
        </w:rPr>
        <w:t>第五节 推动绿色高质量发展</w:t>
      </w:r>
      <w:bookmarkEnd w:id="104"/>
      <w:bookmarkEnd w:id="105"/>
      <w:bookmarkEnd w:id="106"/>
    </w:p>
    <w:p w14:paraId="78985A40">
      <w:pPr>
        <w:ind w:firstLine="643"/>
        <w:rPr>
          <w:b/>
          <w:color w:val="000000"/>
          <w:kern w:val="0"/>
        </w:rPr>
      </w:pPr>
    </w:p>
    <w:p w14:paraId="4237D285">
      <w:pPr>
        <w:ind w:firstLine="643"/>
        <w:rPr>
          <w:color w:val="000000"/>
          <w:kern w:val="0"/>
        </w:rPr>
      </w:pPr>
      <w:bookmarkStart w:id="107" w:name="_Toc13926"/>
      <w:r>
        <w:rPr>
          <w:rFonts w:eastAsia="楷体_GB2312"/>
          <w:b/>
          <w:bCs/>
          <w:color w:val="000000"/>
          <w:szCs w:val="32"/>
        </w:rPr>
        <w:t>持续推进化肥减量增效。</w:t>
      </w:r>
      <w:bookmarkEnd w:id="107"/>
      <w:r>
        <w:rPr>
          <w:color w:val="000000"/>
          <w:kern w:val="0"/>
        </w:rPr>
        <w:t>按照“高产、优质、经济、环保”施肥理念，以控制化肥使用总量、提高化肥利用率为重点，以精准施肥、调优施肥结构、改进施肥方式、有机肥部分替代化肥为路径，围绕施肥新技术、肥料新产品和施用新机具，集成示范推广“三新”技术模式，加快农机农艺融合，着力培育施肥社会化服务组织，建立健全水稻、玉米、油菜等农作物氮肥用量定额指标，推进施肥精准化、轻简化，智能化、专业化，逐步构建现代科学施肥技术体系，持续推进化肥减量增效。</w:t>
      </w:r>
    </w:p>
    <w:p w14:paraId="51E9EF64">
      <w:pPr>
        <w:ind w:firstLine="643"/>
        <w:rPr>
          <w:color w:val="000000"/>
          <w:kern w:val="0"/>
        </w:rPr>
      </w:pPr>
      <w:bookmarkStart w:id="108" w:name="_Toc456"/>
      <w:r>
        <w:rPr>
          <w:rFonts w:eastAsia="楷体_GB2312"/>
          <w:b/>
          <w:bCs/>
          <w:color w:val="000000"/>
          <w:szCs w:val="32"/>
        </w:rPr>
        <w:t>持续推进农药减量控害。</w:t>
      </w:r>
      <w:bookmarkEnd w:id="108"/>
      <w:r>
        <w:rPr>
          <w:color w:val="000000"/>
          <w:kern w:val="0"/>
        </w:rPr>
        <w:t>深入推进化学农药减量行动，大力推广生态控制、生物防治、理化诱控、科学用药等绿色防控技术，集成以区域为单元、作物为主线的农作物病虫害全程绿色防控模式。引导专业化服务组织参与农药减量行动，培育壮大一批装备精良、技术先进、管理规范、防治服务面积万亩以上的专业化统防统治服务组织，全力推进专业化统防统治。推广农作物病虫害绿色防控新技术、新产品，提升绿色防控水平，强化技术集成应用，以水稻、玉米、油菜、大豆等主要粮油作物和柑橘、茶叶、蔬菜、棉花及大面特色经济作物为重点，围绕控制病虫危害、减少化学农药用量，开展绿色防控集成试验示范。加快施药机械更新换代和新型植保机械推广应用。</w:t>
      </w:r>
    </w:p>
    <w:p w14:paraId="1F4ADDC6">
      <w:pPr>
        <w:ind w:firstLine="643"/>
        <w:rPr>
          <w:color w:val="000000"/>
          <w:kern w:val="0"/>
        </w:rPr>
      </w:pPr>
      <w:bookmarkStart w:id="109" w:name="_Toc15409"/>
      <w:r>
        <w:rPr>
          <w:rFonts w:eastAsia="楷体_GB2312"/>
          <w:b/>
          <w:bCs/>
          <w:color w:val="000000"/>
          <w:szCs w:val="32"/>
        </w:rPr>
        <w:t>强化农业废弃物综合利用。</w:t>
      </w:r>
      <w:bookmarkEnd w:id="109"/>
      <w:r>
        <w:rPr>
          <w:color w:val="000000"/>
          <w:kern w:val="0"/>
        </w:rPr>
        <w:t>完善秸秆综合利用方式，集成推广一批秸秆收、储、运、用县域典型模式，整县推进秸秆综合利用试点，以肥料化为重点，积极开展秸秆饲料化、燃料化、基料化和原料化利用，打造深翻还田、秸秆青黄贮、颗粒饲料喂养、打捆作燃料等典型示范样板。持续推进农药包装废弃物回收利用、资源化和无害化处理，继续开展肥料包装废弃物回收处理试点，建立健全农业废弃物收储运服务体系。开展农药肥料包装和农膜回收处置工作，构建加厚地膜推广应用与地膜回收激励挂钩机制，加快可降解农膜推广应用。</w:t>
      </w:r>
    </w:p>
    <w:p w14:paraId="10CB1E30">
      <w:pPr>
        <w:ind w:firstLine="643"/>
        <w:rPr>
          <w:color w:val="000000"/>
          <w:kern w:val="0"/>
        </w:rPr>
      </w:pPr>
      <w:bookmarkStart w:id="110" w:name="_Toc7098"/>
      <w:r>
        <w:rPr>
          <w:rFonts w:eastAsia="楷体_GB2312"/>
          <w:b/>
          <w:bCs/>
          <w:color w:val="000000"/>
          <w:szCs w:val="32"/>
        </w:rPr>
        <w:t>推进节水增产增效。</w:t>
      </w:r>
      <w:bookmarkEnd w:id="110"/>
      <w:r>
        <w:rPr>
          <w:color w:val="000000"/>
          <w:kern w:val="0"/>
        </w:rPr>
        <w:t>抓好适水种植，优化种植制度和作物结构，根据水资源禀赋调整优化种植结构和空间布局，推进以水定地、量水生产、适水种植，扩大低耗水作物种植面积。加快推广节水品种、抗旱保水、水肥一体化等高效节水技术，提高农业抗旱减灾能力和粮食生产能力。重点围绕蓄水、保墒、集雨、节灌、抗旱五大环节，全面提升农业抗旱能力和旱区生产力。推进精准灌溉与施肥，建立与高效节水灌溉相适应的节灌高效种植模式，分区域、分作物制定农业灌溉用水定额，指导农民因墒因苗科学灌溉、节水灌溉，大幅度提高灌溉水的生产效率。</w:t>
      </w:r>
    </w:p>
    <w:p w14:paraId="39C14D4D">
      <w:pPr>
        <w:spacing w:line="550" w:lineRule="atLeast"/>
        <w:ind w:firstLine="0" w:firstLineChars="0"/>
        <w:jc w:val="center"/>
        <w:outlineLvl w:val="0"/>
        <w:rPr>
          <w:rFonts w:eastAsia="黑体"/>
          <w:bCs/>
          <w:color w:val="000000"/>
          <w:kern w:val="0"/>
          <w:szCs w:val="32"/>
        </w:rPr>
      </w:pPr>
      <w:bookmarkStart w:id="111" w:name="_Toc25472"/>
      <w:bookmarkStart w:id="112" w:name="_Toc104202722"/>
      <w:bookmarkStart w:id="113" w:name="_Toc105594922"/>
      <w:r>
        <w:rPr>
          <w:rFonts w:eastAsia="黑体"/>
          <w:bCs/>
          <w:color w:val="000000"/>
          <w:kern w:val="0"/>
          <w:szCs w:val="32"/>
        </w:rPr>
        <w:t>第六节 提升防灾减灾能力</w:t>
      </w:r>
      <w:bookmarkEnd w:id="111"/>
      <w:bookmarkEnd w:id="112"/>
      <w:bookmarkEnd w:id="113"/>
    </w:p>
    <w:p w14:paraId="3325BC5D">
      <w:pPr>
        <w:spacing w:line="550" w:lineRule="atLeast"/>
        <w:ind w:firstLine="643"/>
        <w:rPr>
          <w:b/>
          <w:color w:val="000000"/>
          <w:kern w:val="0"/>
        </w:rPr>
      </w:pPr>
    </w:p>
    <w:p w14:paraId="6E433D84">
      <w:pPr>
        <w:spacing w:line="550" w:lineRule="atLeast"/>
        <w:ind w:firstLine="643"/>
        <w:rPr>
          <w:color w:val="000000"/>
          <w:kern w:val="0"/>
        </w:rPr>
      </w:pPr>
      <w:bookmarkStart w:id="114" w:name="_Toc24828"/>
      <w:r>
        <w:rPr>
          <w:rFonts w:eastAsia="楷体_GB2312"/>
          <w:b/>
          <w:bCs/>
          <w:color w:val="000000"/>
          <w:szCs w:val="32"/>
        </w:rPr>
        <w:t>增强灾害性天气预报预警能力。</w:t>
      </w:r>
      <w:bookmarkEnd w:id="114"/>
      <w:r>
        <w:rPr>
          <w:color w:val="000000"/>
          <w:kern w:val="0"/>
        </w:rPr>
        <w:t>提高气象灾害预报预警定量化、精细化水平，定期发布气象区域预测季报和年度气象信息回顾，提升气象灾害预报预警能力。发展基于大数据、物联网、人工智能、区块链等新技术的公共气象服务系统。加强种植业气象综合监测网络建设，强化种植业气象服务，提升种植业气象灾害防御能力。</w:t>
      </w:r>
    </w:p>
    <w:p w14:paraId="0CEB0D04">
      <w:pPr>
        <w:spacing w:line="550" w:lineRule="atLeast"/>
        <w:ind w:firstLine="643"/>
        <w:rPr>
          <w:color w:val="000000"/>
          <w:kern w:val="0"/>
        </w:rPr>
      </w:pPr>
      <w:bookmarkStart w:id="115" w:name="_Toc4690"/>
      <w:r>
        <w:rPr>
          <w:rFonts w:eastAsia="楷体_GB2312"/>
          <w:b/>
          <w:bCs/>
          <w:color w:val="000000"/>
          <w:szCs w:val="32"/>
        </w:rPr>
        <w:t>加强农业防灾减灾技术支持与服务。</w:t>
      </w:r>
      <w:bookmarkEnd w:id="115"/>
      <w:r>
        <w:rPr>
          <w:color w:val="000000"/>
          <w:kern w:val="0"/>
        </w:rPr>
        <w:t>深入开展农业灾害普查工作，健全农业自然灾害快速响应机制，分作物、分灾种制定完善抗灾救灾技术指导意见。推进农业灾害综合治理，完善防洪抗旱工程体系和农田水利基础设施，强化防灾减灾与应急管理技术支撑。强化农业防灾减灾的组织、物资、技术等保障。加强农业防灾救灾知识的宣传普及，提高群众生产自救能力。健全农作物病虫害防治体系，推动植保公共服务和社会化服务体系建设。推进稻谷、大豆、玉米、油菜完全成本保险和收入保险试点，推动农业保险“保价格、保收入”，防范自然灾害和市场变动双重风险，提升农业保险保障能力。</w:t>
      </w:r>
    </w:p>
    <w:p w14:paraId="74E191F1">
      <w:pPr>
        <w:spacing w:line="550" w:lineRule="atLeast"/>
        <w:ind w:firstLine="643"/>
        <w:rPr>
          <w:color w:val="000000"/>
          <w:kern w:val="0"/>
        </w:rPr>
      </w:pPr>
      <w:bookmarkStart w:id="116" w:name="_Toc18527"/>
      <w:r>
        <w:rPr>
          <w:rFonts w:eastAsia="楷体_GB2312"/>
          <w:b/>
          <w:bCs/>
          <w:color w:val="000000"/>
          <w:szCs w:val="32"/>
        </w:rPr>
        <w:t>强化病虫害综合防治。</w:t>
      </w:r>
      <w:bookmarkEnd w:id="116"/>
      <w:r>
        <w:rPr>
          <w:color w:val="000000"/>
          <w:kern w:val="0"/>
        </w:rPr>
        <w:t>特别加强对水稻、大豆、玉米、马铃薯等粮食作物的病虫监测工作，科学有效控制油菜、蔬菜、水果、棉花病虫害发生。适时开展应急防治，推行病虫害专业化统防统治，努力减轻病虫危害。强化对农作物病虫害专业化防治的服务指导，及时发布病虫发生信息和防治技术要点，积极引导组织开展除化学防治以外的农业防治、物理防治，生物防治等综合防治，加强安全用药、防治技术和药械维修技能等方面的技术培训。</w:t>
      </w:r>
    </w:p>
    <w:p w14:paraId="50031265">
      <w:pPr>
        <w:spacing w:line="550" w:lineRule="atLeast"/>
        <w:ind w:firstLine="640"/>
        <w:rPr>
          <w:color w:val="000000"/>
          <w:kern w:val="0"/>
        </w:rPr>
      </w:pPr>
    </w:p>
    <w:p w14:paraId="07FC65E8">
      <w:pPr>
        <w:spacing w:line="550" w:lineRule="atLeast"/>
        <w:ind w:firstLine="0" w:firstLineChars="0"/>
        <w:jc w:val="center"/>
        <w:outlineLvl w:val="0"/>
        <w:rPr>
          <w:rFonts w:eastAsia="黑体"/>
          <w:bCs/>
          <w:color w:val="000000"/>
          <w:kern w:val="0"/>
          <w:szCs w:val="32"/>
        </w:rPr>
      </w:pPr>
      <w:bookmarkStart w:id="117" w:name="_Toc105594923"/>
      <w:bookmarkStart w:id="118" w:name="_Toc12733"/>
      <w:r>
        <w:rPr>
          <w:rFonts w:eastAsia="黑体"/>
          <w:bCs/>
          <w:color w:val="000000"/>
          <w:kern w:val="0"/>
          <w:szCs w:val="32"/>
        </w:rPr>
        <w:t>第七节 提高全产业链发展质量</w:t>
      </w:r>
      <w:bookmarkEnd w:id="117"/>
      <w:bookmarkEnd w:id="118"/>
    </w:p>
    <w:p w14:paraId="40EC7525">
      <w:pPr>
        <w:spacing w:line="550" w:lineRule="atLeast"/>
        <w:ind w:firstLine="643"/>
        <w:rPr>
          <w:rFonts w:eastAsia="楷体_GB2312"/>
          <w:b/>
          <w:bCs/>
          <w:color w:val="000000"/>
          <w:szCs w:val="32"/>
        </w:rPr>
      </w:pPr>
    </w:p>
    <w:p w14:paraId="57DC04F5">
      <w:pPr>
        <w:spacing w:line="550" w:lineRule="atLeast"/>
        <w:ind w:firstLine="643"/>
        <w:rPr>
          <w:color w:val="000000"/>
          <w:kern w:val="0"/>
        </w:rPr>
      </w:pPr>
      <w:bookmarkStart w:id="119" w:name="_Toc22023"/>
      <w:r>
        <w:rPr>
          <w:rFonts w:eastAsia="楷体_GB2312"/>
          <w:b/>
          <w:bCs/>
          <w:color w:val="000000"/>
          <w:szCs w:val="32"/>
        </w:rPr>
        <w:t>推动规模化经营。</w:t>
      </w:r>
      <w:bookmarkEnd w:id="119"/>
      <w:r>
        <w:rPr>
          <w:color w:val="000000"/>
          <w:kern w:val="0"/>
        </w:rPr>
        <w:t>引导和推动土地有序流转，发展多种形式的适度规模经营。引导和鼓励龙头企业、农民专业合作社、专业大户参与规模化经营，鼓励有条件有基础的村集体经济组织组建服务队伍开展规模化生产经营。推动种植业新型经营主体与小农户建立优势互补、分工合作、风险共担、利益共享的联结机制，推行保底分红、股份合作、利润返还等方式，实现抱团发展。加快发展服务规模经营，扶持培育病虫害统防统治、肥料统施统配、农机服务等种植业生产社会化服务组织，提高种植业生产组织化、集约化、专业化水平。</w:t>
      </w:r>
    </w:p>
    <w:p w14:paraId="2B049C9A">
      <w:pPr>
        <w:spacing w:line="550" w:lineRule="atLeast"/>
        <w:ind w:firstLine="643"/>
        <w:rPr>
          <w:color w:val="000000"/>
          <w:kern w:val="0"/>
        </w:rPr>
      </w:pPr>
      <w:bookmarkStart w:id="120" w:name="_Toc32555"/>
      <w:r>
        <w:rPr>
          <w:rFonts w:eastAsia="楷体_GB2312"/>
          <w:b/>
          <w:bCs/>
          <w:color w:val="000000"/>
          <w:szCs w:val="32"/>
        </w:rPr>
        <w:t>促进产业化开发。</w:t>
      </w:r>
      <w:bookmarkEnd w:id="120"/>
      <w:r>
        <w:rPr>
          <w:color w:val="000000"/>
        </w:rPr>
        <w:t>以农业产业化龙头企业为重点，统筹发展农产品初加工、精深加工和加工副产物综合利用，推进农产品多元化开发、多层次利用、多环节增值。支持龙头企业发挥在全产业链中的引领带动作用，联合农民合作社、家庭农场、农户以及全产业链各类主体，建设一批农业产业化联合体。</w:t>
      </w:r>
      <w:r>
        <w:rPr>
          <w:color w:val="000000"/>
          <w:kern w:val="0"/>
        </w:rPr>
        <w:t>鼓励和支持农民合作社和家庭农场等新型经营主体发展农产品仓储保鲜、分级、包装、冷链物流等设施建设，促进农产品就地加工转化增值，顺利进入终端市场和后续加工环节，建好“一村一品”示范村镇、农业产业强镇、现代农业产业园、优势特色产业集群以及农产品加工园和返乡入乡创业园等平台，鼓励企业向第二、三产业延伸、拓展，建立专属农产品原料基地，发展仓储物流、电子营销、休闲观光等产业，提升园区集聚效应，着力打造粮食、果蔬、油料、茶叶、中药材等一批千亿产业集群。拓展农业多种功能，推进农业与休闲采摘、科普教育、健康养生等深度融合，发展观光农业、体验农业、教育农园、康养农业、创意农业等新业态，促进休闲农业和乡村旅游多样化发展。</w:t>
      </w:r>
    </w:p>
    <w:p w14:paraId="093DF0FC">
      <w:pPr>
        <w:spacing w:line="550" w:lineRule="atLeast"/>
        <w:ind w:firstLine="643"/>
        <w:rPr>
          <w:color w:val="000000"/>
          <w:kern w:val="0"/>
        </w:rPr>
      </w:pPr>
      <w:bookmarkStart w:id="121" w:name="_Toc23587"/>
      <w:r>
        <w:rPr>
          <w:rFonts w:eastAsia="楷体_GB2312"/>
          <w:b/>
          <w:bCs/>
          <w:color w:val="000000"/>
          <w:szCs w:val="32"/>
        </w:rPr>
        <w:t>加强信息化管理。</w:t>
      </w:r>
      <w:bookmarkEnd w:id="121"/>
      <w:r>
        <w:rPr>
          <w:color w:val="000000"/>
          <w:kern w:val="0"/>
        </w:rPr>
        <w:t>加快“物联网+”技术在种植业生产中的示范应用，积极推进农作物种植遥感监测、智能节水灌溉、农机定位耕种、病虫害监测预警等精准化作业在湖南粮油主产区、现代农业示范区及特色果蔬茶等园艺生产基地的应用，提升种植业生产现代化水平。充分运用现代技术手段，卫星遥感与地面调查相结合、定点监测与抽样调查相衔接，及时快速准确调度农作物苗情长势、土壤墒情、实情和病虫情，提高农情调度、生产指导的科学性、精准性和有效性。建立智慧型农机综合服务云平台，促进农机租赁、农机作业需求与监控等方面的信息化应用，实现农机实时监控与管理“一站式”在线服务。</w:t>
      </w:r>
    </w:p>
    <w:p w14:paraId="378E0F5B">
      <w:pPr>
        <w:spacing w:line="550" w:lineRule="atLeast"/>
        <w:ind w:firstLine="643"/>
        <w:rPr>
          <w:color w:val="000000"/>
          <w:kern w:val="0"/>
        </w:rPr>
      </w:pPr>
      <w:bookmarkStart w:id="122" w:name="_Toc11454"/>
      <w:bookmarkStart w:id="123" w:name="_Toc29271"/>
      <w:r>
        <w:rPr>
          <w:rFonts w:eastAsia="楷体_GB2312"/>
          <w:b/>
          <w:bCs/>
          <w:color w:val="000000"/>
          <w:szCs w:val="32"/>
        </w:rPr>
        <w:t>强化市场化运营。</w:t>
      </w:r>
      <w:bookmarkEnd w:id="122"/>
      <w:r>
        <w:rPr>
          <w:color w:val="000000"/>
          <w:kern w:val="0"/>
        </w:rPr>
        <w:t>支持建设一批农产品骨干冷链物流基地，打造区域性农产品冷链物流重要枢纽。稳步推进农产品产地专业市场体系建设，深入推进“互联网+”农产品出村进城工程，创新销售模式，拓展销售渠道，实现农产品优质优价，促进农民增产增收。结合数字农业试点，加强优质特色农产品全产业链大数据建设，推进生产、加工、流通各环节数字化转型；健全农产品监测预警体系和信息服务机制，引导各类主体根据市场需求，精准生产适销对路的农产品。大力培育农业品牌，加强农产品区域公用品牌、企业品牌、产品品牌培育，把产品优势转化为品牌优势。</w:t>
      </w:r>
      <w:r>
        <w:rPr>
          <w:rFonts w:eastAsia="仿宋"/>
          <w:color w:val="000000"/>
          <w:szCs w:val="21"/>
        </w:rPr>
        <w:t>充</w:t>
      </w:r>
      <w:r>
        <w:rPr>
          <w:color w:val="000000"/>
          <w:kern w:val="0"/>
        </w:rPr>
        <w:t>分利用各类对外开放平台，推动优势特色农产品出口。</w:t>
      </w:r>
    </w:p>
    <w:p w14:paraId="2C1652C6">
      <w:pPr>
        <w:ind w:firstLine="643"/>
        <w:rPr>
          <w:color w:val="000000"/>
          <w:kern w:val="0"/>
        </w:rPr>
      </w:pPr>
      <w:r>
        <w:rPr>
          <w:rFonts w:eastAsia="楷体_GB2312"/>
          <w:b/>
          <w:bCs/>
          <w:color w:val="000000"/>
          <w:szCs w:val="32"/>
        </w:rPr>
        <w:t>推进农药安全化应用。</w:t>
      </w:r>
      <w:bookmarkEnd w:id="123"/>
      <w:r>
        <w:rPr>
          <w:color w:val="000000"/>
          <w:kern w:val="0"/>
        </w:rPr>
        <w:t>调整优化农药产品结构，支持引导农药企业研发、生产低毒、低风险、环境友好的绿色农药。大力推广应用生物防治、生态控制、理化诱控等绿色防控技术，推广高效植保机械和专业化统防统治，强化科学用药技术集成应用，实现农药减量增效。开展农药产销用信息监测，及时掌握农药产销用动态，对重大供需缺口、价格异常波动作出预测预警。开展农药安全风险监测，重点监测农药使用过程作物药害、人畜中毒、农产品质量安全、环境污染等风险，建立农药风险监测、预警、处置和报告制度。加强农药市场监管，依法打击制假售假行为，不断提升农药质量，防止假劣农药坑农害农。加快农药管理信息化建设，完善农药数字监管平台，强化农药行政审批、质量追溯、市场监管等信息互联互通。</w:t>
      </w:r>
    </w:p>
    <w:p w14:paraId="30821230">
      <w:pPr>
        <w:ind w:firstLine="640"/>
        <w:rPr>
          <w:color w:val="000000"/>
          <w:kern w:val="0"/>
        </w:rPr>
      </w:pPr>
    </w:p>
    <w:p w14:paraId="2FF5C3B6">
      <w:pPr>
        <w:ind w:firstLine="0" w:firstLineChars="0"/>
        <w:jc w:val="center"/>
        <w:outlineLvl w:val="0"/>
        <w:rPr>
          <w:rFonts w:eastAsia="黑体"/>
          <w:bCs/>
          <w:color w:val="000000"/>
          <w:kern w:val="0"/>
          <w:sz w:val="36"/>
          <w:szCs w:val="36"/>
        </w:rPr>
      </w:pPr>
      <w:bookmarkStart w:id="124" w:name="_Toc29060"/>
      <w:bookmarkStart w:id="125" w:name="_Toc105594924"/>
      <w:r>
        <w:rPr>
          <w:rFonts w:eastAsia="黑体"/>
          <w:bCs/>
          <w:color w:val="000000"/>
          <w:kern w:val="0"/>
          <w:sz w:val="36"/>
          <w:szCs w:val="36"/>
        </w:rPr>
        <w:t>第五章 保障措施</w:t>
      </w:r>
      <w:bookmarkEnd w:id="124"/>
      <w:bookmarkEnd w:id="125"/>
    </w:p>
    <w:p w14:paraId="46A6F22B">
      <w:pPr>
        <w:ind w:firstLine="640"/>
        <w:rPr>
          <w:color w:val="000000"/>
        </w:rPr>
      </w:pPr>
    </w:p>
    <w:p w14:paraId="76334A5D">
      <w:pPr>
        <w:ind w:firstLine="0" w:firstLineChars="0"/>
        <w:jc w:val="center"/>
        <w:outlineLvl w:val="0"/>
        <w:rPr>
          <w:rFonts w:eastAsia="黑体"/>
          <w:bCs/>
          <w:color w:val="000000"/>
          <w:kern w:val="0"/>
          <w:szCs w:val="32"/>
        </w:rPr>
      </w:pPr>
      <w:bookmarkStart w:id="126" w:name="_Toc24962"/>
      <w:bookmarkStart w:id="127" w:name="_Toc105594925"/>
      <w:r>
        <w:rPr>
          <w:rFonts w:eastAsia="黑体"/>
          <w:bCs/>
          <w:color w:val="000000"/>
          <w:kern w:val="0"/>
          <w:szCs w:val="32"/>
        </w:rPr>
        <w:t>第一节 加强组织保障</w:t>
      </w:r>
      <w:bookmarkEnd w:id="126"/>
      <w:bookmarkEnd w:id="127"/>
    </w:p>
    <w:p w14:paraId="5EFAC430">
      <w:pPr>
        <w:ind w:firstLine="640"/>
        <w:rPr>
          <w:color w:val="000000"/>
        </w:rPr>
      </w:pPr>
    </w:p>
    <w:p w14:paraId="2119A40E">
      <w:pPr>
        <w:ind w:firstLine="640"/>
        <w:rPr>
          <w:color w:val="000000"/>
        </w:rPr>
      </w:pPr>
      <w:r>
        <w:rPr>
          <w:color w:val="000000"/>
        </w:rPr>
        <w:t>建立各级政府、农业农村部门工作“重点突破”协同推进机制，强化统筹协调，构建上下联动、多方协调的工作格局。各级农业农村部门要站在经济社会发展全局的高度，充分认识种植业发展在推进全省农业产业强省建设中的重要作用，切实增强责任感和使命感。各地结合本地实际，制定相应发展规划，明确发展目标和措施。切实加强组织领导，建立多部门协同的工作机制，明确责任分工，形成推进种植业发展的工作合力；明确规划实施的年度任务和工作台账，跟踪规划各项任务落实。深入宣传全省种植业发展思路和理念，大力宣传先进典型和成功经验，营造全社会共同关注、支持种植业高质量发展的良好氛围。</w:t>
      </w:r>
    </w:p>
    <w:p w14:paraId="191197B4">
      <w:pPr>
        <w:ind w:firstLine="640"/>
        <w:rPr>
          <w:color w:val="000000"/>
        </w:rPr>
      </w:pPr>
    </w:p>
    <w:p w14:paraId="6873CBA4">
      <w:pPr>
        <w:ind w:firstLine="0" w:firstLineChars="0"/>
        <w:jc w:val="center"/>
        <w:outlineLvl w:val="0"/>
        <w:rPr>
          <w:rFonts w:eastAsia="黑体"/>
          <w:bCs/>
          <w:color w:val="000000"/>
          <w:kern w:val="0"/>
          <w:szCs w:val="32"/>
        </w:rPr>
      </w:pPr>
      <w:bookmarkStart w:id="128" w:name="_Toc105594926"/>
      <w:bookmarkStart w:id="129" w:name="_Toc28838"/>
      <w:r>
        <w:rPr>
          <w:rFonts w:eastAsia="黑体"/>
          <w:bCs/>
          <w:color w:val="000000"/>
          <w:kern w:val="0"/>
          <w:szCs w:val="32"/>
        </w:rPr>
        <w:t>第二节 优化政策保障</w:t>
      </w:r>
      <w:bookmarkEnd w:id="128"/>
      <w:bookmarkEnd w:id="129"/>
    </w:p>
    <w:p w14:paraId="126A59A9">
      <w:pPr>
        <w:ind w:firstLine="640"/>
        <w:rPr>
          <w:color w:val="000000"/>
        </w:rPr>
      </w:pPr>
    </w:p>
    <w:p w14:paraId="3DD634E9">
      <w:pPr>
        <w:ind w:firstLine="640"/>
        <w:rPr>
          <w:color w:val="000000"/>
        </w:rPr>
      </w:pPr>
      <w:r>
        <w:rPr>
          <w:color w:val="000000"/>
        </w:rPr>
        <w:t>在认真落实国家各项惠农支农富农政策的前提下，按照省人大“十四五”期间“十条百规”的立法工作计划，坚持问题导向，加快促进种植业发展立法工作，明确政府各部门职责，制定促进种植业发展的财政支持政策，保障重点工程建设。加大现代种植业发展的财政支持力度，进一步降低主体种植成本，根据各重点工作特点，采取财政补助、项目扶持等形式，建立健全有效的财政支持机制。完善财政激励政策，落实税收优惠政策，推行政府购买服务等，吸引社会资本投向种植业领域。完善乡村金融服务体系，健全农业信贷担保体系，推进农业保险提标扩面增品。</w:t>
      </w:r>
    </w:p>
    <w:p w14:paraId="7D3177B0">
      <w:pPr>
        <w:spacing w:line="550" w:lineRule="atLeast"/>
        <w:ind w:firstLine="640"/>
        <w:rPr>
          <w:color w:val="000000"/>
        </w:rPr>
      </w:pPr>
    </w:p>
    <w:p w14:paraId="5880A8A2">
      <w:pPr>
        <w:spacing w:line="550" w:lineRule="atLeast"/>
        <w:ind w:firstLine="2857" w:firstLineChars="893"/>
        <w:outlineLvl w:val="0"/>
        <w:rPr>
          <w:rFonts w:eastAsia="黑体"/>
          <w:bCs/>
          <w:color w:val="000000"/>
          <w:kern w:val="0"/>
          <w:szCs w:val="32"/>
        </w:rPr>
      </w:pPr>
      <w:bookmarkStart w:id="130" w:name="_Toc28369"/>
      <w:bookmarkStart w:id="131" w:name="_Toc105594927"/>
      <w:r>
        <w:rPr>
          <w:rFonts w:eastAsia="黑体"/>
          <w:bCs/>
          <w:color w:val="000000"/>
          <w:kern w:val="0"/>
          <w:szCs w:val="32"/>
        </w:rPr>
        <w:t>第三节 强化耕地保护</w:t>
      </w:r>
      <w:bookmarkEnd w:id="130"/>
    </w:p>
    <w:p w14:paraId="11151272">
      <w:pPr>
        <w:spacing w:line="550" w:lineRule="atLeast"/>
        <w:ind w:firstLine="640"/>
        <w:rPr>
          <w:color w:val="000000"/>
        </w:rPr>
      </w:pPr>
    </w:p>
    <w:p w14:paraId="66CADE3D">
      <w:pPr>
        <w:spacing w:line="550" w:lineRule="atLeast"/>
        <w:ind w:firstLine="640"/>
        <w:rPr>
          <w:color w:val="000000"/>
        </w:rPr>
      </w:pPr>
      <w:r>
        <w:rPr>
          <w:color w:val="000000"/>
        </w:rPr>
        <w:t>严守耕地红线和粮食安全底线，全面落实“两个耕地占补平衡”，全程监管新增耕地开发，严格项目用地审查，切实强化耕地保护工作。不断加大永久基本农田保护力度，引导有限的耕地资源优先用于粮食生产。坚决遏制耕地“非农化”、严格管控耕地“非粮化”，切实稳定粮食生产，牢牢守住国家粮食安全的生命线。严格耕地用途管制，要坚持耕地利用优先序，明确永久基本农田重点用于粮食生产，高标准农田原则上全部用于粮食生产，一般耕地主要用于粮食和棉、油、糖、蔬菜等农产品及饲草饲料生产。</w:t>
      </w:r>
    </w:p>
    <w:p w14:paraId="218F2812">
      <w:pPr>
        <w:spacing w:line="550" w:lineRule="atLeast"/>
        <w:ind w:firstLine="0" w:firstLineChars="0"/>
        <w:jc w:val="center"/>
        <w:outlineLvl w:val="0"/>
        <w:rPr>
          <w:rFonts w:eastAsia="黑体"/>
          <w:bCs/>
          <w:color w:val="000000"/>
          <w:kern w:val="0"/>
          <w:szCs w:val="32"/>
        </w:rPr>
      </w:pPr>
    </w:p>
    <w:p w14:paraId="7F9ECACA">
      <w:pPr>
        <w:spacing w:line="550" w:lineRule="atLeast"/>
        <w:ind w:firstLine="0" w:firstLineChars="0"/>
        <w:jc w:val="center"/>
        <w:outlineLvl w:val="0"/>
        <w:rPr>
          <w:rFonts w:eastAsia="黑体"/>
          <w:bCs/>
          <w:color w:val="000000"/>
          <w:kern w:val="0"/>
          <w:szCs w:val="32"/>
        </w:rPr>
      </w:pPr>
      <w:bookmarkStart w:id="132" w:name="_Toc22200"/>
      <w:r>
        <w:rPr>
          <w:rFonts w:eastAsia="黑体"/>
          <w:bCs/>
          <w:color w:val="000000"/>
          <w:kern w:val="0"/>
          <w:szCs w:val="32"/>
        </w:rPr>
        <w:t>第四节 强化科技</w:t>
      </w:r>
      <w:bookmarkEnd w:id="131"/>
      <w:r>
        <w:rPr>
          <w:rFonts w:eastAsia="黑体"/>
          <w:bCs/>
          <w:color w:val="000000"/>
          <w:kern w:val="0"/>
          <w:szCs w:val="32"/>
        </w:rPr>
        <w:t>支撑</w:t>
      </w:r>
      <w:bookmarkEnd w:id="132"/>
    </w:p>
    <w:p w14:paraId="04F9AD00">
      <w:pPr>
        <w:spacing w:line="550" w:lineRule="atLeast"/>
        <w:ind w:firstLine="640"/>
        <w:rPr>
          <w:color w:val="000000"/>
        </w:rPr>
      </w:pPr>
    </w:p>
    <w:p w14:paraId="5C9EB9B0">
      <w:pPr>
        <w:spacing w:line="550" w:lineRule="atLeast"/>
        <w:ind w:firstLine="640"/>
        <w:rPr>
          <w:color w:val="000000"/>
        </w:rPr>
      </w:pPr>
      <w:r>
        <w:rPr>
          <w:color w:val="000000"/>
        </w:rPr>
        <w:t>强化科技人才支撑，加强种植业领域人才队伍建设，重点抓好农机、种业等领域科技人才引进工作。深入实施院士专家服务农业产业链发展行动。深化基层农技推广体系改革，强化农技推广队伍建设。充实完善省级现代农业产业技术体系，提高省级现代农业产业技术体系的服务能力和覆盖范围。积极开拓人才培养新路径，加强培育种植业领域懂经营、善管理、有技术的复合型专业人才。围绕重点产业链建设一批农业科技创新团队，打造一批农业科技示范基地，完善产学研一体化服务体系。加强农民的科技培训力度，加强田间地头现场指导，提高农民的科技技能与素质水平。</w:t>
      </w:r>
    </w:p>
    <w:p w14:paraId="58D4FC7F">
      <w:pPr>
        <w:spacing w:line="550" w:lineRule="atLeast"/>
        <w:ind w:firstLine="0" w:firstLineChars="0"/>
        <w:jc w:val="center"/>
        <w:outlineLvl w:val="0"/>
        <w:rPr>
          <w:rFonts w:eastAsia="黑体"/>
          <w:bCs/>
          <w:color w:val="000000"/>
          <w:kern w:val="0"/>
          <w:szCs w:val="32"/>
        </w:rPr>
      </w:pPr>
      <w:bookmarkStart w:id="133" w:name="_Toc2103"/>
      <w:bookmarkStart w:id="134" w:name="_Toc105594928"/>
      <w:r>
        <w:rPr>
          <w:rFonts w:eastAsia="黑体"/>
          <w:bCs/>
          <w:color w:val="000000"/>
          <w:kern w:val="0"/>
          <w:szCs w:val="32"/>
        </w:rPr>
        <w:t>第五节 健全法治保障</w:t>
      </w:r>
      <w:bookmarkEnd w:id="133"/>
      <w:bookmarkEnd w:id="134"/>
    </w:p>
    <w:p w14:paraId="67420A13">
      <w:pPr>
        <w:spacing w:line="550" w:lineRule="atLeast"/>
        <w:ind w:firstLine="0" w:firstLineChars="0"/>
        <w:rPr>
          <w:color w:val="000000"/>
        </w:rPr>
      </w:pPr>
    </w:p>
    <w:p w14:paraId="6D5031C1">
      <w:pPr>
        <w:spacing w:line="550" w:lineRule="atLeast"/>
        <w:ind w:firstLine="640"/>
        <w:rPr>
          <w:color w:val="000000"/>
        </w:rPr>
      </w:pPr>
      <w:r>
        <w:rPr>
          <w:color w:val="000000"/>
        </w:rPr>
        <w:t>建立健全种植业发展法律规范、标准体系。加快提升农业综合行政执法能力，加强对农药、化肥、植物检疫、种植业产品质量安全的执法，充实人员，落实经费，加大培训，改善执法装备条件，提高执法办案水平。加大《种子法》、《农药管理条例》、《农作物病虫害防治条例》等法律法规宣传普及和执法力度，增强各级干部法治观念，提升生产主体尊法学法守法用法意识。</w:t>
      </w:r>
    </w:p>
    <w:p w14:paraId="3F95A87A">
      <w:pPr>
        <w:spacing w:line="550" w:lineRule="atLeast"/>
        <w:ind w:firstLine="640"/>
        <w:rPr>
          <w:color w:val="000000"/>
        </w:rPr>
      </w:pPr>
    </w:p>
    <w:p w14:paraId="7B5FB73A">
      <w:pPr>
        <w:spacing w:line="550" w:lineRule="atLeast"/>
        <w:ind w:firstLine="0" w:firstLineChars="0"/>
        <w:jc w:val="center"/>
        <w:outlineLvl w:val="0"/>
        <w:rPr>
          <w:rFonts w:eastAsia="黑体"/>
          <w:bCs/>
          <w:color w:val="000000"/>
          <w:kern w:val="0"/>
          <w:szCs w:val="32"/>
        </w:rPr>
      </w:pPr>
      <w:bookmarkStart w:id="135" w:name="_Toc18127"/>
      <w:bookmarkStart w:id="136" w:name="_Toc105594929"/>
      <w:r>
        <w:rPr>
          <w:rFonts w:eastAsia="黑体"/>
          <w:bCs/>
          <w:color w:val="000000"/>
          <w:kern w:val="0"/>
          <w:szCs w:val="32"/>
        </w:rPr>
        <w:t>第六节 广泛宣传引导</w:t>
      </w:r>
      <w:bookmarkEnd w:id="135"/>
      <w:bookmarkEnd w:id="136"/>
    </w:p>
    <w:p w14:paraId="2F8651C2">
      <w:pPr>
        <w:spacing w:line="550" w:lineRule="atLeast"/>
        <w:ind w:firstLine="640"/>
        <w:rPr>
          <w:color w:val="000000"/>
        </w:rPr>
      </w:pPr>
    </w:p>
    <w:p w14:paraId="108A81EF">
      <w:pPr>
        <w:spacing w:line="550" w:lineRule="atLeast"/>
        <w:ind w:firstLine="640"/>
        <w:rPr>
          <w:color w:val="000000"/>
        </w:rPr>
      </w:pPr>
      <w:r>
        <w:rPr>
          <w:color w:val="000000"/>
        </w:rPr>
        <w:t>做好规划解读与宣传，充分调动政府部门、市场主体、农民群众等各方面积极性、主动性和创造性，凝聚促进种植业高质量发展的强大合力。挖掘地方种植业发展经验，加强对外宣传与引导，及时解读创新案例、宣传做法经验、推广典型案例，引导全社会关注。强化项目督查检查，发现问题及时整改。建立考核评价体系，创新考评办法，定期开展重点项目实施进度监测，确保项目规范实施、取得实效。</w:t>
      </w:r>
    </w:p>
    <w:p w14:paraId="584AB393">
      <w:pPr>
        <w:spacing w:line="550" w:lineRule="atLeast"/>
        <w:ind w:firstLine="640"/>
        <w:rPr>
          <w:rFonts w:hint="eastAsia"/>
          <w:color w:val="000000"/>
        </w:rPr>
      </w:pPr>
      <w:r>
        <w:rPr>
          <w:color w:val="000000"/>
        </w:rPr>
        <w:br w:type="page"/>
      </w:r>
    </w:p>
    <w:p w14:paraId="5B65E9E5">
      <w:pPr>
        <w:spacing w:line="550" w:lineRule="atLeast"/>
        <w:ind w:firstLine="640"/>
        <w:rPr>
          <w:rFonts w:hint="eastAsia"/>
          <w:color w:val="000000"/>
        </w:rPr>
      </w:pPr>
    </w:p>
    <w:p w14:paraId="43D4A2BC">
      <w:pPr>
        <w:spacing w:line="550" w:lineRule="atLeast"/>
        <w:ind w:firstLine="640"/>
        <w:rPr>
          <w:rFonts w:hint="eastAsia"/>
          <w:color w:val="000000"/>
        </w:rPr>
      </w:pPr>
    </w:p>
    <w:p w14:paraId="179FFFF2">
      <w:pPr>
        <w:spacing w:line="550" w:lineRule="atLeast"/>
        <w:ind w:firstLine="640"/>
        <w:rPr>
          <w:color w:val="000000"/>
        </w:rPr>
      </w:pPr>
    </w:p>
    <w:p w14:paraId="52049C05">
      <w:pPr>
        <w:ind w:firstLine="640"/>
        <w:rPr>
          <w:color w:val="000000"/>
        </w:rPr>
      </w:pPr>
    </w:p>
    <w:p w14:paraId="4A32C94C">
      <w:pPr>
        <w:ind w:firstLine="640"/>
        <w:rPr>
          <w:color w:val="000000"/>
        </w:rPr>
      </w:pPr>
    </w:p>
    <w:p w14:paraId="21129933">
      <w:pPr>
        <w:ind w:firstLine="640"/>
        <w:rPr>
          <w:color w:val="000000"/>
        </w:rPr>
      </w:pPr>
    </w:p>
    <w:p w14:paraId="504A8990">
      <w:pPr>
        <w:ind w:firstLine="640"/>
        <w:rPr>
          <w:color w:val="000000"/>
        </w:rPr>
      </w:pPr>
    </w:p>
    <w:p w14:paraId="33F047E7">
      <w:pPr>
        <w:ind w:firstLine="640"/>
        <w:rPr>
          <w:color w:val="000000"/>
        </w:rPr>
      </w:pPr>
    </w:p>
    <w:p w14:paraId="356444E6">
      <w:pPr>
        <w:ind w:firstLine="640"/>
        <w:rPr>
          <w:color w:val="000000"/>
        </w:rPr>
      </w:pPr>
    </w:p>
    <w:p w14:paraId="366E86D8">
      <w:pPr>
        <w:ind w:firstLine="640"/>
        <w:rPr>
          <w:color w:val="000000"/>
        </w:rPr>
      </w:pPr>
    </w:p>
    <w:p w14:paraId="3C698C1C">
      <w:pPr>
        <w:ind w:firstLine="640"/>
        <w:rPr>
          <w:color w:val="000000"/>
        </w:rPr>
      </w:pPr>
    </w:p>
    <w:p w14:paraId="77817048">
      <w:pPr>
        <w:ind w:firstLine="640"/>
        <w:rPr>
          <w:color w:val="000000"/>
        </w:rPr>
      </w:pPr>
    </w:p>
    <w:p w14:paraId="6FDD3F50">
      <w:pPr>
        <w:ind w:firstLine="640"/>
        <w:rPr>
          <w:color w:val="000000"/>
        </w:rPr>
      </w:pPr>
    </w:p>
    <w:p w14:paraId="699CBB1F">
      <w:pPr>
        <w:ind w:firstLine="640"/>
        <w:rPr>
          <w:color w:val="000000"/>
        </w:rPr>
      </w:pPr>
    </w:p>
    <w:p w14:paraId="494FA0EE">
      <w:pPr>
        <w:ind w:firstLine="640"/>
        <w:rPr>
          <w:color w:val="000000"/>
        </w:rPr>
      </w:pPr>
    </w:p>
    <w:p w14:paraId="69B4D3CC">
      <w:pPr>
        <w:ind w:firstLine="640"/>
        <w:rPr>
          <w:color w:val="000000"/>
        </w:rPr>
      </w:pPr>
    </w:p>
    <w:p w14:paraId="18DE3983">
      <w:pPr>
        <w:ind w:firstLine="640"/>
        <w:rPr>
          <w:color w:val="000000"/>
        </w:rPr>
      </w:pPr>
    </w:p>
    <w:p w14:paraId="17827A58">
      <w:pPr>
        <w:pStyle w:val="8"/>
        <w:spacing w:line="40" w:lineRule="exact"/>
        <w:ind w:firstLine="640" w:firstLineChars="200"/>
        <w:rPr>
          <w:rFonts w:ascii="Times New Roman" w:hAnsi="Times New Roman" w:eastAsia="仿宋_GB2312" w:cs="Times New Roman"/>
          <w:color w:val="000000"/>
          <w:sz w:val="32"/>
          <w:szCs w:val="32"/>
        </w:rPr>
      </w:pPr>
    </w:p>
    <w:p w14:paraId="77768061">
      <w:pPr>
        <w:pStyle w:val="8"/>
        <w:spacing w:line="40" w:lineRule="exact"/>
        <w:ind w:firstLine="640" w:firstLineChars="200"/>
        <w:rPr>
          <w:rFonts w:ascii="Times New Roman" w:hAnsi="Times New Roman" w:eastAsia="仿宋_GB2312" w:cs="Times New Roman"/>
          <w:color w:val="000000"/>
          <w:sz w:val="32"/>
          <w:szCs w:val="32"/>
        </w:rPr>
      </w:pPr>
    </w:p>
    <w:p w14:paraId="2E7B5F9C">
      <w:pPr>
        <w:pStyle w:val="8"/>
        <w:spacing w:line="40" w:lineRule="exact"/>
        <w:ind w:firstLine="640" w:firstLineChars="200"/>
        <w:rPr>
          <w:rFonts w:ascii="Times New Roman" w:hAnsi="Times New Roman" w:eastAsia="仿宋_GB2312" w:cs="Times New Roman"/>
          <w:color w:val="000000"/>
          <w:sz w:val="32"/>
          <w:szCs w:val="32"/>
        </w:rPr>
      </w:pPr>
    </w:p>
    <w:p w14:paraId="3A8E5B79">
      <w:pPr>
        <w:pStyle w:val="8"/>
        <w:spacing w:line="40" w:lineRule="exact"/>
        <w:ind w:firstLine="640" w:firstLineChars="200"/>
        <w:rPr>
          <w:rFonts w:ascii="Times New Roman" w:hAnsi="Times New Roman" w:eastAsia="仿宋_GB2312" w:cs="Times New Roman"/>
          <w:color w:val="000000"/>
          <w:sz w:val="32"/>
          <w:szCs w:val="32"/>
        </w:rPr>
      </w:pPr>
    </w:p>
    <w:p w14:paraId="2757CCE7">
      <w:pPr>
        <w:pStyle w:val="8"/>
        <w:spacing w:line="40" w:lineRule="exact"/>
        <w:ind w:firstLine="640" w:firstLineChars="200"/>
        <w:rPr>
          <w:rFonts w:ascii="Times New Roman" w:hAnsi="Times New Roman" w:eastAsia="仿宋_GB2312" w:cs="Times New Roman"/>
          <w:color w:val="000000"/>
          <w:sz w:val="32"/>
          <w:szCs w:val="32"/>
        </w:rPr>
      </w:pPr>
    </w:p>
    <w:p w14:paraId="4225AC9B">
      <w:pPr>
        <w:pStyle w:val="8"/>
        <w:spacing w:line="40" w:lineRule="exact"/>
        <w:ind w:firstLine="640" w:firstLineChars="200"/>
        <w:rPr>
          <w:rFonts w:ascii="Times New Roman" w:hAnsi="Times New Roman" w:eastAsia="仿宋_GB2312" w:cs="Times New Roman"/>
          <w:color w:val="000000"/>
          <w:sz w:val="32"/>
          <w:szCs w:val="32"/>
        </w:rPr>
      </w:pPr>
    </w:p>
    <w:p w14:paraId="62BE27ED">
      <w:pPr>
        <w:pStyle w:val="8"/>
        <w:spacing w:line="40" w:lineRule="exact"/>
        <w:ind w:firstLine="640" w:firstLineChars="200"/>
        <w:rPr>
          <w:rFonts w:ascii="Times New Roman" w:hAnsi="Times New Roman" w:eastAsia="仿宋_GB2312" w:cs="Times New Roman"/>
          <w:color w:val="000000"/>
          <w:sz w:val="32"/>
          <w:szCs w:val="32"/>
        </w:rPr>
      </w:pPr>
    </w:p>
    <w:p w14:paraId="4B5C3212">
      <w:pPr>
        <w:pStyle w:val="8"/>
        <w:spacing w:line="40" w:lineRule="exact"/>
        <w:ind w:firstLine="640" w:firstLineChars="200"/>
        <w:rPr>
          <w:rFonts w:ascii="Times New Roman" w:hAnsi="Times New Roman" w:eastAsia="仿宋_GB2312" w:cs="Times New Roman"/>
          <w:color w:val="000000"/>
          <w:sz w:val="32"/>
          <w:szCs w:val="32"/>
        </w:rPr>
      </w:pPr>
    </w:p>
    <w:p w14:paraId="0D75C4BC">
      <w:pPr>
        <w:pStyle w:val="8"/>
        <w:spacing w:line="40" w:lineRule="exact"/>
        <w:ind w:firstLine="640" w:firstLineChars="200"/>
        <w:rPr>
          <w:rFonts w:hint="eastAsia" w:ascii="Times New Roman" w:hAnsi="Times New Roman" w:eastAsia="仿宋_GB2312" w:cs="Times New Roman"/>
          <w:color w:val="000000"/>
          <w:sz w:val="32"/>
          <w:szCs w:val="32"/>
        </w:rPr>
      </w:pPr>
    </w:p>
    <w:p w14:paraId="5FA7AEE8">
      <w:pPr>
        <w:pStyle w:val="8"/>
        <w:spacing w:line="40" w:lineRule="exact"/>
        <w:ind w:firstLine="640" w:firstLineChars="200"/>
        <w:rPr>
          <w:rFonts w:hint="eastAsia" w:ascii="Times New Roman" w:hAnsi="Times New Roman" w:eastAsia="仿宋_GB2312" w:cs="Times New Roman"/>
          <w:color w:val="000000"/>
          <w:sz w:val="32"/>
          <w:szCs w:val="32"/>
        </w:rPr>
      </w:pPr>
    </w:p>
    <w:p w14:paraId="3A46A422">
      <w:pPr>
        <w:pStyle w:val="8"/>
        <w:spacing w:line="40" w:lineRule="exact"/>
        <w:ind w:firstLine="640" w:firstLineChars="200"/>
        <w:rPr>
          <w:rFonts w:hint="eastAsia" w:ascii="Times New Roman" w:hAnsi="Times New Roman" w:eastAsia="仿宋_GB2312" w:cs="Times New Roman"/>
          <w:color w:val="000000"/>
          <w:sz w:val="32"/>
          <w:szCs w:val="32"/>
        </w:rPr>
      </w:pPr>
    </w:p>
    <w:p w14:paraId="0AB16014">
      <w:pPr>
        <w:pStyle w:val="8"/>
        <w:spacing w:line="40" w:lineRule="exact"/>
        <w:ind w:firstLine="640" w:firstLineChars="200"/>
        <w:rPr>
          <w:rFonts w:ascii="Times New Roman" w:hAnsi="Times New Roman" w:eastAsia="仿宋_GB2312" w:cs="Times New Roman"/>
          <w:color w:val="000000"/>
          <w:sz w:val="32"/>
          <w:szCs w:val="32"/>
        </w:rPr>
      </w:pPr>
    </w:p>
    <w:p w14:paraId="1EFAB623">
      <w:pPr>
        <w:pStyle w:val="8"/>
        <w:spacing w:line="40" w:lineRule="exact"/>
        <w:ind w:firstLine="640" w:firstLineChars="200"/>
        <w:rPr>
          <w:rFonts w:ascii="Times New Roman" w:hAnsi="Times New Roman" w:eastAsia="仿宋_GB2312" w:cs="Times New Roman"/>
          <w:color w:val="000000"/>
          <w:sz w:val="32"/>
          <w:szCs w:val="32"/>
        </w:rPr>
      </w:pPr>
    </w:p>
    <w:p w14:paraId="51814E19">
      <w:pPr>
        <w:pStyle w:val="8"/>
        <w:spacing w:line="40" w:lineRule="exact"/>
        <w:ind w:firstLine="640" w:firstLineChars="200"/>
        <w:rPr>
          <w:rFonts w:ascii="Times New Roman" w:hAnsi="Times New Roman" w:eastAsia="仿宋_GB2312" w:cs="Times New Roman"/>
          <w:color w:val="000000"/>
          <w:sz w:val="32"/>
          <w:szCs w:val="32"/>
        </w:rPr>
      </w:pPr>
    </w:p>
    <w:p w14:paraId="4ABA3F2E">
      <w:pPr>
        <w:pStyle w:val="8"/>
        <w:spacing w:line="40" w:lineRule="exact"/>
        <w:ind w:firstLine="640" w:firstLineChars="200"/>
        <w:rPr>
          <w:rFonts w:ascii="Times New Roman" w:hAnsi="Times New Roman" w:eastAsia="仿宋_GB2312" w:cs="Times New Roman"/>
          <w:color w:val="000000"/>
          <w:sz w:val="32"/>
          <w:szCs w:val="32"/>
        </w:rPr>
      </w:pPr>
    </w:p>
    <w:p w14:paraId="5D9C2E22">
      <w:pPr>
        <w:pStyle w:val="8"/>
        <w:spacing w:line="40" w:lineRule="exact"/>
        <w:ind w:firstLine="640" w:firstLineChars="200"/>
        <w:rPr>
          <w:rFonts w:ascii="Times New Roman" w:hAnsi="Times New Roman" w:eastAsia="仿宋_GB2312" w:cs="Times New Roman"/>
          <w:color w:val="000000"/>
          <w:sz w:val="32"/>
          <w:szCs w:val="32"/>
        </w:rPr>
      </w:pPr>
    </w:p>
    <w:p w14:paraId="199C6B79">
      <w:pPr>
        <w:pStyle w:val="8"/>
        <w:spacing w:line="40" w:lineRule="exact"/>
        <w:ind w:firstLine="640" w:firstLineChars="200"/>
        <w:rPr>
          <w:rFonts w:ascii="Times New Roman" w:hAnsi="Times New Roman" w:eastAsia="仿宋_GB2312" w:cs="Times New Roman"/>
          <w:color w:val="000000"/>
          <w:sz w:val="32"/>
          <w:szCs w:val="32"/>
        </w:rPr>
      </w:pPr>
    </w:p>
    <w:p w14:paraId="53BD3E4E">
      <w:pPr>
        <w:pStyle w:val="8"/>
        <w:spacing w:line="40" w:lineRule="exact"/>
        <w:ind w:firstLine="640" w:firstLineChars="200"/>
        <w:rPr>
          <w:rFonts w:ascii="Times New Roman" w:hAnsi="Times New Roman" w:eastAsia="仿宋_GB2312" w:cs="Times New Roman"/>
          <w:color w:val="000000"/>
          <w:sz w:val="32"/>
          <w:szCs w:val="32"/>
        </w:rPr>
      </w:pPr>
    </w:p>
    <w:p w14:paraId="72648843">
      <w:pPr>
        <w:pStyle w:val="8"/>
        <w:spacing w:line="40" w:lineRule="exact"/>
        <w:ind w:firstLine="640" w:firstLineChars="200"/>
        <w:rPr>
          <w:rFonts w:ascii="Times New Roman" w:hAnsi="Times New Roman" w:eastAsia="仿宋_GB2312" w:cs="Times New Roman"/>
          <w:color w:val="000000"/>
          <w:sz w:val="32"/>
          <w:szCs w:val="32"/>
        </w:rPr>
      </w:pPr>
    </w:p>
    <w:p w14:paraId="5E755AF0">
      <w:pPr>
        <w:pStyle w:val="8"/>
        <w:spacing w:line="40" w:lineRule="exact"/>
        <w:ind w:firstLine="640" w:firstLineChars="200"/>
        <w:rPr>
          <w:rFonts w:ascii="Times New Roman" w:hAnsi="Times New Roman" w:eastAsia="仿宋_GB2312" w:cs="Times New Roman"/>
          <w:color w:val="000000"/>
          <w:sz w:val="32"/>
          <w:szCs w:val="32"/>
        </w:rPr>
      </w:pPr>
    </w:p>
    <w:p w14:paraId="68498E08">
      <w:pPr>
        <w:pStyle w:val="8"/>
        <w:spacing w:line="40" w:lineRule="exact"/>
        <w:ind w:firstLine="640" w:firstLineChars="200"/>
        <w:rPr>
          <w:rFonts w:ascii="Times New Roman" w:hAnsi="Times New Roman" w:eastAsia="仿宋_GB2312" w:cs="Times New Roman"/>
          <w:color w:val="000000"/>
          <w:sz w:val="32"/>
          <w:szCs w:val="32"/>
        </w:rPr>
      </w:pPr>
    </w:p>
    <w:p w14:paraId="61FED350">
      <w:pPr>
        <w:pStyle w:val="8"/>
        <w:spacing w:line="40" w:lineRule="exact"/>
        <w:ind w:firstLine="640" w:firstLineChars="200"/>
        <w:rPr>
          <w:rFonts w:ascii="Times New Roman" w:hAnsi="Times New Roman" w:eastAsia="仿宋_GB2312" w:cs="Times New Roman"/>
          <w:color w:val="000000"/>
          <w:sz w:val="32"/>
          <w:szCs w:val="32"/>
        </w:rPr>
      </w:pPr>
    </w:p>
    <w:p w14:paraId="68A09D69">
      <w:pPr>
        <w:pStyle w:val="8"/>
        <w:spacing w:line="40" w:lineRule="exact"/>
        <w:ind w:firstLine="640" w:firstLineChars="200"/>
        <w:rPr>
          <w:rFonts w:ascii="Times New Roman" w:hAnsi="Times New Roman" w:eastAsia="仿宋_GB2312" w:cs="Times New Roman"/>
          <w:color w:val="000000"/>
          <w:sz w:val="32"/>
          <w:szCs w:val="32"/>
        </w:rPr>
      </w:pPr>
    </w:p>
    <w:p w14:paraId="2C759244">
      <w:pPr>
        <w:pStyle w:val="8"/>
        <w:spacing w:line="40" w:lineRule="exact"/>
        <w:ind w:firstLine="640" w:firstLineChars="200"/>
        <w:rPr>
          <w:rFonts w:ascii="Times New Roman" w:hAnsi="Times New Roman" w:eastAsia="仿宋_GB2312" w:cs="Times New Roman"/>
          <w:color w:val="000000"/>
          <w:sz w:val="32"/>
          <w:szCs w:val="32"/>
        </w:rPr>
      </w:pPr>
    </w:p>
    <w:p w14:paraId="185B79E2">
      <w:pPr>
        <w:pStyle w:val="8"/>
        <w:spacing w:line="40" w:lineRule="exact"/>
        <w:ind w:firstLine="640" w:firstLineChars="200"/>
        <w:rPr>
          <w:rFonts w:ascii="Times New Roman" w:hAnsi="Times New Roman" w:eastAsia="仿宋_GB2312" w:cs="Times New Roman"/>
          <w:color w:val="000000"/>
          <w:sz w:val="32"/>
          <w:szCs w:val="32"/>
        </w:rPr>
      </w:pPr>
    </w:p>
    <w:p w14:paraId="6515FF7F">
      <w:pPr>
        <w:pStyle w:val="8"/>
        <w:spacing w:line="40" w:lineRule="exact"/>
        <w:ind w:firstLine="640" w:firstLineChars="200"/>
        <w:rPr>
          <w:rFonts w:ascii="Times New Roman" w:hAnsi="Times New Roman" w:eastAsia="仿宋_GB2312" w:cs="Times New Roman"/>
          <w:color w:val="000000"/>
          <w:sz w:val="32"/>
          <w:szCs w:val="32"/>
        </w:rPr>
      </w:pPr>
    </w:p>
    <w:p w14:paraId="53C74B21">
      <w:pPr>
        <w:pStyle w:val="8"/>
        <w:spacing w:line="40" w:lineRule="exact"/>
        <w:ind w:firstLine="640" w:firstLineChars="200"/>
        <w:rPr>
          <w:rFonts w:ascii="Times New Roman" w:hAnsi="Times New Roman" w:eastAsia="仿宋_GB2312" w:cs="Times New Roman"/>
          <w:color w:val="000000"/>
          <w:sz w:val="32"/>
          <w:szCs w:val="32"/>
        </w:rPr>
      </w:pPr>
    </w:p>
    <w:p w14:paraId="285D4D7A">
      <w:pPr>
        <w:pStyle w:val="8"/>
        <w:spacing w:line="40" w:lineRule="exact"/>
        <w:ind w:firstLine="640" w:firstLineChars="200"/>
        <w:rPr>
          <w:rFonts w:ascii="Times New Roman" w:hAnsi="Times New Roman" w:eastAsia="仿宋_GB2312" w:cs="Times New Roman"/>
          <w:color w:val="000000"/>
          <w:sz w:val="32"/>
          <w:szCs w:val="32"/>
        </w:rPr>
      </w:pPr>
    </w:p>
    <w:p w14:paraId="6E32D3F3">
      <w:pPr>
        <w:pStyle w:val="8"/>
        <w:spacing w:line="40" w:lineRule="exact"/>
        <w:ind w:firstLine="640" w:firstLineChars="200"/>
        <w:rPr>
          <w:rFonts w:ascii="Times New Roman" w:hAnsi="Times New Roman" w:eastAsia="仿宋_GB2312" w:cs="Times New Roman"/>
          <w:color w:val="000000"/>
          <w:sz w:val="32"/>
          <w:szCs w:val="32"/>
        </w:rPr>
      </w:pPr>
    </w:p>
    <w:p w14:paraId="41724F8B">
      <w:pPr>
        <w:pStyle w:val="8"/>
        <w:spacing w:line="40" w:lineRule="exact"/>
        <w:ind w:firstLine="640" w:firstLineChars="200"/>
        <w:rPr>
          <w:rFonts w:ascii="Times New Roman" w:hAnsi="Times New Roman" w:eastAsia="仿宋_GB2312" w:cs="Times New Roman"/>
          <w:color w:val="000000"/>
          <w:sz w:val="32"/>
          <w:szCs w:val="32"/>
        </w:rPr>
      </w:pPr>
    </w:p>
    <w:p w14:paraId="00CC69FE">
      <w:pPr>
        <w:pStyle w:val="8"/>
        <w:spacing w:line="40" w:lineRule="exact"/>
        <w:ind w:firstLine="640" w:firstLineChars="200"/>
        <w:rPr>
          <w:rFonts w:ascii="Times New Roman" w:hAnsi="Times New Roman" w:eastAsia="仿宋_GB2312" w:cs="Times New Roman"/>
          <w:color w:val="000000"/>
          <w:sz w:val="32"/>
          <w:szCs w:val="32"/>
        </w:rPr>
      </w:pPr>
    </w:p>
    <w:p w14:paraId="6633BC4A">
      <w:pPr>
        <w:pStyle w:val="8"/>
        <w:spacing w:line="40" w:lineRule="exact"/>
        <w:ind w:firstLine="640" w:firstLineChars="200"/>
        <w:rPr>
          <w:rFonts w:ascii="Times New Roman" w:hAnsi="Times New Roman" w:eastAsia="仿宋_GB2312" w:cs="Times New Roman"/>
          <w:color w:val="000000"/>
          <w:sz w:val="32"/>
          <w:szCs w:val="32"/>
        </w:rPr>
      </w:pPr>
    </w:p>
    <w:p w14:paraId="466BBAB6">
      <w:pPr>
        <w:spacing w:line="520" w:lineRule="exact"/>
        <w:ind w:firstLine="0" w:firstLineChars="0"/>
        <w:rPr>
          <w:rFonts w:eastAsia="方正小标宋简体"/>
          <w:color w:val="000000"/>
          <w:sz w:val="28"/>
          <w:szCs w:val="28"/>
        </w:rPr>
      </w:pPr>
      <w:r>
        <w:rPr>
          <w:rFonts w:eastAsia="黑体"/>
          <w:color w:val="000000"/>
          <w:sz w:val="28"/>
          <w:szCs w:val="28"/>
        </w:rPr>
        <w:t>信息公开选项：</w:t>
      </w:r>
      <w:r>
        <w:rPr>
          <w:rFonts w:eastAsia="方正小标宋简体"/>
          <w:color w:val="000000"/>
          <w:sz w:val="28"/>
          <w:szCs w:val="28"/>
        </w:rPr>
        <w:t>公开</w:t>
      </w:r>
    </w:p>
    <w:p w14:paraId="3168CAB0">
      <w:pPr>
        <w:spacing w:line="560" w:lineRule="exact"/>
        <w:ind w:firstLine="320" w:firstLineChars="100"/>
        <w:rPr>
          <w:color w:val="000000"/>
        </w:rPr>
      </w:pPr>
      <w:r>
        <w:rPr>
          <w:color w:val="00000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13335</wp:posOffset>
                </wp:positionV>
                <wp:extent cx="5615940" cy="0"/>
                <wp:effectExtent l="0" t="0" r="0" b="0"/>
                <wp:wrapNone/>
                <wp:docPr id="1" name="直线 42"/>
                <wp:cNvGraphicFramePr/>
                <a:graphic xmlns:a="http://schemas.openxmlformats.org/drawingml/2006/main">
                  <a:graphicData uri="http://schemas.microsoft.com/office/word/2010/wordprocessingShape">
                    <wps:wsp>
                      <wps:cNvCnPr/>
                      <wps:spPr>
                        <a:xfrm>
                          <a:off x="0" y="0"/>
                          <a:ext cx="5615940" cy="0"/>
                        </a:xfrm>
                        <a:prstGeom prst="line">
                          <a:avLst/>
                        </a:prstGeom>
                        <a:ln w="4445" cap="flat" cmpd="sng">
                          <a:solidFill>
                            <a:srgbClr val="000000"/>
                          </a:solidFill>
                          <a:prstDash val="solid"/>
                          <a:headEnd type="none" w="med" len="med"/>
                          <a:tailEnd type="none" w="med" len="med"/>
                        </a:ln>
                      </wps:spPr>
                      <wps:bodyPr upright="1"/>
                    </wps:wsp>
                  </a:graphicData>
                </a:graphic>
              </wp:anchor>
            </w:drawing>
          </mc:Choice>
          <mc:Fallback>
            <w:pict>
              <v:line id="直线 42" o:spid="_x0000_s1026" o:spt="20" style="position:absolute;left:0pt;margin-left:0pt;margin-top:1.05pt;height:0pt;width:442.2pt;z-index:251659264;mso-width-relative:page;mso-height-relative:page;" filled="f" stroked="t" coordsize="21600,21600" o:gfxdata="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A+YdX7TAAAA&#10;BAEAAA8AAAAAAAAAAQAgAAAAIgAAAGRycy9kb3ducmV2LnhtbFBLAQIUABQAAAAIAIdO4kCkBjHf&#10;6QEAANwDAAAOAAAAAAAAAAEAIAAAACIBAABkcnMvZTJvRG9jLnhtbFBLBQYAAAAABgAGAFkBAAB9&#10;BQAAAAA=&#10;">
                <v:fill on="f" focussize="0,0"/>
                <v:stroke weight="0.35pt" color="#000000" joinstyle="round"/>
                <v:imagedata o:title=""/>
                <o:lock v:ext="edit" aspectratio="f"/>
              </v:line>
            </w:pict>
          </mc:Fallback>
        </mc:AlternateContent>
      </w:r>
      <w:r>
        <w:rPr>
          <w:color w:val="000000"/>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393065</wp:posOffset>
                </wp:positionV>
                <wp:extent cx="5615940" cy="0"/>
                <wp:effectExtent l="0" t="0" r="0" b="0"/>
                <wp:wrapNone/>
                <wp:docPr id="2" name="直线 43"/>
                <wp:cNvGraphicFramePr/>
                <a:graphic xmlns:a="http://schemas.openxmlformats.org/drawingml/2006/main">
                  <a:graphicData uri="http://schemas.microsoft.com/office/word/2010/wordprocessingShape">
                    <wps:wsp>
                      <wps:cNvCnPr/>
                      <wps:spPr>
                        <a:xfrm>
                          <a:off x="0" y="0"/>
                          <a:ext cx="5615940" cy="0"/>
                        </a:xfrm>
                        <a:prstGeom prst="line">
                          <a:avLst/>
                        </a:prstGeom>
                        <a:ln w="4445" cap="flat" cmpd="sng">
                          <a:solidFill>
                            <a:srgbClr val="000000"/>
                          </a:solidFill>
                          <a:prstDash val="solid"/>
                          <a:headEnd type="none" w="med" len="med"/>
                          <a:tailEnd type="none" w="med" len="med"/>
                        </a:ln>
                      </wps:spPr>
                      <wps:bodyPr upright="1"/>
                    </wps:wsp>
                  </a:graphicData>
                </a:graphic>
              </wp:anchor>
            </w:drawing>
          </mc:Choice>
          <mc:Fallback>
            <w:pict>
              <v:line id="直线 43" o:spid="_x0000_s1026" o:spt="20" style="position:absolute;left:0pt;margin-left:0pt;margin-top:30.95pt;height:0pt;width:442.2pt;z-index:251660288;mso-width-relative:page;mso-height-relative:page;" filled="f" stroked="t" coordsize="21600,21600" o:gfxdata="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kKrxHtUA&#10;AAAGAQAADwAAAAAAAAABACAAAAAiAAAAZHJzL2Rvd25yZXYueG1sUEsBAhQAFAAAAAgAh07iQJK8&#10;VUvpAQAA3AMAAA4AAAAAAAAAAQAgAAAAJAEAAGRycy9lMm9Eb2MueG1sUEsFBgAAAAAGAAYAWQEA&#10;AH8FAAAAAA==&#10;">
                <v:fill on="f" focussize="0,0"/>
                <v:stroke weight="0.35pt" color="#000000" joinstyle="round"/>
                <v:imagedata o:title=""/>
                <o:lock v:ext="edit" aspectratio="f"/>
              </v:line>
            </w:pict>
          </mc:Fallback>
        </mc:AlternateContent>
      </w:r>
      <w:r>
        <w:rPr>
          <w:color w:val="000000"/>
          <w:sz w:val="28"/>
          <w:szCs w:val="28"/>
        </w:rPr>
        <w:t>湖南省农业农村厅办公室                 2022年6月28日印发</w:t>
      </w: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5" w:left="1588" w:header="851" w:footer="1588" w:gutter="0"/>
      <w:cols w:space="720" w:num="1"/>
      <w:docGrid w:type="linesAndChars" w:linePitch="57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A38094C-EB5C-4BB2-9E08-B2D451A7C3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0010101010101"/>
    <w:charset w:val="86"/>
    <w:family w:val="script"/>
    <w:pitch w:val="default"/>
    <w:sig w:usb0="00000001" w:usb1="080E0000" w:usb2="00000000" w:usb3="00000000" w:csb0="00040000" w:csb1="00000000"/>
    <w:embedRegular r:id="rId2" w:fontKey="{D0BFAE50-D909-4692-9D2E-05ED0745AEF4}"/>
  </w:font>
  <w:font w:name="楷体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Times-Roman">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42916">
    <w:pPr>
      <w:pStyle w:val="12"/>
      <w:framePr w:wrap="around" w:vAnchor="text" w:hAnchor="margin" w:xAlign="outside" w:y="1"/>
      <w:ind w:firstLine="0" w:firstLineChars="0"/>
      <w:rPr>
        <w:rStyle w:val="19"/>
        <w:sz w:val="28"/>
        <w:szCs w:val="28"/>
      </w:rPr>
    </w:pPr>
    <w:r>
      <w:rPr>
        <w:rStyle w:val="19"/>
        <w:rFonts w:hint="eastAsia"/>
        <w:sz w:val="28"/>
        <w:szCs w:val="28"/>
      </w:rPr>
      <w:t>—</w:t>
    </w:r>
    <w:r>
      <w:rPr>
        <w:rStyle w:val="19"/>
        <w:sz w:val="28"/>
        <w:szCs w:val="28"/>
      </w:rPr>
      <w:fldChar w:fldCharType="begin"/>
    </w:r>
    <w:r>
      <w:rPr>
        <w:rStyle w:val="19"/>
        <w:sz w:val="28"/>
        <w:szCs w:val="28"/>
      </w:rPr>
      <w:instrText xml:space="preserve">PAGE  </w:instrText>
    </w:r>
    <w:r>
      <w:rPr>
        <w:rStyle w:val="19"/>
        <w:sz w:val="28"/>
        <w:szCs w:val="28"/>
      </w:rPr>
      <w:fldChar w:fldCharType="separate"/>
    </w:r>
    <w:r>
      <w:rPr>
        <w:rStyle w:val="19"/>
        <w:sz w:val="28"/>
        <w:szCs w:val="28"/>
      </w:rPr>
      <w:t>56</w:t>
    </w:r>
    <w:r>
      <w:rPr>
        <w:rStyle w:val="19"/>
        <w:sz w:val="28"/>
        <w:szCs w:val="28"/>
      </w:rPr>
      <w:fldChar w:fldCharType="end"/>
    </w:r>
    <w:r>
      <w:rPr>
        <w:rStyle w:val="19"/>
        <w:rFonts w:hint="eastAsia"/>
        <w:sz w:val="28"/>
        <w:szCs w:val="28"/>
      </w:rPr>
      <w:t>—</w:t>
    </w:r>
  </w:p>
  <w:p w14:paraId="30D008A9">
    <w:pPr>
      <w:pStyle w:val="1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61FA0">
    <w:pPr>
      <w:pStyle w:val="12"/>
      <w:framePr w:wrap="around" w:vAnchor="text" w:hAnchor="margin" w:xAlign="outside" w:y="1"/>
      <w:ind w:firstLine="360"/>
      <w:rPr>
        <w:rStyle w:val="19"/>
      </w:rPr>
    </w:pPr>
    <w:r>
      <w:rPr>
        <w:rStyle w:val="19"/>
      </w:rPr>
      <w:fldChar w:fldCharType="begin"/>
    </w:r>
    <w:r>
      <w:rPr>
        <w:rStyle w:val="19"/>
      </w:rPr>
      <w:instrText xml:space="preserve">PAGE  </w:instrText>
    </w:r>
    <w:r>
      <w:rPr>
        <w:rStyle w:val="19"/>
      </w:rPr>
      <w:fldChar w:fldCharType="separate"/>
    </w:r>
    <w:r>
      <w:rPr>
        <w:rStyle w:val="19"/>
      </w:rPr>
      <w:t>2</w:t>
    </w:r>
    <w:r>
      <w:rPr>
        <w:rStyle w:val="19"/>
      </w:rPr>
      <w:fldChar w:fldCharType="end"/>
    </w:r>
  </w:p>
  <w:p w14:paraId="18C006C4">
    <w:pPr>
      <w:pStyle w:val="1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77CE5">
    <w:pPr>
      <w:pStyle w:val="1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8574B">
    <w:pPr>
      <w:pStyle w:val="13"/>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28199">
    <w:pPr>
      <w:pStyle w:val="1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A761C">
    <w:pPr>
      <w:pStyle w:val="13"/>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FF1070"/>
    <w:multiLevelType w:val="singleLevel"/>
    <w:tmpl w:val="F7FF1070"/>
    <w:lvl w:ilvl="0" w:tentative="0">
      <w:start w:val="4"/>
      <w:numFmt w:val="chineseCounting"/>
      <w:suff w:val="space"/>
      <w:lvlText w:val="第%1节"/>
      <w:lvlJc w:val="left"/>
      <w:rPr>
        <w:rFonts w:hint="eastAsia"/>
      </w:rPr>
    </w:lvl>
  </w:abstractNum>
  <w:abstractNum w:abstractNumId="1">
    <w:nsid w:val="FBB2368A"/>
    <w:multiLevelType w:val="singleLevel"/>
    <w:tmpl w:val="FBB2368A"/>
    <w:lvl w:ilvl="0" w:tentative="0">
      <w:start w:val="1"/>
      <w:numFmt w:val="chineseCounting"/>
      <w:suff w:val="space"/>
      <w:lvlText w:val="第%1节"/>
      <w:lvlJc w:val="left"/>
      <w:rPr>
        <w:rFonts w:hint="eastAsia"/>
      </w:rPr>
    </w:lvl>
  </w:abstractNum>
  <w:abstractNum w:abstractNumId="2">
    <w:nsid w:val="1A0B4B1B"/>
    <w:multiLevelType w:val="multilevel"/>
    <w:tmpl w:val="1A0B4B1B"/>
    <w:lvl w:ilvl="0" w:tentative="0">
      <w:start w:val="1"/>
      <w:numFmt w:val="japaneseCounting"/>
      <w:lvlText w:val="第%1节"/>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A2202BE"/>
    <w:multiLevelType w:val="multilevel"/>
    <w:tmpl w:val="5A2202BE"/>
    <w:lvl w:ilvl="0" w:tentative="0">
      <w:start w:val="1"/>
      <w:numFmt w:val="japaneseCounting"/>
      <w:lvlText w:val="第%1节"/>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420"/>
  <w:hyphenationZone w:val="360"/>
  <w:drawingGridHorizontalSpacing w:val="160"/>
  <w:drawingGridVerticalSpacing w:val="579"/>
  <w:displayHorizontalDrawingGridEvery w:val="0"/>
  <w:displayVerticalDrawingGridEvery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3ZGExZjYwMTI4YmMyMDhjZTQxZmYxZDI0ZTcyMmYifQ=="/>
  </w:docVars>
  <w:rsids>
    <w:rsidRoot w:val="00251ED1"/>
    <w:rsid w:val="00001D0D"/>
    <w:rsid w:val="00006C32"/>
    <w:rsid w:val="000070BB"/>
    <w:rsid w:val="00007908"/>
    <w:rsid w:val="00007A2A"/>
    <w:rsid w:val="0004127B"/>
    <w:rsid w:val="00061E0A"/>
    <w:rsid w:val="000651D7"/>
    <w:rsid w:val="00081764"/>
    <w:rsid w:val="00090311"/>
    <w:rsid w:val="00091522"/>
    <w:rsid w:val="000C1B41"/>
    <w:rsid w:val="000D695F"/>
    <w:rsid w:val="000D7E84"/>
    <w:rsid w:val="000F43A1"/>
    <w:rsid w:val="00105649"/>
    <w:rsid w:val="0010709A"/>
    <w:rsid w:val="001268CD"/>
    <w:rsid w:val="00130888"/>
    <w:rsid w:val="00136317"/>
    <w:rsid w:val="00137536"/>
    <w:rsid w:val="001377BA"/>
    <w:rsid w:val="001448C7"/>
    <w:rsid w:val="0015554F"/>
    <w:rsid w:val="0019261B"/>
    <w:rsid w:val="001B6E9A"/>
    <w:rsid w:val="001C22AE"/>
    <w:rsid w:val="001C7FE3"/>
    <w:rsid w:val="001D4AFD"/>
    <w:rsid w:val="001E38AE"/>
    <w:rsid w:val="001E56FA"/>
    <w:rsid w:val="001F7E44"/>
    <w:rsid w:val="0020637D"/>
    <w:rsid w:val="002121D0"/>
    <w:rsid w:val="00215AAE"/>
    <w:rsid w:val="00225747"/>
    <w:rsid w:val="002450AD"/>
    <w:rsid w:val="00251ED1"/>
    <w:rsid w:val="00292204"/>
    <w:rsid w:val="00293EAF"/>
    <w:rsid w:val="00293F32"/>
    <w:rsid w:val="002A3CA4"/>
    <w:rsid w:val="002C02DE"/>
    <w:rsid w:val="002C2BE9"/>
    <w:rsid w:val="002C6F29"/>
    <w:rsid w:val="002D5F5D"/>
    <w:rsid w:val="002E37FF"/>
    <w:rsid w:val="002F4908"/>
    <w:rsid w:val="002F4C64"/>
    <w:rsid w:val="002F5464"/>
    <w:rsid w:val="003326BD"/>
    <w:rsid w:val="00340785"/>
    <w:rsid w:val="00346980"/>
    <w:rsid w:val="00354E3D"/>
    <w:rsid w:val="00361BA3"/>
    <w:rsid w:val="00365D8C"/>
    <w:rsid w:val="003837BF"/>
    <w:rsid w:val="003A225C"/>
    <w:rsid w:val="003B61D2"/>
    <w:rsid w:val="003B68C1"/>
    <w:rsid w:val="003D1A2E"/>
    <w:rsid w:val="003D383D"/>
    <w:rsid w:val="003D4160"/>
    <w:rsid w:val="003E6E7A"/>
    <w:rsid w:val="003F569A"/>
    <w:rsid w:val="003F6070"/>
    <w:rsid w:val="003F6FAE"/>
    <w:rsid w:val="003F7FA2"/>
    <w:rsid w:val="0041133A"/>
    <w:rsid w:val="0042011E"/>
    <w:rsid w:val="0042601C"/>
    <w:rsid w:val="00427D75"/>
    <w:rsid w:val="00447ED8"/>
    <w:rsid w:val="00457133"/>
    <w:rsid w:val="00460443"/>
    <w:rsid w:val="004645D7"/>
    <w:rsid w:val="00470C1E"/>
    <w:rsid w:val="0048169E"/>
    <w:rsid w:val="00491265"/>
    <w:rsid w:val="004A4F35"/>
    <w:rsid w:val="004B4FE9"/>
    <w:rsid w:val="004D0131"/>
    <w:rsid w:val="004E6FE0"/>
    <w:rsid w:val="00517044"/>
    <w:rsid w:val="00520B7F"/>
    <w:rsid w:val="00527AFA"/>
    <w:rsid w:val="005357A5"/>
    <w:rsid w:val="00547ADF"/>
    <w:rsid w:val="005513D6"/>
    <w:rsid w:val="00553D28"/>
    <w:rsid w:val="005630F8"/>
    <w:rsid w:val="00570F7F"/>
    <w:rsid w:val="00576DA7"/>
    <w:rsid w:val="005B16E7"/>
    <w:rsid w:val="005F0127"/>
    <w:rsid w:val="005F5909"/>
    <w:rsid w:val="00606BEA"/>
    <w:rsid w:val="00620A06"/>
    <w:rsid w:val="00623F5C"/>
    <w:rsid w:val="00635979"/>
    <w:rsid w:val="006867BE"/>
    <w:rsid w:val="00687D51"/>
    <w:rsid w:val="00690E4B"/>
    <w:rsid w:val="0069343F"/>
    <w:rsid w:val="006B0675"/>
    <w:rsid w:val="006B2A1B"/>
    <w:rsid w:val="006B44B2"/>
    <w:rsid w:val="006C1646"/>
    <w:rsid w:val="006C1E2E"/>
    <w:rsid w:val="006C285B"/>
    <w:rsid w:val="006C38AC"/>
    <w:rsid w:val="006C5097"/>
    <w:rsid w:val="006D159C"/>
    <w:rsid w:val="006D180D"/>
    <w:rsid w:val="006D57C6"/>
    <w:rsid w:val="006E5060"/>
    <w:rsid w:val="006E5C7E"/>
    <w:rsid w:val="006E6528"/>
    <w:rsid w:val="0070643A"/>
    <w:rsid w:val="00706782"/>
    <w:rsid w:val="00711091"/>
    <w:rsid w:val="007130C8"/>
    <w:rsid w:val="00716F4C"/>
    <w:rsid w:val="0073058D"/>
    <w:rsid w:val="00731FD8"/>
    <w:rsid w:val="00733089"/>
    <w:rsid w:val="0073790C"/>
    <w:rsid w:val="0074608C"/>
    <w:rsid w:val="0075390B"/>
    <w:rsid w:val="007568E8"/>
    <w:rsid w:val="00773DAA"/>
    <w:rsid w:val="007742FC"/>
    <w:rsid w:val="00783D94"/>
    <w:rsid w:val="00791964"/>
    <w:rsid w:val="007A39D8"/>
    <w:rsid w:val="007B6D99"/>
    <w:rsid w:val="007D10F7"/>
    <w:rsid w:val="007F4C07"/>
    <w:rsid w:val="007F732C"/>
    <w:rsid w:val="0080406F"/>
    <w:rsid w:val="008053E0"/>
    <w:rsid w:val="00812925"/>
    <w:rsid w:val="00821DD4"/>
    <w:rsid w:val="00822CC0"/>
    <w:rsid w:val="00823403"/>
    <w:rsid w:val="00825531"/>
    <w:rsid w:val="008413A8"/>
    <w:rsid w:val="008623AE"/>
    <w:rsid w:val="008801BC"/>
    <w:rsid w:val="0088031F"/>
    <w:rsid w:val="008849F7"/>
    <w:rsid w:val="00891B53"/>
    <w:rsid w:val="00894C34"/>
    <w:rsid w:val="008B6A32"/>
    <w:rsid w:val="008C17DA"/>
    <w:rsid w:val="008E7182"/>
    <w:rsid w:val="008F5E38"/>
    <w:rsid w:val="008F7A7F"/>
    <w:rsid w:val="00901CF8"/>
    <w:rsid w:val="0090777C"/>
    <w:rsid w:val="00917217"/>
    <w:rsid w:val="00924F64"/>
    <w:rsid w:val="0093506A"/>
    <w:rsid w:val="009546F6"/>
    <w:rsid w:val="00962E71"/>
    <w:rsid w:val="00964ADC"/>
    <w:rsid w:val="0097251B"/>
    <w:rsid w:val="00975EF5"/>
    <w:rsid w:val="00977FED"/>
    <w:rsid w:val="009A23D6"/>
    <w:rsid w:val="009A6FFC"/>
    <w:rsid w:val="009B48A8"/>
    <w:rsid w:val="009B6E9B"/>
    <w:rsid w:val="009C269B"/>
    <w:rsid w:val="009C4BA5"/>
    <w:rsid w:val="009F168E"/>
    <w:rsid w:val="00A0669D"/>
    <w:rsid w:val="00A111FB"/>
    <w:rsid w:val="00A32391"/>
    <w:rsid w:val="00A36FEC"/>
    <w:rsid w:val="00A43102"/>
    <w:rsid w:val="00A70CA8"/>
    <w:rsid w:val="00A75C4C"/>
    <w:rsid w:val="00A86E3A"/>
    <w:rsid w:val="00AA1884"/>
    <w:rsid w:val="00AA65DD"/>
    <w:rsid w:val="00AA771C"/>
    <w:rsid w:val="00AB6476"/>
    <w:rsid w:val="00AB7578"/>
    <w:rsid w:val="00AC42EF"/>
    <w:rsid w:val="00AC6004"/>
    <w:rsid w:val="00AD233F"/>
    <w:rsid w:val="00AD4BBF"/>
    <w:rsid w:val="00AD7358"/>
    <w:rsid w:val="00AE253A"/>
    <w:rsid w:val="00AF2506"/>
    <w:rsid w:val="00B01682"/>
    <w:rsid w:val="00B06F20"/>
    <w:rsid w:val="00B10150"/>
    <w:rsid w:val="00B147B6"/>
    <w:rsid w:val="00B15CE7"/>
    <w:rsid w:val="00B235FD"/>
    <w:rsid w:val="00B23B84"/>
    <w:rsid w:val="00B24AE3"/>
    <w:rsid w:val="00B32A8A"/>
    <w:rsid w:val="00B4037B"/>
    <w:rsid w:val="00B54BBB"/>
    <w:rsid w:val="00B624A4"/>
    <w:rsid w:val="00B663B8"/>
    <w:rsid w:val="00B6716C"/>
    <w:rsid w:val="00B674E4"/>
    <w:rsid w:val="00B718C5"/>
    <w:rsid w:val="00B82D96"/>
    <w:rsid w:val="00B84A53"/>
    <w:rsid w:val="00B8517D"/>
    <w:rsid w:val="00B94656"/>
    <w:rsid w:val="00BA0AD0"/>
    <w:rsid w:val="00BA7C79"/>
    <w:rsid w:val="00BB3DE4"/>
    <w:rsid w:val="00BB5CD8"/>
    <w:rsid w:val="00BB65B3"/>
    <w:rsid w:val="00BB6AD1"/>
    <w:rsid w:val="00BC2F50"/>
    <w:rsid w:val="00BC7E4F"/>
    <w:rsid w:val="00BD741D"/>
    <w:rsid w:val="00BD7E03"/>
    <w:rsid w:val="00BF0BFB"/>
    <w:rsid w:val="00BF1477"/>
    <w:rsid w:val="00C0213D"/>
    <w:rsid w:val="00C044E5"/>
    <w:rsid w:val="00C073A0"/>
    <w:rsid w:val="00C1755D"/>
    <w:rsid w:val="00C3421B"/>
    <w:rsid w:val="00C41B1C"/>
    <w:rsid w:val="00C73CAE"/>
    <w:rsid w:val="00C8160B"/>
    <w:rsid w:val="00C86A8F"/>
    <w:rsid w:val="00C975DF"/>
    <w:rsid w:val="00CB5512"/>
    <w:rsid w:val="00CC3B15"/>
    <w:rsid w:val="00CC44D1"/>
    <w:rsid w:val="00CC6D71"/>
    <w:rsid w:val="00CC7BD6"/>
    <w:rsid w:val="00CF7FE3"/>
    <w:rsid w:val="00D01B31"/>
    <w:rsid w:val="00D05401"/>
    <w:rsid w:val="00D10CA4"/>
    <w:rsid w:val="00D117AE"/>
    <w:rsid w:val="00D20223"/>
    <w:rsid w:val="00D24718"/>
    <w:rsid w:val="00D508AA"/>
    <w:rsid w:val="00D61619"/>
    <w:rsid w:val="00D66493"/>
    <w:rsid w:val="00D7010C"/>
    <w:rsid w:val="00D7623D"/>
    <w:rsid w:val="00D7641E"/>
    <w:rsid w:val="00D82337"/>
    <w:rsid w:val="00D95331"/>
    <w:rsid w:val="00D96068"/>
    <w:rsid w:val="00DF1B80"/>
    <w:rsid w:val="00DF2AA3"/>
    <w:rsid w:val="00E06D71"/>
    <w:rsid w:val="00E3159F"/>
    <w:rsid w:val="00E3393A"/>
    <w:rsid w:val="00E56355"/>
    <w:rsid w:val="00E60CDB"/>
    <w:rsid w:val="00E720E8"/>
    <w:rsid w:val="00E845D7"/>
    <w:rsid w:val="00EB13FB"/>
    <w:rsid w:val="00EB3EA1"/>
    <w:rsid w:val="00EB73DF"/>
    <w:rsid w:val="00EC508F"/>
    <w:rsid w:val="00EC7DD2"/>
    <w:rsid w:val="00ED4053"/>
    <w:rsid w:val="00EF0B1C"/>
    <w:rsid w:val="00EF3047"/>
    <w:rsid w:val="00F07B36"/>
    <w:rsid w:val="00F451CB"/>
    <w:rsid w:val="00F472A5"/>
    <w:rsid w:val="00F509BB"/>
    <w:rsid w:val="00F567D6"/>
    <w:rsid w:val="00F7403A"/>
    <w:rsid w:val="00F8230A"/>
    <w:rsid w:val="00F946ED"/>
    <w:rsid w:val="00F96F2F"/>
    <w:rsid w:val="00FA113D"/>
    <w:rsid w:val="00FA6FE8"/>
    <w:rsid w:val="00FB4C0B"/>
    <w:rsid w:val="00FC3452"/>
    <w:rsid w:val="00FE1EDF"/>
    <w:rsid w:val="00FE59BB"/>
    <w:rsid w:val="00FF5058"/>
    <w:rsid w:val="18BE7153"/>
    <w:rsid w:val="4B5C31C8"/>
    <w:rsid w:val="5AA65C35"/>
    <w:rsid w:val="CABD51FE"/>
    <w:rsid w:val="DFFF74B4"/>
    <w:rsid w:val="EFFD24CD"/>
    <w:rsid w:val="EFFFF756"/>
    <w:rsid w:val="F6E52356"/>
    <w:rsid w:val="FD67372B"/>
    <w:rsid w:val="FFEF133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79" w:lineRule="atLeast"/>
      <w:ind w:firstLine="200"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0"/>
    <w:qFormat/>
    <w:uiPriority w:val="0"/>
    <w:pPr>
      <w:spacing w:line="700" w:lineRule="exact"/>
      <w:ind w:firstLine="0" w:firstLineChars="0"/>
      <w:jc w:val="center"/>
      <w:outlineLvl w:val="0"/>
    </w:pPr>
    <w:rPr>
      <w:rFonts w:eastAsia="方正小标宋简体"/>
      <w:bCs/>
      <w:kern w:val="44"/>
      <w:sz w:val="44"/>
      <w:szCs w:val="44"/>
    </w:rPr>
  </w:style>
  <w:style w:type="paragraph" w:styleId="3">
    <w:name w:val="heading 2"/>
    <w:basedOn w:val="1"/>
    <w:next w:val="1"/>
    <w:link w:val="21"/>
    <w:qFormat/>
    <w:uiPriority w:val="0"/>
    <w:pPr>
      <w:outlineLvl w:val="1"/>
    </w:pPr>
    <w:rPr>
      <w:rFonts w:eastAsia="黑体"/>
      <w:bCs/>
      <w:szCs w:val="32"/>
    </w:rPr>
  </w:style>
  <w:style w:type="paragraph" w:styleId="4">
    <w:name w:val="heading 3"/>
    <w:basedOn w:val="1"/>
    <w:next w:val="1"/>
    <w:link w:val="22"/>
    <w:qFormat/>
    <w:uiPriority w:val="0"/>
    <w:pPr>
      <w:outlineLvl w:val="2"/>
    </w:pPr>
    <w:rPr>
      <w:rFonts w:eastAsia="楷体_GB2312"/>
      <w:b/>
      <w:bCs/>
      <w:szCs w:val="32"/>
    </w:rPr>
  </w:style>
  <w:style w:type="paragraph" w:styleId="5">
    <w:name w:val="heading 4"/>
    <w:basedOn w:val="1"/>
    <w:next w:val="1"/>
    <w:link w:val="23"/>
    <w:qFormat/>
    <w:uiPriority w:val="0"/>
    <w:pPr>
      <w:spacing w:before="50" w:beforeLines="50" w:after="50" w:afterLines="50" w:line="500" w:lineRule="exact"/>
      <w:ind w:firstLine="0" w:firstLineChars="0"/>
      <w:jc w:val="center"/>
      <w:outlineLvl w:val="3"/>
    </w:pPr>
    <w:rPr>
      <w:rFonts w:eastAsia="方正小标宋简体"/>
      <w:bCs/>
      <w:sz w:val="36"/>
      <w:szCs w:val="28"/>
    </w:rPr>
  </w:style>
  <w:style w:type="paragraph" w:styleId="6">
    <w:name w:val="heading 7"/>
    <w:basedOn w:val="1"/>
    <w:next w:val="1"/>
    <w:qFormat/>
    <w:uiPriority w:val="0"/>
    <w:pPr>
      <w:keepNext/>
      <w:keepLines/>
      <w:spacing w:before="240" w:after="64" w:line="320" w:lineRule="atLeast"/>
      <w:outlineLvl w:val="6"/>
    </w:pPr>
    <w:rPr>
      <w:b/>
      <w:bCs/>
      <w:sz w:val="24"/>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7">
    <w:name w:val="Body Text 3"/>
    <w:basedOn w:val="1"/>
    <w:uiPriority w:val="0"/>
    <w:pPr>
      <w:spacing w:after="120"/>
    </w:pPr>
    <w:rPr>
      <w:sz w:val="16"/>
      <w:szCs w:val="16"/>
    </w:rPr>
  </w:style>
  <w:style w:type="paragraph" w:styleId="8">
    <w:name w:val="Plain Text"/>
    <w:basedOn w:val="1"/>
    <w:link w:val="24"/>
    <w:uiPriority w:val="0"/>
    <w:pPr>
      <w:adjustRightInd/>
      <w:snapToGrid/>
      <w:spacing w:line="240" w:lineRule="auto"/>
      <w:ind w:firstLine="0" w:firstLineChars="0"/>
    </w:pPr>
    <w:rPr>
      <w:rFonts w:ascii="宋体" w:hAnsi="Courier New" w:eastAsia="宋体" w:cs="Courier New"/>
      <w:sz w:val="21"/>
      <w:szCs w:val="21"/>
    </w:rPr>
  </w:style>
  <w:style w:type="paragraph" w:styleId="9">
    <w:name w:val="Date"/>
    <w:basedOn w:val="1"/>
    <w:next w:val="1"/>
    <w:qFormat/>
    <w:uiPriority w:val="0"/>
    <w:pPr>
      <w:ind w:left="100" w:leftChars="2500"/>
    </w:pPr>
  </w:style>
  <w:style w:type="paragraph" w:styleId="10">
    <w:name w:val="Body Text Indent 2"/>
    <w:basedOn w:val="1"/>
    <w:qFormat/>
    <w:uiPriority w:val="0"/>
    <w:pPr>
      <w:adjustRightInd/>
      <w:snapToGrid/>
      <w:spacing w:line="240" w:lineRule="auto"/>
      <w:ind w:firstLine="420"/>
    </w:pPr>
    <w:rPr>
      <w:rFonts w:ascii="仿宋_GB2312"/>
      <w:color w:val="FF6600"/>
      <w:sz w:val="21"/>
    </w:rPr>
  </w:style>
  <w:style w:type="paragraph" w:styleId="11">
    <w:name w:val="Balloon Text"/>
    <w:basedOn w:val="1"/>
    <w:link w:val="25"/>
    <w:semiHidden/>
    <w:uiPriority w:val="0"/>
    <w:pPr>
      <w:adjustRightInd/>
      <w:snapToGrid/>
      <w:spacing w:line="240" w:lineRule="auto"/>
      <w:ind w:firstLine="0" w:firstLineChars="0"/>
    </w:pPr>
    <w:rPr>
      <w:rFonts w:eastAsia="宋体"/>
      <w:sz w:val="18"/>
      <w:szCs w:val="18"/>
    </w:rPr>
  </w:style>
  <w:style w:type="paragraph" w:styleId="12">
    <w:name w:val="footer"/>
    <w:basedOn w:val="1"/>
    <w:link w:val="26"/>
    <w:qFormat/>
    <w:uiPriority w:val="0"/>
    <w:pPr>
      <w:tabs>
        <w:tab w:val="center" w:pos="4153"/>
        <w:tab w:val="right" w:pos="8306"/>
      </w:tabs>
      <w:snapToGrid w:val="0"/>
      <w:spacing w:line="240" w:lineRule="atLeast"/>
      <w:jc w:val="left"/>
    </w:pPr>
    <w:rPr>
      <w:sz w:val="18"/>
      <w:szCs w:val="18"/>
    </w:rPr>
  </w:style>
  <w:style w:type="paragraph" w:styleId="13">
    <w:name w:val="header"/>
    <w:basedOn w:val="1"/>
    <w:link w:val="27"/>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4">
    <w:name w:val="HTML Preformatted"/>
    <w:basedOn w:val="1"/>
    <w:link w:val="28"/>
    <w:semiHidden/>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line="240" w:lineRule="auto"/>
      <w:ind w:firstLine="0" w:firstLineChars="0"/>
      <w:jc w:val="left"/>
    </w:pPr>
    <w:rPr>
      <w:rFonts w:ascii="宋体" w:hAnsi="宋体" w:eastAsia="宋体" w:cs="宋体"/>
      <w:kern w:val="0"/>
      <w:sz w:val="24"/>
    </w:rPr>
  </w:style>
  <w:style w:type="table" w:styleId="16">
    <w:name w:val="Table Grid"/>
    <w:basedOn w:val="15"/>
    <w:qFormat/>
    <w:uiPriority w:val="0"/>
    <w:pPr>
      <w:widowControl w:val="0"/>
      <w:adjustRightInd w:val="0"/>
      <w:snapToGrid w:val="0"/>
      <w:spacing w:line="590" w:lineRule="atLeast"/>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page number"/>
    <w:basedOn w:val="17"/>
    <w:qFormat/>
    <w:uiPriority w:val="0"/>
  </w:style>
  <w:style w:type="character" w:customStyle="1" w:styleId="20">
    <w:name w:val="标题 1 Char"/>
    <w:basedOn w:val="17"/>
    <w:link w:val="2"/>
    <w:qFormat/>
    <w:locked/>
    <w:uiPriority w:val="0"/>
    <w:rPr>
      <w:rFonts w:eastAsia="方正小标宋简体"/>
      <w:bCs/>
      <w:kern w:val="44"/>
      <w:sz w:val="44"/>
      <w:szCs w:val="44"/>
    </w:rPr>
  </w:style>
  <w:style w:type="character" w:customStyle="1" w:styleId="21">
    <w:name w:val="标题 2 Char"/>
    <w:basedOn w:val="17"/>
    <w:link w:val="3"/>
    <w:qFormat/>
    <w:uiPriority w:val="0"/>
    <w:rPr>
      <w:rFonts w:eastAsia="黑体"/>
      <w:bCs/>
      <w:kern w:val="2"/>
      <w:sz w:val="32"/>
      <w:szCs w:val="32"/>
    </w:rPr>
  </w:style>
  <w:style w:type="character" w:customStyle="1" w:styleId="22">
    <w:name w:val="标题 3 Char"/>
    <w:basedOn w:val="17"/>
    <w:link w:val="4"/>
    <w:uiPriority w:val="0"/>
    <w:rPr>
      <w:rFonts w:eastAsia="楷体_GB2312"/>
      <w:b/>
      <w:bCs/>
      <w:kern w:val="2"/>
      <w:sz w:val="32"/>
      <w:szCs w:val="32"/>
    </w:rPr>
  </w:style>
  <w:style w:type="character" w:customStyle="1" w:styleId="23">
    <w:name w:val="标题 4 Char1"/>
    <w:basedOn w:val="17"/>
    <w:link w:val="5"/>
    <w:locked/>
    <w:uiPriority w:val="0"/>
    <w:rPr>
      <w:rFonts w:eastAsia="方正小标宋简体"/>
      <w:bCs/>
      <w:kern w:val="2"/>
      <w:sz w:val="36"/>
      <w:szCs w:val="28"/>
    </w:rPr>
  </w:style>
  <w:style w:type="character" w:customStyle="1" w:styleId="24">
    <w:name w:val="纯文本 Char"/>
    <w:basedOn w:val="17"/>
    <w:link w:val="8"/>
    <w:qFormat/>
    <w:locked/>
    <w:uiPriority w:val="0"/>
    <w:rPr>
      <w:rFonts w:ascii="宋体" w:hAnsi="Courier New" w:eastAsia="宋体" w:cs="Courier New"/>
      <w:kern w:val="2"/>
      <w:sz w:val="21"/>
      <w:szCs w:val="21"/>
      <w:lang w:val="en-US" w:eastAsia="zh-CN" w:bidi="ar-SA"/>
    </w:rPr>
  </w:style>
  <w:style w:type="character" w:customStyle="1" w:styleId="25">
    <w:name w:val="批注框文本 Char"/>
    <w:basedOn w:val="17"/>
    <w:link w:val="11"/>
    <w:semiHidden/>
    <w:uiPriority w:val="0"/>
    <w:rPr>
      <w:rFonts w:eastAsia="宋体"/>
      <w:kern w:val="2"/>
      <w:sz w:val="18"/>
      <w:szCs w:val="18"/>
      <w:lang w:val="en-US" w:eastAsia="zh-CN" w:bidi="ar-SA"/>
    </w:rPr>
  </w:style>
  <w:style w:type="character" w:customStyle="1" w:styleId="26">
    <w:name w:val="页脚 Char"/>
    <w:basedOn w:val="17"/>
    <w:link w:val="12"/>
    <w:semiHidden/>
    <w:qFormat/>
    <w:uiPriority w:val="0"/>
    <w:rPr>
      <w:rFonts w:eastAsia="仿宋_GB2312"/>
      <w:kern w:val="2"/>
      <w:sz w:val="18"/>
      <w:szCs w:val="18"/>
      <w:lang w:val="en-US" w:eastAsia="zh-CN" w:bidi="ar-SA"/>
    </w:rPr>
  </w:style>
  <w:style w:type="character" w:customStyle="1" w:styleId="27">
    <w:name w:val="页眉 Char"/>
    <w:basedOn w:val="17"/>
    <w:link w:val="13"/>
    <w:semiHidden/>
    <w:qFormat/>
    <w:uiPriority w:val="0"/>
    <w:rPr>
      <w:rFonts w:eastAsia="仿宋_GB2312"/>
      <w:kern w:val="2"/>
      <w:sz w:val="18"/>
      <w:szCs w:val="18"/>
      <w:lang w:val="en-US" w:eastAsia="zh-CN" w:bidi="ar-SA"/>
    </w:rPr>
  </w:style>
  <w:style w:type="character" w:customStyle="1" w:styleId="28">
    <w:name w:val="HTML 预设格式 Char"/>
    <w:basedOn w:val="17"/>
    <w:link w:val="14"/>
    <w:semiHidden/>
    <w:locked/>
    <w:uiPriority w:val="0"/>
    <w:rPr>
      <w:rFonts w:ascii="宋体" w:hAnsi="宋体" w:eastAsia="宋体" w:cs="宋体"/>
      <w:sz w:val="24"/>
      <w:szCs w:val="24"/>
      <w:lang w:val="en-US" w:eastAsia="zh-CN" w:bidi="ar-SA"/>
    </w:rPr>
  </w:style>
  <w:style w:type="paragraph" w:customStyle="1" w:styleId="29">
    <w:name w:val="表头"/>
    <w:basedOn w:val="1"/>
    <w:qFormat/>
    <w:uiPriority w:val="0"/>
    <w:pPr>
      <w:spacing w:before="80" w:after="80" w:line="280" w:lineRule="atLeast"/>
      <w:ind w:firstLine="0" w:firstLineChars="0"/>
      <w:jc w:val="center"/>
    </w:pPr>
    <w:rPr>
      <w:rFonts w:eastAsia="黑体" w:cs="宋体"/>
      <w:sz w:val="24"/>
    </w:rPr>
  </w:style>
  <w:style w:type="paragraph" w:customStyle="1" w:styleId="30">
    <w:name w:val="表内文字"/>
    <w:basedOn w:val="1"/>
    <w:qFormat/>
    <w:uiPriority w:val="0"/>
    <w:pPr>
      <w:spacing w:before="60" w:after="60" w:line="280" w:lineRule="atLeast"/>
      <w:ind w:firstLine="0" w:firstLineChars="0"/>
    </w:pPr>
    <w:rPr>
      <w:sz w:val="24"/>
    </w:rPr>
  </w:style>
  <w:style w:type="paragraph" w:customStyle="1" w:styleId="31">
    <w:name w:val="p0"/>
    <w:basedOn w:val="1"/>
    <w:qFormat/>
    <w:uiPriority w:val="0"/>
    <w:pPr>
      <w:widowControl/>
      <w:adjustRightInd/>
      <w:snapToGrid/>
      <w:spacing w:line="240" w:lineRule="auto"/>
      <w:ind w:firstLine="0" w:firstLineChars="0"/>
    </w:pPr>
    <w:rPr>
      <w:rFonts w:eastAsia="宋体"/>
      <w:kern w:val="0"/>
      <w:sz w:val="21"/>
      <w:szCs w:val="21"/>
    </w:rPr>
  </w:style>
  <w:style w:type="paragraph" w:customStyle="1" w:styleId="32">
    <w:name w:val="custom_unionstyle"/>
    <w:basedOn w:val="1"/>
    <w:qFormat/>
    <w:uiPriority w:val="0"/>
    <w:pPr>
      <w:widowControl/>
      <w:adjustRightInd/>
      <w:snapToGrid/>
      <w:spacing w:before="100" w:beforeAutospacing="1" w:after="100" w:afterAutospacing="1" w:line="240" w:lineRule="auto"/>
      <w:ind w:firstLine="0" w:firstLineChars="0"/>
      <w:jc w:val="left"/>
    </w:pPr>
    <w:rPr>
      <w:rFonts w:ascii="宋体" w:hAnsi="宋体" w:eastAsia="宋体" w:cs="宋体"/>
      <w:kern w:val="0"/>
      <w:sz w:val="24"/>
    </w:rPr>
  </w:style>
  <w:style w:type="character" w:customStyle="1" w:styleId="33">
    <w:name w:val="15"/>
    <w:basedOn w:val="17"/>
    <w:qFormat/>
    <w:uiPriority w:val="0"/>
    <w:rPr>
      <w:rFonts w:hint="default" w:ascii="Times New Roman" w:hAnsi="Times New Roman" w:cs="Times New Roman"/>
      <w:color w:val="0000FF"/>
      <w:u w:val="single"/>
    </w:rPr>
  </w:style>
  <w:style w:type="character" w:customStyle="1" w:styleId="34">
    <w:name w:val="标题 4 Char"/>
    <w:basedOn w:val="17"/>
    <w:qFormat/>
    <w:uiPriority w:val="0"/>
    <w:rPr>
      <w:rFonts w:eastAsia="仿宋_GB2312"/>
      <w:bCs/>
      <w:kern w:val="2"/>
      <w:sz w:val="32"/>
      <w:szCs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56</Pages>
  <Words>30535</Words>
  <Characters>31543</Characters>
  <Lines>231</Lines>
  <Paragraphs>65</Paragraphs>
  <TotalTime>7</TotalTime>
  <ScaleCrop>false</ScaleCrop>
  <LinksUpToDate>false</LinksUpToDate>
  <CharactersWithSpaces>31655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2022-03-24T18:25:00Z</dcterms:created>
  <dc:creator>walkinnet</dc:creator>
  <cp:lastModifiedBy>Rocy</cp:lastModifiedBy>
  <cp:lastPrinted>2022-07-06T10:07:00Z</cp:lastPrinted>
  <dcterms:modified xsi:type="dcterms:W3CDTF">2025-10-16T08:49:44Z</dcterms:modified>
  <dc:title>湘农业函〔2014〕  号</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203EDB27BA824101B248B5A947AD13CB_13</vt:lpwstr>
  </property>
  <property fmtid="{D5CDD505-2E9C-101B-9397-08002B2CF9AE}" pid="4" name="KSOTemplateDocerSaveRecord">
    <vt:lpwstr>eyJoZGlkIjoiYjY3ZGExZjYwMTI4YmMyMDhjZTQxZmYxZDI0ZTcyMmYiLCJ1c2VySWQiOiIzNzEwMTY1OTEifQ==</vt:lpwstr>
  </property>
</Properties>
</file>