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43D" w:rsidRDefault="008F243D" w:rsidP="00AB3256">
      <w:pPr>
        <w:spacing w:line="760" w:lineRule="exact"/>
        <w:jc w:val="center"/>
        <w:rPr>
          <w:rFonts w:ascii="Times New Roman" w:eastAsia="方正小标宋简体" w:hAnsi="Times New Roman"/>
          <w:color w:val="auto"/>
          <w:sz w:val="44"/>
          <w:szCs w:val="44"/>
        </w:rPr>
      </w:pPr>
    </w:p>
    <w:p w:rsidR="00DC2F14" w:rsidRPr="00DC2F14" w:rsidRDefault="00DC2F14" w:rsidP="00DC2F14">
      <w:pPr>
        <w:spacing w:line="760" w:lineRule="exact"/>
        <w:jc w:val="center"/>
        <w:rPr>
          <w:rFonts w:ascii="Times New Roman" w:eastAsia="方正小标宋简体" w:hAnsi="Times New Roman"/>
          <w:color w:val="auto"/>
          <w:sz w:val="44"/>
          <w:szCs w:val="44"/>
        </w:rPr>
      </w:pPr>
      <w:r w:rsidRPr="00DC2F14">
        <w:rPr>
          <w:rFonts w:ascii="Times New Roman" w:eastAsia="方正小标宋简体" w:hAnsi="Times New Roman" w:hint="eastAsia"/>
          <w:color w:val="auto"/>
          <w:sz w:val="44"/>
          <w:szCs w:val="44"/>
        </w:rPr>
        <w:t>湖南省人民政府</w:t>
      </w:r>
    </w:p>
    <w:p w:rsidR="00DC2F14" w:rsidRPr="00DC2F14" w:rsidRDefault="00DC2F14" w:rsidP="00DC2F14">
      <w:pPr>
        <w:spacing w:line="760" w:lineRule="exact"/>
        <w:jc w:val="center"/>
        <w:rPr>
          <w:rFonts w:ascii="Times New Roman" w:eastAsia="方正小标宋简体" w:hAnsi="Times New Roman"/>
          <w:color w:val="auto"/>
          <w:sz w:val="44"/>
          <w:szCs w:val="44"/>
        </w:rPr>
      </w:pPr>
      <w:r w:rsidRPr="00DC2F14">
        <w:rPr>
          <w:rFonts w:ascii="Times New Roman" w:eastAsia="方正小标宋简体" w:hAnsi="Times New Roman" w:hint="eastAsia"/>
          <w:color w:val="auto"/>
          <w:sz w:val="44"/>
          <w:szCs w:val="44"/>
        </w:rPr>
        <w:t>关于印发《湖南省加快农业农村现代化</w:t>
      </w:r>
    </w:p>
    <w:p w:rsidR="00450928" w:rsidRPr="00AB3256" w:rsidRDefault="00DC2F14" w:rsidP="00DC2F14">
      <w:pPr>
        <w:spacing w:line="760" w:lineRule="exact"/>
        <w:jc w:val="center"/>
        <w:rPr>
          <w:rFonts w:ascii="Times New Roman" w:eastAsia="方正小标宋简体" w:hAnsi="Times New Roman"/>
          <w:color w:val="auto"/>
          <w:sz w:val="44"/>
          <w:szCs w:val="44"/>
        </w:rPr>
      </w:pPr>
      <w:r w:rsidRPr="00DC2F14">
        <w:rPr>
          <w:rFonts w:ascii="Times New Roman" w:eastAsia="方正小标宋简体" w:hAnsi="Times New Roman" w:hint="eastAsia"/>
          <w:color w:val="auto"/>
          <w:sz w:val="44"/>
          <w:szCs w:val="44"/>
        </w:rPr>
        <w:t>“十五五”规划》的通</w:t>
      </w:r>
      <w:r w:rsidR="00E670F4" w:rsidRPr="00E670F4">
        <w:rPr>
          <w:rFonts w:ascii="Times New Roman" w:eastAsia="方正小标宋简体" w:hAnsi="Times New Roman" w:hint="eastAsia"/>
          <w:color w:val="auto"/>
          <w:sz w:val="44"/>
          <w:szCs w:val="44"/>
        </w:rPr>
        <w:t>知</w:t>
      </w:r>
    </w:p>
    <w:p w:rsidR="00846587" w:rsidRPr="00AB3256" w:rsidRDefault="00C41488" w:rsidP="00AB3256">
      <w:pPr>
        <w:spacing w:line="760" w:lineRule="exact"/>
        <w:jc w:val="center"/>
        <w:rPr>
          <w:rFonts w:ascii="Times New Roman" w:hAnsi="Times New Roman"/>
          <w:szCs w:val="44"/>
        </w:rPr>
      </w:pPr>
      <w:r w:rsidRPr="00AB3256">
        <w:rPr>
          <w:rFonts w:ascii="Times New Roman" w:hAnsi="Times New Roman"/>
          <w:szCs w:val="44"/>
        </w:rPr>
        <w:t>湘政发〔</w:t>
      </w:r>
      <w:r w:rsidRPr="00AB3256">
        <w:rPr>
          <w:rFonts w:ascii="Times New Roman" w:hAnsi="Times New Roman"/>
          <w:szCs w:val="44"/>
        </w:rPr>
        <w:t>202</w:t>
      </w:r>
      <w:r w:rsidRPr="00AB3256">
        <w:rPr>
          <w:rFonts w:ascii="Times New Roman" w:hAnsi="Times New Roman" w:hint="eastAsia"/>
          <w:szCs w:val="44"/>
        </w:rPr>
        <w:t>6</w:t>
      </w:r>
      <w:r w:rsidRPr="00AB3256">
        <w:rPr>
          <w:rFonts w:ascii="Times New Roman" w:hAnsi="Times New Roman"/>
          <w:szCs w:val="44"/>
        </w:rPr>
        <w:t>〕</w:t>
      </w:r>
      <w:r w:rsidR="00450928" w:rsidRPr="00AB3256">
        <w:rPr>
          <w:rFonts w:ascii="Times New Roman" w:hAnsi="Times New Roman" w:hint="eastAsia"/>
          <w:szCs w:val="44"/>
        </w:rPr>
        <w:t>1</w:t>
      </w:r>
      <w:r w:rsidR="00DC2F14">
        <w:rPr>
          <w:rFonts w:ascii="Times New Roman" w:hAnsi="Times New Roman" w:hint="eastAsia"/>
          <w:szCs w:val="44"/>
        </w:rPr>
        <w:t>3</w:t>
      </w:r>
      <w:r w:rsidRPr="00AB3256">
        <w:rPr>
          <w:rFonts w:ascii="Times New Roman" w:hAnsi="Times New Roman"/>
          <w:szCs w:val="44"/>
        </w:rPr>
        <w:t>号</w:t>
      </w:r>
    </w:p>
    <w:p w:rsidR="00D949B9" w:rsidRPr="00AB3256" w:rsidRDefault="00D949B9" w:rsidP="00AB3256">
      <w:pPr>
        <w:spacing w:line="600" w:lineRule="exact"/>
      </w:pPr>
    </w:p>
    <w:p w:rsidR="00DC2F14" w:rsidRDefault="00DC2F14" w:rsidP="00DC2F14">
      <w:pPr>
        <w:widowControl w:val="0"/>
        <w:snapToGrid w:val="0"/>
        <w:spacing w:line="600" w:lineRule="exact"/>
        <w:contextualSpacing/>
        <w:rPr>
          <w:rFonts w:ascii="仿宋_GB2312" w:eastAsia="仿宋_GB2312" w:hAnsi="仿宋_GB2312" w:cs="仿宋_GB2312"/>
          <w:bCs/>
          <w:color w:val="auto"/>
        </w:rPr>
      </w:pPr>
      <w:r>
        <w:rPr>
          <w:rFonts w:ascii="Times New Roman" w:eastAsia="仿宋_GB2312" w:hAnsi="Times New Roman"/>
          <w:bCs/>
          <w:color w:val="auto"/>
        </w:rPr>
        <w:t>各市州、</w:t>
      </w:r>
      <w:r>
        <w:rPr>
          <w:rFonts w:ascii="仿宋_GB2312" w:eastAsia="仿宋_GB2312" w:hAnsi="仿宋_GB2312" w:cs="仿宋_GB2312" w:hint="eastAsia"/>
          <w:bCs/>
          <w:color w:val="auto"/>
        </w:rPr>
        <w:t>县市区人民政府，省政府各厅委、各直属机构：</w:t>
      </w:r>
    </w:p>
    <w:p w:rsidR="00DC2F14" w:rsidRDefault="00DC2F14" w:rsidP="00DC2F14">
      <w:pPr>
        <w:widowControl w:val="0"/>
        <w:snapToGrid w:val="0"/>
        <w:spacing w:line="600" w:lineRule="exact"/>
        <w:ind w:firstLineChars="200" w:firstLine="640"/>
        <w:jc w:val="both"/>
        <w:rPr>
          <w:rFonts w:ascii="Times New Roman" w:eastAsia="仿宋_GB2312" w:hAnsi="Times New Roman"/>
          <w:bCs/>
          <w:color w:val="auto"/>
        </w:rPr>
      </w:pPr>
      <w:r>
        <w:rPr>
          <w:rFonts w:ascii="仿宋_GB2312" w:eastAsia="仿宋_GB2312" w:hAnsi="仿宋_GB2312" w:cs="仿宋_GB2312" w:hint="eastAsia"/>
          <w:bCs/>
          <w:color w:val="auto"/>
        </w:rPr>
        <w:t>现将《湖南省加快农业农村现代化“十五五”规划》印发给你们，</w:t>
      </w:r>
      <w:r w:rsidR="003142BE" w:rsidRPr="003142BE">
        <w:rPr>
          <w:rFonts w:ascii="仿宋_GB2312" w:eastAsia="仿宋_GB2312" w:hAnsi="仿宋_GB2312" w:cs="仿宋_GB2312" w:hint="eastAsia"/>
          <w:bCs/>
          <w:color w:val="auto"/>
        </w:rPr>
        <w:t>请结合实际认真组织实施</w:t>
      </w:r>
      <w:r>
        <w:rPr>
          <w:rFonts w:ascii="Times New Roman" w:eastAsia="仿宋_GB2312" w:hAnsi="Times New Roman"/>
          <w:bCs/>
          <w:color w:val="auto"/>
        </w:rPr>
        <w:t>。</w:t>
      </w:r>
    </w:p>
    <w:p w:rsidR="00E670F4" w:rsidRPr="00DC2F14" w:rsidRDefault="00E670F4" w:rsidP="00E670F4">
      <w:pPr>
        <w:snapToGrid w:val="0"/>
        <w:spacing w:line="600" w:lineRule="exact"/>
        <w:ind w:firstLineChars="200" w:firstLine="640"/>
        <w:jc w:val="both"/>
        <w:rPr>
          <w:rFonts w:ascii="仿宋_GB2312" w:eastAsia="仿宋_GB2312" w:hAnsi="仿宋_GB2312" w:cs="仿宋_GB2312"/>
          <w:color w:val="auto"/>
        </w:rPr>
      </w:pPr>
    </w:p>
    <w:p w:rsidR="00E670F4" w:rsidRDefault="00E670F4" w:rsidP="00E670F4">
      <w:pPr>
        <w:snapToGrid w:val="0"/>
        <w:spacing w:line="600" w:lineRule="exact"/>
        <w:ind w:firstLineChars="200" w:firstLine="640"/>
        <w:jc w:val="both"/>
        <w:rPr>
          <w:rFonts w:ascii="仿宋_GB2312" w:eastAsia="仿宋_GB2312" w:hAnsi="仿宋_GB2312" w:cs="仿宋_GB2312"/>
          <w:color w:val="auto"/>
        </w:rPr>
      </w:pPr>
    </w:p>
    <w:p w:rsidR="00E670F4" w:rsidRDefault="00E670F4" w:rsidP="00E670F4">
      <w:pPr>
        <w:adjustRightInd w:val="0"/>
        <w:snapToGrid w:val="0"/>
        <w:spacing w:line="600" w:lineRule="exact"/>
        <w:ind w:rightChars="653" w:right="2090"/>
        <w:jc w:val="right"/>
        <w:rPr>
          <w:rFonts w:ascii="仿宋_GB2312" w:eastAsia="仿宋_GB2312" w:hAnsi="仿宋_GB2312" w:cs="仿宋_GB2312"/>
          <w:color w:val="auto"/>
        </w:rPr>
      </w:pPr>
      <w:r>
        <w:rPr>
          <w:rFonts w:ascii="仿宋_GB2312" w:eastAsia="仿宋_GB2312" w:hAnsi="仿宋_GB2312" w:cs="仿宋_GB2312" w:hint="eastAsia"/>
          <w:color w:val="auto"/>
        </w:rPr>
        <w:t>湖南省人民政府</w:t>
      </w:r>
    </w:p>
    <w:p w:rsidR="00E670F4" w:rsidRDefault="00E670F4" w:rsidP="00E670F4">
      <w:pPr>
        <w:adjustRightInd w:val="0"/>
        <w:snapToGrid w:val="0"/>
        <w:spacing w:line="600" w:lineRule="exact"/>
        <w:ind w:rightChars="615" w:right="1968"/>
        <w:jc w:val="right"/>
        <w:rPr>
          <w:rFonts w:ascii="仿宋_GB2312" w:eastAsia="仿宋_GB2312" w:hAnsi="仿宋_GB2312" w:cs="仿宋_GB2312"/>
          <w:color w:val="auto"/>
        </w:rPr>
      </w:pPr>
      <w:r>
        <w:rPr>
          <w:rFonts w:ascii="Times New Roman" w:eastAsia="仿宋_GB2312" w:hAnsi="Times New Roman" w:cs="仿宋_GB2312" w:hint="eastAsia"/>
          <w:color w:val="auto"/>
        </w:rPr>
        <w:t>2026</w:t>
      </w:r>
      <w:r>
        <w:rPr>
          <w:rFonts w:ascii="仿宋_GB2312" w:eastAsia="仿宋_GB2312" w:hAnsi="仿宋_GB2312" w:cs="仿宋_GB2312" w:hint="eastAsia"/>
          <w:color w:val="auto"/>
        </w:rPr>
        <w:t>年</w:t>
      </w:r>
      <w:r w:rsidR="00DC2F14">
        <w:rPr>
          <w:rFonts w:ascii="Times New Roman" w:eastAsia="仿宋_GB2312" w:hAnsi="Times New Roman" w:cs="仿宋_GB2312" w:hint="eastAsia"/>
          <w:color w:val="auto"/>
        </w:rPr>
        <w:t>10</w:t>
      </w:r>
      <w:r>
        <w:rPr>
          <w:rFonts w:ascii="仿宋_GB2312" w:eastAsia="仿宋_GB2312" w:hAnsi="仿宋_GB2312" w:cs="仿宋_GB2312" w:hint="eastAsia"/>
          <w:color w:val="auto"/>
        </w:rPr>
        <w:t>月</w:t>
      </w:r>
      <w:r w:rsidR="00DC2F14" w:rsidRPr="00DC2F14">
        <w:rPr>
          <w:rFonts w:ascii="Times New Roman" w:eastAsia="仿宋_GB2312" w:hAnsi="Times New Roman" w:cs="仿宋_GB2312" w:hint="eastAsia"/>
          <w:color w:val="auto"/>
        </w:rPr>
        <w:t>9</w:t>
      </w:r>
      <w:r>
        <w:rPr>
          <w:rFonts w:ascii="仿宋_GB2312" w:eastAsia="仿宋_GB2312" w:hAnsi="仿宋_GB2312" w:cs="仿宋_GB2312" w:hint="eastAsia"/>
          <w:color w:val="auto"/>
        </w:rPr>
        <w:t>日</w:t>
      </w:r>
    </w:p>
    <w:p w:rsidR="00E670F4" w:rsidRDefault="00E670F4" w:rsidP="00E670F4">
      <w:pPr>
        <w:snapToGrid w:val="0"/>
        <w:spacing w:line="600" w:lineRule="exact"/>
        <w:ind w:firstLineChars="200" w:firstLine="640"/>
        <w:jc w:val="both"/>
        <w:rPr>
          <w:rFonts w:ascii="仿宋_GB2312" w:eastAsia="仿宋_GB2312" w:hAnsi="仿宋_GB2312" w:cs="仿宋_GB2312"/>
          <w:color w:val="auto"/>
        </w:rPr>
      </w:pPr>
      <w:r>
        <w:rPr>
          <w:rFonts w:ascii="仿宋_GB2312" w:eastAsia="仿宋_GB2312" w:hAnsi="仿宋_GB2312" w:cs="仿宋_GB2312" w:hint="eastAsia"/>
          <w:color w:val="auto"/>
        </w:rPr>
        <w:t>（</w:t>
      </w:r>
      <w:r w:rsidR="00DC2F14">
        <w:rPr>
          <w:rFonts w:ascii="Times New Roman" w:eastAsia="仿宋_GB2312" w:hAnsi="Times New Roman"/>
          <w:bCs/>
          <w:color w:val="auto"/>
        </w:rPr>
        <w:t>此件主动公开</w:t>
      </w:r>
      <w:r>
        <w:rPr>
          <w:rFonts w:ascii="仿宋_GB2312" w:eastAsia="仿宋_GB2312" w:hAnsi="仿宋_GB2312" w:cs="仿宋_GB2312" w:hint="eastAsia"/>
          <w:color w:val="auto"/>
        </w:rPr>
        <w:t>）</w:t>
      </w:r>
    </w:p>
    <w:p w:rsidR="00E670F4" w:rsidRDefault="00E670F4" w:rsidP="00E670F4">
      <w:pPr>
        <w:snapToGrid w:val="0"/>
        <w:spacing w:line="600" w:lineRule="exact"/>
        <w:jc w:val="both"/>
        <w:rPr>
          <w:rFonts w:ascii="Times New Roman" w:eastAsia="黑体" w:hAnsi="Times New Roman"/>
          <w:color w:val="auto"/>
          <w:sz w:val="44"/>
          <w:szCs w:val="44"/>
        </w:rPr>
      </w:pPr>
    </w:p>
    <w:p w:rsidR="00E670F4" w:rsidRDefault="00E670F4" w:rsidP="00E670F4">
      <w:pPr>
        <w:overflowPunct w:val="0"/>
        <w:snapToGrid w:val="0"/>
        <w:spacing w:line="600" w:lineRule="exact"/>
        <w:jc w:val="center"/>
        <w:rPr>
          <w:rFonts w:ascii="Times New Roman" w:eastAsia="方正小标宋简体" w:hAnsi="Times New Roman"/>
          <w:snapToGrid w:val="0"/>
          <w:color w:val="auto"/>
          <w:spacing w:val="-6"/>
          <w:sz w:val="44"/>
          <w:szCs w:val="44"/>
        </w:rPr>
      </w:pPr>
      <w:r>
        <w:rPr>
          <w:rFonts w:ascii="Times New Roman" w:eastAsia="方正小标宋简体" w:hAnsi="Times New Roman"/>
          <w:snapToGrid w:val="0"/>
          <w:color w:val="auto"/>
          <w:spacing w:val="-6"/>
          <w:sz w:val="44"/>
          <w:szCs w:val="44"/>
        </w:rPr>
        <w:br w:type="page"/>
      </w:r>
    </w:p>
    <w:p w:rsidR="00DC2F14" w:rsidRDefault="00DC2F14" w:rsidP="00DC2F14">
      <w:pPr>
        <w:adjustRightInd w:val="0"/>
        <w:snapToGrid w:val="0"/>
        <w:spacing w:line="600" w:lineRule="exact"/>
        <w:jc w:val="center"/>
        <w:rPr>
          <w:rFonts w:ascii="方正小标宋简体" w:eastAsia="方正小标宋简体" w:hAnsi="方正小标宋简体" w:cs="方正小标宋简体"/>
          <w:bCs/>
          <w:color w:val="auto"/>
          <w:sz w:val="44"/>
          <w:szCs w:val="44"/>
        </w:rPr>
      </w:pPr>
      <w:r>
        <w:rPr>
          <w:rFonts w:ascii="方正小标宋简体" w:eastAsia="方正小标宋简体" w:hAnsi="方正小标宋简体" w:cs="方正小标宋简体" w:hint="eastAsia"/>
          <w:bCs/>
          <w:color w:val="auto"/>
          <w:sz w:val="44"/>
          <w:szCs w:val="44"/>
        </w:rPr>
        <w:lastRenderedPageBreak/>
        <w:t>湖南省加快农业农村现代化“十五五”规划</w:t>
      </w:r>
    </w:p>
    <w:p w:rsidR="00DC2F14" w:rsidRDefault="00DC2F14" w:rsidP="00DC2F14">
      <w:pPr>
        <w:pStyle w:val="23"/>
        <w:widowControl w:val="0"/>
        <w:snapToGrid w:val="0"/>
        <w:spacing w:line="600" w:lineRule="exact"/>
        <w:ind w:left="640"/>
        <w:rPr>
          <w:rFonts w:ascii="Times New Roman" w:hAnsi="Times New Roman"/>
          <w:bCs/>
          <w:color w:val="auto"/>
        </w:rPr>
      </w:pP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为加</w:t>
      </w:r>
      <w:r>
        <w:rPr>
          <w:rFonts w:ascii="仿宋_GB2312" w:eastAsia="仿宋_GB2312" w:hAnsi="仿宋_GB2312" w:cs="仿宋_GB2312" w:hint="eastAsia"/>
          <w:bCs/>
          <w:color w:val="auto"/>
        </w:rPr>
        <w:t>快全省农业农村现代化进程，根据《</w:t>
      </w:r>
      <w:r w:rsidR="003142BE">
        <w:rPr>
          <w:rFonts w:ascii="仿宋_GB2312" w:eastAsia="仿宋_GB2312" w:hAnsi="仿宋_GB2312" w:cs="仿宋_GB2312" w:hint="eastAsia"/>
          <w:bCs/>
          <w:color w:val="auto"/>
        </w:rPr>
        <w:t>国务院</w:t>
      </w:r>
      <w:r>
        <w:rPr>
          <w:rFonts w:ascii="仿宋_GB2312" w:eastAsia="仿宋_GB2312" w:hAnsi="仿宋_GB2312" w:cs="仿宋_GB2312" w:hint="eastAsia"/>
          <w:bCs/>
          <w:color w:val="auto"/>
        </w:rPr>
        <w:t>关于印发〈加快农业农村现代化“十五五”规划〉</w:t>
      </w:r>
      <w:r>
        <w:rPr>
          <w:rFonts w:ascii="Times New Roman" w:eastAsia="仿宋_GB2312" w:hAnsi="Times New Roman"/>
          <w:bCs/>
          <w:color w:val="auto"/>
        </w:rPr>
        <w:t>的通知》及《</w:t>
      </w:r>
      <w:r w:rsidR="003142BE">
        <w:rPr>
          <w:rFonts w:ascii="Times New Roman" w:eastAsia="仿宋_GB2312" w:hAnsi="Times New Roman"/>
          <w:bCs/>
          <w:color w:val="auto"/>
        </w:rPr>
        <w:t>湖南省人民政府</w:t>
      </w:r>
      <w:r>
        <w:rPr>
          <w:rFonts w:ascii="Times New Roman" w:eastAsia="仿宋_GB2312" w:hAnsi="Times New Roman"/>
          <w:bCs/>
          <w:color w:val="auto"/>
        </w:rPr>
        <w:t>关于印发〈湖南省国民经济和社会发展第十五个五年规划纲要〉的通知》，结合我省实际，制定本规划。</w:t>
      </w:r>
    </w:p>
    <w:p w:rsidR="00DC2F14" w:rsidRDefault="00DC2F14" w:rsidP="00DC2F14">
      <w:pPr>
        <w:pStyle w:val="1"/>
        <w:keepNext w:val="0"/>
        <w:keepLines w:val="0"/>
        <w:widowControl w:val="0"/>
        <w:snapToGrid w:val="0"/>
        <w:spacing w:before="0" w:after="0" w:line="600" w:lineRule="exact"/>
        <w:ind w:firstLineChars="200" w:firstLine="640"/>
        <w:contextualSpacing/>
        <w:rPr>
          <w:rFonts w:ascii="Times New Roman" w:eastAsia="黑体" w:hAnsi="Times New Roman"/>
          <w:b w:val="0"/>
          <w:color w:val="auto"/>
          <w:sz w:val="32"/>
          <w:szCs w:val="32"/>
        </w:rPr>
      </w:pPr>
      <w:r>
        <w:rPr>
          <w:rFonts w:ascii="Times New Roman" w:eastAsia="黑体" w:hAnsi="Times New Roman"/>
          <w:b w:val="0"/>
          <w:color w:val="auto"/>
          <w:sz w:val="32"/>
          <w:szCs w:val="32"/>
        </w:rPr>
        <w:t>一、总体要求</w:t>
      </w:r>
    </w:p>
    <w:p w:rsidR="00DC2F14" w:rsidRDefault="00DC2F14" w:rsidP="00DC2F14">
      <w:pPr>
        <w:widowControl w:val="0"/>
        <w:snapToGrid w:val="0"/>
        <w:spacing w:line="600" w:lineRule="exact"/>
        <w:ind w:firstLineChars="200" w:firstLine="640"/>
        <w:contextualSpacing/>
        <w:rPr>
          <w:rFonts w:ascii="仿宋_GB2312" w:eastAsia="仿宋_GB2312" w:hAnsi="仿宋_GB2312" w:cs="仿宋_GB2312"/>
          <w:bCs/>
          <w:color w:val="auto"/>
        </w:rPr>
      </w:pPr>
      <w:bookmarkStart w:id="0" w:name="_Hlk230687084"/>
      <w:r>
        <w:rPr>
          <w:rFonts w:ascii="Times New Roman" w:eastAsia="仿宋_GB2312" w:hAnsi="Times New Roman"/>
          <w:bCs/>
          <w:color w:val="auto"/>
        </w:rPr>
        <w:t>坚持以习近平新时代</w:t>
      </w:r>
      <w:r>
        <w:rPr>
          <w:rFonts w:ascii="仿宋_GB2312" w:eastAsia="仿宋_GB2312" w:hAnsi="仿宋_GB2312" w:cs="仿宋_GB2312" w:hint="eastAsia"/>
          <w:bCs/>
          <w:color w:val="auto"/>
        </w:rPr>
        <w:t>中国特色社会主义思想为指导，深入贯彻党的二十大和二十届历次全会精神，全面贯彻习近平总书记关于“三农”工作重要论述、湖南工作的重要讲话和指示批示精神，锚定建设农业强省目标，以推进乡村全面振兴为总抓手，学习运用“千万工程”经验，深入实施“五千工程”，统筹发展科技农业、绿色农业、质量农业、品牌农业，守牢粮食安全和不发生规模性返贫致贫底线，推动基本实现农业现代化、农村基本具备现代生活条件取得重大进展，在粮食生产、重要农产品供给、农产品加工、农业科技创新、和美乡村建设、农民增收领域走在前列，在县域经济发展、农业机械化和设施化、农业社会化服务、农业绿色发展领域奋勇争先，为谱写中国式现代化湖南篇章贡献力量。</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到</w:t>
      </w:r>
      <w:r>
        <w:rPr>
          <w:rFonts w:ascii="Times New Roman" w:eastAsia="仿宋_GB2312" w:hAnsi="Times New Roman"/>
          <w:bCs/>
          <w:color w:val="auto"/>
        </w:rPr>
        <w:t>2030</w:t>
      </w:r>
      <w:r>
        <w:rPr>
          <w:rFonts w:ascii="Times New Roman" w:eastAsia="仿宋_GB2312" w:hAnsi="Times New Roman"/>
          <w:bCs/>
          <w:color w:val="auto"/>
        </w:rPr>
        <w:t>年，粮食等重要农产品供给保障能力稳步提升，农业科技创新取得重要突破，农业质量效益和竞争力不断提高。</w:t>
      </w:r>
      <w:r>
        <w:rPr>
          <w:rFonts w:ascii="Times New Roman" w:eastAsia="仿宋_GB2312" w:hAnsi="Times New Roman" w:hint="eastAsia"/>
          <w:bCs/>
          <w:color w:val="auto"/>
        </w:rPr>
        <w:t>脱贫攻坚成果持续巩固拓展，常态化帮扶机制更加完善，农民收入结构不断优化、总量快速增长。宜居宜业和美乡村加快建设，城乡</w:t>
      </w:r>
      <w:r>
        <w:rPr>
          <w:rFonts w:ascii="Times New Roman" w:eastAsia="仿宋_GB2312" w:hAnsi="Times New Roman" w:hint="eastAsia"/>
          <w:bCs/>
          <w:color w:val="auto"/>
        </w:rPr>
        <w:lastRenderedPageBreak/>
        <w:t>融合加快推进，县域经济发展水平明显提升。</w:t>
      </w:r>
      <w:r>
        <w:rPr>
          <w:rFonts w:ascii="Times New Roman" w:eastAsia="仿宋_GB2312" w:hAnsi="Times New Roman"/>
          <w:bCs/>
          <w:color w:val="auto"/>
        </w:rPr>
        <w:t>到</w:t>
      </w:r>
      <w:r>
        <w:rPr>
          <w:rFonts w:ascii="Times New Roman" w:eastAsia="仿宋_GB2312" w:hAnsi="Times New Roman"/>
          <w:bCs/>
          <w:color w:val="auto"/>
        </w:rPr>
        <w:t>2035</w:t>
      </w:r>
      <w:r>
        <w:rPr>
          <w:rFonts w:ascii="Times New Roman" w:eastAsia="仿宋_GB2312" w:hAnsi="Times New Roman"/>
          <w:bCs/>
          <w:color w:val="auto"/>
        </w:rPr>
        <w:t>年，农业现代化基本实现，农村基本具备现代生活条件，农业强省建设取得</w:t>
      </w:r>
      <w:r>
        <w:rPr>
          <w:rFonts w:ascii="Times New Roman" w:eastAsia="仿宋_GB2312" w:hAnsi="Times New Roman" w:hint="eastAsia"/>
          <w:bCs/>
          <w:color w:val="auto"/>
        </w:rPr>
        <w:t>显著</w:t>
      </w:r>
      <w:r>
        <w:rPr>
          <w:rFonts w:ascii="Times New Roman" w:eastAsia="仿宋_GB2312" w:hAnsi="Times New Roman"/>
          <w:bCs/>
          <w:color w:val="auto"/>
        </w:rPr>
        <w:t>成效。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tblPr>
      <w:tblGrid>
        <w:gridCol w:w="598"/>
        <w:gridCol w:w="454"/>
        <w:gridCol w:w="4981"/>
        <w:gridCol w:w="1057"/>
        <w:gridCol w:w="905"/>
        <w:gridCol w:w="1035"/>
      </w:tblGrid>
      <w:tr w:rsidR="00DC2F14" w:rsidTr="00320244">
        <w:trPr>
          <w:trHeight w:val="20"/>
          <w:jc w:val="center"/>
        </w:trPr>
        <w:tc>
          <w:tcPr>
            <w:tcW w:w="9030" w:type="dxa"/>
            <w:gridSpan w:val="6"/>
            <w:tcBorders>
              <w:top w:val="single" w:sz="4" w:space="0" w:color="auto"/>
              <w:left w:val="single" w:sz="4" w:space="0" w:color="auto"/>
              <w:bottom w:val="single" w:sz="4" w:space="0" w:color="auto"/>
              <w:right w:val="single" w:sz="4" w:space="0" w:color="auto"/>
            </w:tcBorders>
            <w:vAlign w:val="center"/>
          </w:tcPr>
          <w:p w:rsidR="00DC2F14" w:rsidRDefault="00DC2F14" w:rsidP="008512BF">
            <w:pPr>
              <w:spacing w:line="400" w:lineRule="exact"/>
              <w:contextualSpacing/>
              <w:jc w:val="center"/>
              <w:rPr>
                <w:rFonts w:ascii="Times New Roman" w:eastAsia="仿宋_GB2312" w:hAnsi="Times New Roman"/>
                <w:bCs/>
                <w:color w:val="auto"/>
                <w:szCs w:val="21"/>
              </w:rPr>
            </w:pPr>
            <w:bookmarkStart w:id="1" w:name="_Hlk231198520"/>
            <w:bookmarkEnd w:id="0"/>
            <w:r>
              <w:rPr>
                <w:rFonts w:ascii="黑体" w:eastAsia="黑体" w:hAnsi="黑体" w:cs="黑体" w:hint="eastAsia"/>
                <w:bCs/>
                <w:color w:val="auto"/>
                <w:sz w:val="24"/>
                <w:szCs w:val="24"/>
              </w:rPr>
              <w:t>专栏1  湖南省加快农业农村现代化</w:t>
            </w:r>
            <w:r w:rsidR="008512BF">
              <w:rPr>
                <w:rFonts w:ascii="黑体" w:eastAsia="黑体" w:hAnsi="黑体" w:cs="黑体" w:hint="eastAsia"/>
                <w:bCs/>
                <w:color w:val="auto"/>
                <w:sz w:val="24"/>
                <w:szCs w:val="24"/>
              </w:rPr>
              <w:t>“十五五”</w:t>
            </w:r>
            <w:r>
              <w:rPr>
                <w:rFonts w:ascii="黑体" w:eastAsia="黑体" w:hAnsi="黑体" w:cs="黑体" w:hint="eastAsia"/>
                <w:bCs/>
                <w:color w:val="auto"/>
                <w:sz w:val="24"/>
                <w:szCs w:val="24"/>
              </w:rPr>
              <w:t>发展主要指标</w:t>
            </w:r>
          </w:p>
        </w:tc>
      </w:tr>
      <w:tr w:rsidR="00DC2F14" w:rsidTr="00320244">
        <w:trPr>
          <w:trHeight w:val="20"/>
          <w:jc w:val="center"/>
        </w:trPr>
        <w:tc>
          <w:tcPr>
            <w:tcW w:w="598"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黑体" w:eastAsia="黑体" w:hAnsi="黑体" w:cs="黑体"/>
                <w:bCs/>
                <w:color w:val="auto"/>
                <w:szCs w:val="21"/>
              </w:rPr>
            </w:pPr>
            <w:r>
              <w:rPr>
                <w:rFonts w:ascii="黑体" w:eastAsia="黑体" w:hAnsi="黑体" w:cs="黑体" w:hint="eastAsia"/>
                <w:bCs/>
                <w:color w:val="auto"/>
                <w:szCs w:val="21"/>
              </w:rPr>
              <w:t>类别</w:t>
            </w: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黑体" w:eastAsia="黑体" w:hAnsi="黑体" w:cs="黑体"/>
                <w:bCs/>
                <w:color w:val="auto"/>
                <w:szCs w:val="21"/>
              </w:rPr>
            </w:pPr>
            <w:r>
              <w:rPr>
                <w:rFonts w:ascii="黑体" w:eastAsia="黑体" w:hAnsi="黑体" w:cs="黑体" w:hint="eastAsia"/>
                <w:bCs/>
                <w:color w:val="auto"/>
                <w:szCs w:val="21"/>
              </w:rPr>
              <w:t>序号</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黑体" w:eastAsia="黑体" w:hAnsi="黑体" w:cs="黑体"/>
                <w:bCs/>
                <w:color w:val="auto"/>
                <w:szCs w:val="21"/>
              </w:rPr>
            </w:pPr>
            <w:r>
              <w:rPr>
                <w:rFonts w:ascii="黑体" w:eastAsia="黑体" w:hAnsi="黑体" w:cs="黑体" w:hint="eastAsia"/>
                <w:bCs/>
                <w:color w:val="auto"/>
                <w:szCs w:val="21"/>
              </w:rPr>
              <w:t>指标名称</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黑体" w:eastAsia="黑体" w:hAnsi="黑体" w:cs="黑体"/>
                <w:bCs/>
                <w:color w:val="auto"/>
                <w:szCs w:val="21"/>
              </w:rPr>
            </w:pPr>
            <w:bookmarkStart w:id="2" w:name="_Hlk217894728"/>
            <w:r>
              <w:rPr>
                <w:rFonts w:ascii="黑体" w:eastAsia="黑体" w:hAnsi="黑体" w:cs="黑体" w:hint="eastAsia"/>
                <w:bCs/>
                <w:color w:val="auto"/>
                <w:szCs w:val="21"/>
              </w:rPr>
              <w:t>2025年</w:t>
            </w:r>
          </w:p>
          <w:bookmarkEnd w:id="2"/>
          <w:p w:rsidR="00DC2F14" w:rsidRDefault="00DC2F14" w:rsidP="00320244">
            <w:pPr>
              <w:spacing w:line="400" w:lineRule="exact"/>
              <w:contextualSpacing/>
              <w:jc w:val="center"/>
              <w:rPr>
                <w:rFonts w:ascii="黑体" w:eastAsia="黑体" w:hAnsi="黑体" w:cs="黑体"/>
                <w:bCs/>
                <w:color w:val="auto"/>
                <w:szCs w:val="21"/>
              </w:rPr>
            </w:pPr>
            <w:r>
              <w:rPr>
                <w:rFonts w:ascii="黑体" w:eastAsia="黑体" w:hAnsi="黑体" w:cs="黑体" w:hint="eastAsia"/>
                <w:bCs/>
                <w:color w:val="auto"/>
                <w:szCs w:val="21"/>
              </w:rPr>
              <w:t>基期值</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黑体" w:eastAsia="黑体" w:hAnsi="黑体" w:cs="黑体"/>
                <w:bCs/>
                <w:color w:val="auto"/>
                <w:szCs w:val="21"/>
              </w:rPr>
            </w:pPr>
            <w:r>
              <w:rPr>
                <w:rFonts w:ascii="黑体" w:eastAsia="黑体" w:hAnsi="黑体" w:cs="黑体" w:hint="eastAsia"/>
                <w:bCs/>
                <w:color w:val="auto"/>
                <w:szCs w:val="21"/>
              </w:rPr>
              <w:t>2030年</w:t>
            </w:r>
          </w:p>
          <w:p w:rsidR="00DC2F14" w:rsidRDefault="00DC2F14" w:rsidP="00320244">
            <w:pPr>
              <w:spacing w:line="400" w:lineRule="exact"/>
              <w:contextualSpacing/>
              <w:jc w:val="center"/>
              <w:rPr>
                <w:rFonts w:ascii="黑体" w:eastAsia="黑体" w:hAnsi="黑体" w:cs="黑体"/>
                <w:bCs/>
                <w:color w:val="auto"/>
                <w:szCs w:val="21"/>
              </w:rPr>
            </w:pPr>
            <w:r>
              <w:rPr>
                <w:rFonts w:ascii="黑体" w:eastAsia="黑体" w:hAnsi="黑体" w:cs="黑体" w:hint="eastAsia"/>
                <w:bCs/>
                <w:color w:val="auto"/>
                <w:szCs w:val="21"/>
              </w:rPr>
              <w:t>目标值</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黑体" w:eastAsia="黑体" w:hAnsi="黑体" w:cs="黑体"/>
                <w:bCs/>
                <w:color w:val="auto"/>
                <w:szCs w:val="21"/>
              </w:rPr>
            </w:pPr>
            <w:r>
              <w:rPr>
                <w:rFonts w:ascii="黑体" w:eastAsia="黑体" w:hAnsi="黑体" w:cs="黑体" w:hint="eastAsia"/>
                <w:bCs/>
                <w:color w:val="auto"/>
                <w:szCs w:val="21"/>
              </w:rPr>
              <w:t>属性</w:t>
            </w:r>
          </w:p>
        </w:tc>
      </w:tr>
      <w:tr w:rsidR="00DC2F14" w:rsidTr="00320244">
        <w:trPr>
          <w:trHeight w:val="20"/>
          <w:jc w:val="center"/>
        </w:trPr>
        <w:tc>
          <w:tcPr>
            <w:tcW w:w="598" w:type="dxa"/>
            <w:vMerge w:val="restart"/>
            <w:tcBorders>
              <w:top w:val="single" w:sz="4" w:space="0" w:color="auto"/>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加快农业现代化</w:t>
            </w: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w:t>
            </w:r>
          </w:p>
        </w:tc>
        <w:tc>
          <w:tcPr>
            <w:tcW w:w="4981" w:type="dxa"/>
            <w:tcBorders>
              <w:top w:val="single" w:sz="4" w:space="0" w:color="auto"/>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粮食综合生产能力（万吨）</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3068.6</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3120.5</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约束性</w:t>
            </w:r>
          </w:p>
        </w:tc>
      </w:tr>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2</w:t>
            </w:r>
          </w:p>
        </w:tc>
        <w:tc>
          <w:tcPr>
            <w:tcW w:w="4981" w:type="dxa"/>
            <w:tcBorders>
              <w:top w:val="single" w:sz="4" w:space="0" w:color="auto"/>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肉类总产量（万吨）</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593.1</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608</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bookmarkStart w:id="3" w:name="_Hlk202208771"/>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3</w:t>
            </w:r>
          </w:p>
        </w:tc>
        <w:tc>
          <w:tcPr>
            <w:tcW w:w="4981" w:type="dxa"/>
            <w:tcBorders>
              <w:top w:val="single" w:sz="4" w:space="0" w:color="auto"/>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农业科技进步贡献率（</w:t>
            </w:r>
            <w:r>
              <w:rPr>
                <w:rFonts w:ascii="Times New Roman" w:eastAsia="仿宋_GB2312" w:hAnsi="Times New Roman"/>
                <w:bCs/>
                <w:color w:val="auto"/>
                <w:szCs w:val="21"/>
              </w:rPr>
              <w:t>%</w:t>
            </w:r>
            <w:r>
              <w:rPr>
                <w:rFonts w:ascii="Times New Roman" w:eastAsia="仿宋_GB2312" w:hAnsi="Times New Roman"/>
                <w:bCs/>
                <w:color w:val="auto"/>
                <w:szCs w:val="21"/>
              </w:rPr>
              <w:t>）</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64.87</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70</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4</w:t>
            </w:r>
          </w:p>
        </w:tc>
        <w:tc>
          <w:tcPr>
            <w:tcW w:w="4981" w:type="dxa"/>
            <w:tcBorders>
              <w:top w:val="single" w:sz="4" w:space="0" w:color="auto"/>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主要农作物良种覆盖率（</w:t>
            </w:r>
            <w:r>
              <w:rPr>
                <w:rFonts w:ascii="Times New Roman" w:eastAsia="仿宋_GB2312" w:hAnsi="Times New Roman"/>
                <w:bCs/>
                <w:color w:val="auto"/>
                <w:szCs w:val="21"/>
              </w:rPr>
              <w:t>%</w:t>
            </w:r>
            <w:r>
              <w:rPr>
                <w:rFonts w:ascii="Times New Roman" w:eastAsia="仿宋_GB2312" w:hAnsi="Times New Roman"/>
                <w:bCs/>
                <w:color w:val="auto"/>
                <w:szCs w:val="21"/>
              </w:rPr>
              <w:t>）</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97</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98</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bookmarkEnd w:id="3"/>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5</w:t>
            </w:r>
          </w:p>
        </w:tc>
        <w:tc>
          <w:tcPr>
            <w:tcW w:w="4981" w:type="dxa"/>
            <w:tcBorders>
              <w:top w:val="single" w:sz="4" w:space="0" w:color="auto"/>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农作物耕种收综合机械化率（</w:t>
            </w:r>
            <w:r>
              <w:rPr>
                <w:rFonts w:ascii="Times New Roman" w:eastAsia="仿宋_GB2312" w:hAnsi="Times New Roman"/>
                <w:bCs/>
                <w:color w:val="auto"/>
                <w:szCs w:val="21"/>
              </w:rPr>
              <w:t>%</w:t>
            </w:r>
            <w:r>
              <w:rPr>
                <w:rFonts w:ascii="Times New Roman" w:eastAsia="仿宋_GB2312" w:hAnsi="Times New Roman"/>
                <w:bCs/>
                <w:color w:val="auto"/>
                <w:szCs w:val="21"/>
              </w:rPr>
              <w:t>）</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63.32</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78</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6</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农业劳动生产率（万元</w:t>
            </w:r>
            <w:r>
              <w:rPr>
                <w:rFonts w:ascii="Times New Roman" w:eastAsia="仿宋_GB2312" w:hAnsi="Times New Roman"/>
                <w:bCs/>
                <w:color w:val="auto"/>
                <w:szCs w:val="21"/>
              </w:rPr>
              <w:t>/</w:t>
            </w:r>
            <w:r>
              <w:rPr>
                <w:rFonts w:ascii="Times New Roman" w:eastAsia="仿宋_GB2312" w:hAnsi="Times New Roman"/>
                <w:bCs/>
                <w:color w:val="auto"/>
                <w:szCs w:val="21"/>
              </w:rPr>
              <w:t>人）</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7.1</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8.5</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7</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农业绿色发展水平</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79.3</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82.5</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bookmarkStart w:id="4" w:name="_Hlk202727301"/>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8</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农产品加工业与农业总产值比</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2.8</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3.1</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9</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highlight w:val="yellow"/>
              </w:rPr>
            </w:pPr>
            <w:r>
              <w:rPr>
                <w:rFonts w:ascii="Times New Roman" w:eastAsia="仿宋_GB2312" w:hAnsi="Times New Roman"/>
                <w:bCs/>
                <w:color w:val="auto"/>
                <w:szCs w:val="21"/>
              </w:rPr>
              <w:t>农产品质量安全</w:t>
            </w:r>
            <w:r>
              <w:rPr>
                <w:rFonts w:ascii="Times New Roman" w:eastAsia="仿宋_GB2312" w:hAnsi="Times New Roman" w:hint="eastAsia"/>
                <w:bCs/>
                <w:color w:val="auto"/>
                <w:szCs w:val="21"/>
              </w:rPr>
              <w:t>省级</w:t>
            </w:r>
            <w:r>
              <w:rPr>
                <w:rFonts w:ascii="Times New Roman" w:eastAsia="仿宋_GB2312" w:hAnsi="Times New Roman"/>
                <w:bCs/>
                <w:color w:val="auto"/>
                <w:szCs w:val="21"/>
              </w:rPr>
              <w:t>例行监测合格率（</w:t>
            </w:r>
            <w:r>
              <w:rPr>
                <w:rFonts w:ascii="Times New Roman" w:eastAsia="仿宋_GB2312" w:hAnsi="Times New Roman"/>
                <w:bCs/>
                <w:color w:val="auto"/>
                <w:szCs w:val="21"/>
              </w:rPr>
              <w:t>%</w:t>
            </w:r>
            <w:r>
              <w:rPr>
                <w:rFonts w:ascii="Times New Roman" w:eastAsia="仿宋_GB2312" w:hAnsi="Times New Roman"/>
                <w:bCs/>
                <w:color w:val="auto"/>
                <w:szCs w:val="21"/>
              </w:rPr>
              <w:t>）</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highlight w:val="yellow"/>
              </w:rPr>
            </w:pPr>
            <w:r>
              <w:rPr>
                <w:rFonts w:ascii="Times New Roman" w:eastAsia="仿宋_GB2312" w:hAnsi="Times New Roman"/>
                <w:bCs/>
                <w:color w:val="auto"/>
                <w:szCs w:val="21"/>
              </w:rPr>
              <w:t>98.3</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宋体" w:hAnsi="宋体"/>
                <w:bCs/>
                <w:color w:val="auto"/>
                <w:szCs w:val="21"/>
              </w:rPr>
              <w:t>≥</w:t>
            </w:r>
            <w:r>
              <w:rPr>
                <w:rFonts w:ascii="Times New Roman" w:eastAsia="仿宋_GB2312" w:hAnsi="Times New Roman"/>
                <w:bCs/>
                <w:color w:val="auto"/>
                <w:szCs w:val="21"/>
              </w:rPr>
              <w:t>98.5</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约束性</w:t>
            </w:r>
          </w:p>
        </w:tc>
      </w:tr>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10</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农田灌溉水有效利用系数</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0.571</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0.586</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bookmarkEnd w:id="4"/>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11</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vertAlign w:val="superscript"/>
              </w:rPr>
            </w:pPr>
            <w:r>
              <w:rPr>
                <w:rFonts w:ascii="Times New Roman" w:eastAsia="仿宋_GB2312" w:hAnsi="Times New Roman"/>
                <w:bCs/>
                <w:color w:val="auto"/>
                <w:szCs w:val="21"/>
              </w:rPr>
              <w:t>畜禽粪污综合利用率（</w:t>
            </w:r>
            <w:r>
              <w:rPr>
                <w:rFonts w:ascii="Times New Roman" w:eastAsia="仿宋_GB2312" w:hAnsi="Times New Roman"/>
                <w:bCs/>
                <w:color w:val="auto"/>
                <w:szCs w:val="21"/>
              </w:rPr>
              <w:t>%</w:t>
            </w:r>
            <w:r>
              <w:rPr>
                <w:rFonts w:ascii="Times New Roman" w:eastAsia="仿宋_GB2312" w:hAnsi="Times New Roman"/>
                <w:bCs/>
                <w:color w:val="auto"/>
                <w:szCs w:val="21"/>
              </w:rPr>
              <w:t>）</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83</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&gt;86</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val="restart"/>
            <w:tcBorders>
              <w:top w:val="single" w:sz="4" w:space="0" w:color="auto"/>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加快农村现代化</w:t>
            </w: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12</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农村生活污水治理率（</w:t>
            </w:r>
            <w:r>
              <w:rPr>
                <w:rFonts w:ascii="Times New Roman" w:eastAsia="仿宋_GB2312" w:hAnsi="Times New Roman"/>
                <w:bCs/>
                <w:color w:val="auto"/>
                <w:szCs w:val="21"/>
              </w:rPr>
              <w:t>%</w:t>
            </w:r>
            <w:r>
              <w:rPr>
                <w:rFonts w:ascii="Times New Roman" w:eastAsia="仿宋_GB2312" w:hAnsi="Times New Roman"/>
                <w:bCs/>
                <w:color w:val="auto"/>
                <w:szCs w:val="21"/>
              </w:rPr>
              <w:t>）</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53.7</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75</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tcBorders>
              <w:top w:val="single" w:sz="4" w:space="0" w:color="auto"/>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bookmarkStart w:id="5" w:name="_Hlk202727316"/>
            <w:bookmarkStart w:id="6" w:name="_Hlk202209158"/>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13</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乡村医生中执业（助理）医师比例（</w:t>
            </w:r>
            <w:r>
              <w:rPr>
                <w:rFonts w:ascii="Times New Roman" w:eastAsia="仿宋_GB2312" w:hAnsi="Times New Roman"/>
                <w:bCs/>
                <w:color w:val="auto"/>
                <w:szCs w:val="21"/>
              </w:rPr>
              <w:t>%</w:t>
            </w:r>
            <w:r>
              <w:rPr>
                <w:rFonts w:ascii="Times New Roman" w:eastAsia="仿宋_GB2312" w:hAnsi="Times New Roman"/>
                <w:bCs/>
                <w:color w:val="auto"/>
                <w:szCs w:val="21"/>
              </w:rPr>
              <w:t>）</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51.6</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53</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bookmarkEnd w:id="5"/>
      <w:bookmarkEnd w:id="6"/>
      <w:tr w:rsidR="00DC2F14" w:rsidTr="00320244">
        <w:trPr>
          <w:trHeight w:val="20"/>
          <w:jc w:val="center"/>
        </w:trPr>
        <w:tc>
          <w:tcPr>
            <w:tcW w:w="598" w:type="dxa"/>
            <w:vMerge/>
            <w:tcBorders>
              <w:top w:val="single" w:sz="4" w:space="0" w:color="auto"/>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14</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乡镇（街道）区域养老服务中心服务覆盖率（</w:t>
            </w:r>
            <w:r>
              <w:rPr>
                <w:rFonts w:ascii="Times New Roman" w:eastAsia="仿宋_GB2312" w:hAnsi="Times New Roman"/>
                <w:bCs/>
                <w:color w:val="auto"/>
                <w:szCs w:val="21"/>
              </w:rPr>
              <w:t>%</w:t>
            </w:r>
            <w:r>
              <w:rPr>
                <w:rFonts w:ascii="Times New Roman" w:eastAsia="仿宋_GB2312" w:hAnsi="Times New Roman"/>
                <w:bCs/>
                <w:color w:val="auto"/>
                <w:szCs w:val="21"/>
              </w:rPr>
              <w:t>）</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67</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80</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15</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美丽乡村占全省行政村比例（</w:t>
            </w:r>
            <w:r>
              <w:rPr>
                <w:rFonts w:ascii="Times New Roman" w:eastAsia="仿宋_GB2312" w:hAnsi="Times New Roman"/>
                <w:bCs/>
                <w:color w:val="auto"/>
                <w:szCs w:val="21"/>
              </w:rPr>
              <w:t>%</w:t>
            </w:r>
            <w:r>
              <w:rPr>
                <w:rFonts w:ascii="Times New Roman" w:eastAsia="仿宋_GB2312" w:hAnsi="Times New Roman"/>
                <w:bCs/>
                <w:color w:val="auto"/>
                <w:szCs w:val="21"/>
              </w:rPr>
              <w:t>）</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52</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70</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val="restart"/>
            <w:tcBorders>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加快农民增收共富</w:t>
            </w: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16</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新型农业经营主体带动农户比例（</w:t>
            </w:r>
            <w:r>
              <w:rPr>
                <w:rFonts w:ascii="Times New Roman" w:eastAsia="仿宋_GB2312" w:hAnsi="Times New Roman"/>
                <w:bCs/>
                <w:color w:val="auto"/>
                <w:szCs w:val="21"/>
              </w:rPr>
              <w:t>%</w:t>
            </w:r>
            <w:r>
              <w:rPr>
                <w:rFonts w:ascii="Times New Roman" w:eastAsia="仿宋_GB2312" w:hAnsi="Times New Roman"/>
                <w:bCs/>
                <w:color w:val="auto"/>
                <w:szCs w:val="21"/>
              </w:rPr>
              <w:t>）</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51.5</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58</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17</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城乡居民收入比</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2.27</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w:t>
            </w:r>
            <w:r>
              <w:rPr>
                <w:rFonts w:ascii="Times New Roman" w:eastAsia="仿宋_GB2312" w:hAnsi="Times New Roman"/>
                <w:bCs/>
                <w:color w:val="auto"/>
                <w:szCs w:val="21"/>
              </w:rPr>
              <w:t>2.2</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r w:rsidR="00DC2F14" w:rsidTr="00320244">
        <w:trPr>
          <w:trHeight w:val="20"/>
          <w:jc w:val="center"/>
        </w:trPr>
        <w:tc>
          <w:tcPr>
            <w:tcW w:w="598" w:type="dxa"/>
            <w:vMerge/>
            <w:tcBorders>
              <w:left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p>
        </w:tc>
        <w:tc>
          <w:tcPr>
            <w:tcW w:w="45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18</w:t>
            </w:r>
          </w:p>
        </w:tc>
        <w:tc>
          <w:tcPr>
            <w:tcW w:w="4981"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rPr>
                <w:rFonts w:ascii="Times New Roman" w:eastAsia="仿宋_GB2312" w:hAnsi="Times New Roman"/>
                <w:bCs/>
                <w:color w:val="auto"/>
                <w:szCs w:val="21"/>
              </w:rPr>
            </w:pPr>
            <w:r>
              <w:rPr>
                <w:rFonts w:ascii="Times New Roman" w:eastAsia="仿宋_GB2312" w:hAnsi="Times New Roman"/>
                <w:bCs/>
                <w:color w:val="auto"/>
                <w:szCs w:val="21"/>
              </w:rPr>
              <w:t>农村居民教育文化娱乐支出占比（</w:t>
            </w:r>
            <w:r>
              <w:rPr>
                <w:rFonts w:ascii="Times New Roman" w:eastAsia="仿宋_GB2312" w:hAnsi="Times New Roman"/>
                <w:bCs/>
                <w:color w:val="auto"/>
                <w:szCs w:val="21"/>
              </w:rPr>
              <w:t>%</w:t>
            </w:r>
            <w:r>
              <w:rPr>
                <w:rFonts w:ascii="Times New Roman" w:eastAsia="仿宋_GB2312" w:hAnsi="Times New Roman"/>
                <w:bCs/>
                <w:color w:val="auto"/>
                <w:szCs w:val="21"/>
              </w:rPr>
              <w:t>）</w:t>
            </w:r>
          </w:p>
        </w:tc>
        <w:tc>
          <w:tcPr>
            <w:tcW w:w="1057"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14</w:t>
            </w:r>
          </w:p>
        </w:tc>
        <w:tc>
          <w:tcPr>
            <w:tcW w:w="90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12</w:t>
            </w:r>
          </w:p>
        </w:tc>
        <w:tc>
          <w:tcPr>
            <w:tcW w:w="1035"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400" w:lineRule="exact"/>
              <w:contextualSpacing/>
              <w:jc w:val="center"/>
              <w:rPr>
                <w:rFonts w:ascii="Times New Roman" w:eastAsia="仿宋_GB2312" w:hAnsi="Times New Roman"/>
                <w:bCs/>
                <w:color w:val="auto"/>
                <w:szCs w:val="21"/>
              </w:rPr>
            </w:pPr>
            <w:r>
              <w:rPr>
                <w:rFonts w:ascii="Times New Roman" w:eastAsia="仿宋_GB2312" w:hAnsi="Times New Roman"/>
                <w:bCs/>
                <w:color w:val="auto"/>
                <w:szCs w:val="21"/>
              </w:rPr>
              <w:t>预期性</w:t>
            </w:r>
          </w:p>
        </w:tc>
      </w:tr>
    </w:tbl>
    <w:p w:rsidR="00DC2F14" w:rsidRDefault="00DC2F14" w:rsidP="00DC2F14">
      <w:pPr>
        <w:pStyle w:val="1"/>
        <w:keepNext w:val="0"/>
        <w:keepLines w:val="0"/>
        <w:widowControl w:val="0"/>
        <w:snapToGrid w:val="0"/>
        <w:spacing w:before="0" w:after="0" w:line="600" w:lineRule="exact"/>
        <w:ind w:firstLineChars="200" w:firstLine="640"/>
        <w:contextualSpacing/>
        <w:rPr>
          <w:rFonts w:ascii="黑体" w:eastAsia="黑体" w:hAnsi="黑体" w:cs="黑体"/>
          <w:b w:val="0"/>
          <w:color w:val="auto"/>
          <w:sz w:val="32"/>
          <w:szCs w:val="32"/>
        </w:rPr>
      </w:pPr>
      <w:bookmarkStart w:id="7" w:name="_Hlk211890449"/>
      <w:bookmarkStart w:id="8" w:name="_Hlk211785034"/>
      <w:bookmarkStart w:id="9" w:name="_Toc243"/>
      <w:bookmarkStart w:id="10" w:name="_Toc5481"/>
      <w:bookmarkStart w:id="11" w:name="_Toc31528"/>
      <w:bookmarkStart w:id="12" w:name="_Toc10118"/>
      <w:bookmarkStart w:id="13" w:name="_Toc7778"/>
      <w:bookmarkStart w:id="14" w:name="_Toc211896049"/>
      <w:bookmarkEnd w:id="1"/>
      <w:r>
        <w:rPr>
          <w:rFonts w:ascii="黑体" w:eastAsia="黑体" w:hAnsi="黑体" w:cs="黑体" w:hint="eastAsia"/>
          <w:b w:val="0"/>
          <w:color w:val="auto"/>
          <w:sz w:val="32"/>
          <w:szCs w:val="32"/>
        </w:rPr>
        <w:t>二、建设更高水平“洞庭粮仓”</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（一）强化耕地保护和质量提升</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严格落实</w:t>
      </w:r>
      <w:r>
        <w:rPr>
          <w:rFonts w:ascii="仿宋_GB2312" w:eastAsia="仿宋_GB2312" w:hAnsi="仿宋_GB2312" w:cs="仿宋_GB2312" w:hint="eastAsia"/>
          <w:bCs/>
          <w:color w:val="auto"/>
        </w:rPr>
        <w:t>耕地保护和粮食安全党政同责，采取“长牙齿”的硬措施，健全耕地数量、质量、生态“三位一体”保护制度体系，构建汛旱并防和耕地置换协同推进机制，完善补充耕地质量验收机制。动态更新全省耕地种植用途“一张图”，坚决遏制耕地“非农化”、防止永久基本农田“非粮化”，分类推进撂荒耕地综合</w:t>
      </w:r>
      <w:r>
        <w:rPr>
          <w:rFonts w:ascii="Times New Roman" w:eastAsia="仿宋_GB2312" w:hAnsi="Times New Roman"/>
          <w:bCs/>
          <w:color w:val="auto"/>
        </w:rPr>
        <w:t>利用。到</w:t>
      </w:r>
      <w:r>
        <w:rPr>
          <w:rFonts w:ascii="Times New Roman" w:eastAsia="仿宋_GB2312" w:hAnsi="Times New Roman"/>
          <w:bCs/>
          <w:color w:val="auto"/>
        </w:rPr>
        <w:t>2030</w:t>
      </w:r>
      <w:r>
        <w:rPr>
          <w:rFonts w:ascii="Times New Roman" w:eastAsia="仿宋_GB2312" w:hAnsi="Times New Roman"/>
          <w:bCs/>
          <w:color w:val="auto"/>
        </w:rPr>
        <w:t>年，全省耕地保有量不低于</w:t>
      </w:r>
      <w:r>
        <w:rPr>
          <w:rFonts w:ascii="Times New Roman" w:eastAsia="仿宋_GB2312" w:hAnsi="Times New Roman"/>
          <w:bCs/>
          <w:color w:val="auto"/>
        </w:rPr>
        <w:t>5372.66</w:t>
      </w:r>
      <w:r>
        <w:rPr>
          <w:rFonts w:ascii="Times New Roman" w:eastAsia="仿宋_GB2312" w:hAnsi="Times New Roman"/>
          <w:bCs/>
          <w:color w:val="auto"/>
        </w:rPr>
        <w:t>万亩，永久基本农田保护面积不低于</w:t>
      </w:r>
      <w:r>
        <w:rPr>
          <w:rFonts w:ascii="Times New Roman" w:eastAsia="仿宋_GB2312" w:hAnsi="Times New Roman"/>
          <w:bCs/>
          <w:color w:val="auto"/>
        </w:rPr>
        <w:t>4804.12</w:t>
      </w:r>
      <w:r>
        <w:rPr>
          <w:rFonts w:ascii="Times New Roman" w:eastAsia="仿宋_GB2312" w:hAnsi="Times New Roman"/>
          <w:bCs/>
          <w:color w:val="auto"/>
        </w:rPr>
        <w:t>万亩。</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lastRenderedPageBreak/>
        <w:t>（二）加强农田水利和高标准农田建设</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仿宋_GB2312" w:eastAsia="仿宋_GB2312" w:hAnsi="仿宋_GB2312" w:cs="仿宋_GB2312" w:hint="eastAsia"/>
          <w:bCs/>
          <w:color w:val="auto"/>
        </w:rPr>
        <w:t>强化大中型灌区骨干工程与田间灌排工程及农田建设衔接配套，实施小型农业水利设施建设和管护行动，健全水源到田间的灌排体系。分类推进平原河网区、丘岗冲垅区、丘陵山区高标准农田建设，逐步把具备条件的永久基本农田建成高标准农田。完善高标准农田建设、验收、管护机制，建立健全农田建设工程质量监督管理体</w:t>
      </w:r>
      <w:r>
        <w:rPr>
          <w:rFonts w:ascii="Times New Roman" w:eastAsia="仿宋_GB2312" w:hAnsi="Times New Roman"/>
          <w:bCs/>
          <w:color w:val="auto"/>
        </w:rPr>
        <w:t>系。</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（三）稳定粮食生产</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仿宋_GB2312" w:eastAsia="仿宋_GB2312" w:hAnsi="仿宋_GB2312" w:cs="仿宋_GB2312" w:hint="eastAsia"/>
          <w:bCs/>
          <w:color w:val="auto"/>
        </w:rPr>
        <w:t>实施新一轮千亿斤粮食产能提升行动，推动粮食生产稳面积、提单产、优结构、增效益。在湘北洞庭湖区及湘中湘南传统双季稻优势区实施“早专晚优”轮作，适度扩大旱粮生产；大湘西地区推广高产优质单季水稻生产，合理发展再生稻，建立稻田生态种养功能区。分区域打造省级“看禾选种”平台，新建集中育秧设施</w:t>
      </w:r>
      <w:r>
        <w:rPr>
          <w:rFonts w:ascii="Times New Roman" w:eastAsia="仿宋_GB2312" w:hAnsi="Times New Roman"/>
          <w:bCs/>
          <w:color w:val="auto"/>
        </w:rPr>
        <w:t>400</w:t>
      </w:r>
      <w:r>
        <w:rPr>
          <w:rFonts w:ascii="Times New Roman" w:eastAsia="仿宋_GB2312" w:hAnsi="Times New Roman"/>
          <w:bCs/>
          <w:color w:val="auto"/>
        </w:rPr>
        <w:t>万平方</w:t>
      </w:r>
      <w:r>
        <w:rPr>
          <w:rFonts w:ascii="仿宋_GB2312" w:eastAsia="仿宋_GB2312" w:hAnsi="仿宋_GB2312" w:cs="仿宋_GB2312" w:hint="eastAsia"/>
          <w:bCs/>
          <w:color w:val="auto"/>
        </w:rPr>
        <w:t>米。巩固提升粮食生产万亩综合示范片，推进水稻单产提升整建制市县建设，推广“六增两控”技术。落实粮食主产区奖补激励制度，推动种粮补贴与种植面积、亩产挂钩，强化价格、补贴、保险等政策协同，优化粮食收购贷款信用保证基金管理。</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（四）提升粮食加工流通水平</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sz w:val="44"/>
          <w:szCs w:val="44"/>
        </w:rPr>
      </w:pPr>
      <w:r>
        <w:rPr>
          <w:rFonts w:ascii="Times New Roman" w:eastAsia="仿宋_GB2312" w:hAnsi="Times New Roman"/>
          <w:bCs/>
          <w:color w:val="auto"/>
        </w:rPr>
        <w:t>打造一批大型粮食物流产业园，开展低温绿色储粮标准化试点，完善粮食产后服务中心和仓储设施。建设</w:t>
      </w:r>
      <w:r>
        <w:rPr>
          <w:rFonts w:ascii="Times New Roman" w:eastAsia="仿宋_GB2312" w:hAnsi="Times New Roman"/>
          <w:bCs/>
          <w:color w:val="auto"/>
        </w:rPr>
        <w:t>2000</w:t>
      </w:r>
      <w:r>
        <w:rPr>
          <w:rFonts w:ascii="Times New Roman" w:eastAsia="仿宋_GB2312" w:hAnsi="Times New Roman"/>
          <w:bCs/>
          <w:color w:val="auto"/>
        </w:rPr>
        <w:t>万亩国家储备粮源基地。推动粮食初加工、精深加工和综合利用加工协调发展，</w:t>
      </w:r>
      <w:r>
        <w:rPr>
          <w:rFonts w:ascii="Times New Roman" w:eastAsia="仿宋_GB2312" w:hAnsi="Times New Roman"/>
          <w:bCs/>
          <w:color w:val="auto"/>
        </w:rPr>
        <w:lastRenderedPageBreak/>
        <w:t>引导开发营养米、专用米、米糠等新型健康产品。推进粮食节约和反食品浪费行动。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42"/>
      </w:tblGrid>
      <w:tr w:rsidR="00DC2F14" w:rsidTr="00320244">
        <w:trPr>
          <w:trHeight w:val="90"/>
          <w:jc w:val="center"/>
        </w:trPr>
        <w:tc>
          <w:tcPr>
            <w:tcW w:w="8942"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widowControl w:val="0"/>
              <w:spacing w:line="400" w:lineRule="exact"/>
              <w:contextualSpacing/>
              <w:jc w:val="center"/>
              <w:rPr>
                <w:rFonts w:ascii="Times New Roman" w:eastAsia="方正仿宋_GB2312" w:hAnsi="Times New Roman"/>
                <w:bCs/>
                <w:color w:val="auto"/>
              </w:rPr>
            </w:pPr>
            <w:bookmarkStart w:id="15" w:name="_Hlk231198530"/>
            <w:r>
              <w:rPr>
                <w:rFonts w:ascii="Times New Roman" w:eastAsia="黑体" w:hAnsi="Times New Roman"/>
                <w:bCs/>
                <w:color w:val="auto"/>
                <w:sz w:val="24"/>
                <w:szCs w:val="24"/>
              </w:rPr>
              <w:t>专栏</w:t>
            </w:r>
            <w:r>
              <w:rPr>
                <w:rFonts w:ascii="Times New Roman" w:eastAsia="黑体" w:hAnsi="Times New Roman"/>
                <w:bCs/>
                <w:color w:val="auto"/>
                <w:sz w:val="24"/>
                <w:szCs w:val="24"/>
              </w:rPr>
              <w:t xml:space="preserve">2  </w:t>
            </w:r>
            <w:r>
              <w:rPr>
                <w:rFonts w:ascii="Times New Roman" w:eastAsia="黑体" w:hAnsi="Times New Roman"/>
                <w:bCs/>
                <w:color w:val="auto"/>
                <w:sz w:val="24"/>
                <w:szCs w:val="24"/>
              </w:rPr>
              <w:t>千万亩农田产能提升</w:t>
            </w:r>
          </w:p>
        </w:tc>
      </w:tr>
      <w:tr w:rsidR="00DC2F14" w:rsidTr="00320244">
        <w:trPr>
          <w:trHeight w:val="90"/>
          <w:jc w:val="center"/>
        </w:trPr>
        <w:tc>
          <w:tcPr>
            <w:tcW w:w="8942" w:type="dxa"/>
            <w:tcBorders>
              <w:top w:val="single" w:sz="4" w:space="0" w:color="auto"/>
              <w:left w:val="single" w:sz="4" w:space="0" w:color="auto"/>
              <w:bottom w:val="single" w:sz="4" w:space="0" w:color="auto"/>
              <w:right w:val="single" w:sz="4" w:space="0" w:color="auto"/>
            </w:tcBorders>
          </w:tcPr>
          <w:p w:rsidR="00DC2F14" w:rsidRDefault="00DC2F14" w:rsidP="00320244">
            <w:pPr>
              <w:widowControl w:val="0"/>
              <w:snapToGrid w:val="0"/>
              <w:spacing w:line="400" w:lineRule="exact"/>
              <w:ind w:firstLineChars="200" w:firstLine="480"/>
              <w:rPr>
                <w:rFonts w:ascii="Times New Roman" w:eastAsia="仿宋_GB2312" w:hAnsi="Times New Roman"/>
                <w:bCs/>
                <w:color w:val="auto"/>
                <w:sz w:val="24"/>
                <w:szCs w:val="24"/>
              </w:rPr>
            </w:pPr>
            <w:r>
              <w:rPr>
                <w:rFonts w:ascii="Times New Roman" w:eastAsia="仿宋_GB2312" w:hAnsi="Times New Roman"/>
                <w:bCs/>
                <w:color w:val="auto"/>
                <w:sz w:val="24"/>
                <w:szCs w:val="24"/>
              </w:rPr>
              <w:t>1</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高标准农田建设。累计建成高标准农田</w:t>
            </w:r>
            <w:r>
              <w:rPr>
                <w:rFonts w:ascii="Times New Roman" w:eastAsia="仿宋_GB2312" w:hAnsi="Times New Roman"/>
                <w:bCs/>
                <w:color w:val="auto"/>
                <w:sz w:val="24"/>
                <w:szCs w:val="24"/>
              </w:rPr>
              <w:t>4643</w:t>
            </w:r>
            <w:r>
              <w:rPr>
                <w:rFonts w:ascii="Times New Roman" w:eastAsia="仿宋_GB2312" w:hAnsi="Times New Roman"/>
                <w:bCs/>
                <w:color w:val="auto"/>
                <w:sz w:val="24"/>
                <w:szCs w:val="24"/>
              </w:rPr>
              <w:t>万亩</w:t>
            </w:r>
            <w:r>
              <w:rPr>
                <w:rFonts w:ascii="仿宋_GB2312" w:eastAsia="仿宋_GB2312" w:hint="eastAsia"/>
                <w:bCs/>
                <w:color w:val="auto"/>
                <w:sz w:val="24"/>
                <w:szCs w:val="24"/>
              </w:rPr>
              <w:t>、改造提升</w:t>
            </w:r>
            <w:r>
              <w:rPr>
                <w:rFonts w:ascii="Times New Roman" w:eastAsia="仿宋_GB2312" w:hAnsi="Times New Roman"/>
                <w:bCs/>
                <w:color w:val="auto"/>
                <w:sz w:val="24"/>
                <w:szCs w:val="24"/>
              </w:rPr>
              <w:t>1212</w:t>
            </w:r>
            <w:r>
              <w:rPr>
                <w:rFonts w:ascii="Times New Roman" w:eastAsia="仿宋_GB2312" w:hAnsi="Times New Roman"/>
                <w:bCs/>
                <w:color w:val="auto"/>
                <w:sz w:val="24"/>
                <w:szCs w:val="24"/>
              </w:rPr>
              <w:t>万亩。优先将</w:t>
            </w:r>
            <w:r>
              <w:rPr>
                <w:rFonts w:ascii="Times New Roman" w:eastAsia="仿宋_GB2312" w:hAnsi="Times New Roman"/>
                <w:bCs/>
                <w:color w:val="auto"/>
                <w:sz w:val="24"/>
                <w:szCs w:val="24"/>
              </w:rPr>
              <w:t>30</w:t>
            </w:r>
            <w:r>
              <w:rPr>
                <w:rFonts w:ascii="Times New Roman" w:eastAsia="仿宋_GB2312" w:hAnsi="Times New Roman"/>
                <w:bCs/>
                <w:color w:val="auto"/>
                <w:sz w:val="24"/>
                <w:szCs w:val="24"/>
              </w:rPr>
              <w:t>个粮食产能提升重点县符合条件的永久基本农田全部建成高标准农田。</w:t>
            </w:r>
          </w:p>
          <w:p w:rsidR="00DC2F14" w:rsidRDefault="00DC2F14" w:rsidP="00320244">
            <w:pPr>
              <w:widowControl w:val="0"/>
              <w:snapToGrid w:val="0"/>
              <w:spacing w:line="400" w:lineRule="exact"/>
              <w:ind w:firstLineChars="200" w:firstLine="480"/>
              <w:rPr>
                <w:rFonts w:ascii="Times New Roman" w:eastAsia="仿宋_GB2312" w:hAnsi="Times New Roman"/>
                <w:bCs/>
                <w:color w:val="auto"/>
                <w:sz w:val="24"/>
                <w:szCs w:val="24"/>
              </w:rPr>
            </w:pPr>
            <w:r>
              <w:rPr>
                <w:rFonts w:ascii="Times New Roman" w:eastAsia="仿宋_GB2312" w:hAnsi="Times New Roman"/>
                <w:bCs/>
                <w:color w:val="auto"/>
                <w:sz w:val="24"/>
                <w:szCs w:val="24"/>
              </w:rPr>
              <w:t>2</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粮食单产提升行动。推广集中育秧、种植绿肥、</w:t>
            </w:r>
            <w:r>
              <w:rPr>
                <w:rFonts w:ascii="Times New Roman" w:eastAsia="仿宋_GB2312" w:hAnsi="Times New Roman"/>
                <w:bCs/>
                <w:color w:val="auto"/>
                <w:sz w:val="24"/>
                <w:szCs w:val="24"/>
              </w:rPr>
              <w:t>“</w:t>
            </w:r>
            <w:r>
              <w:rPr>
                <w:rFonts w:ascii="Times New Roman" w:eastAsia="仿宋_GB2312" w:hAnsi="Times New Roman"/>
                <w:bCs/>
                <w:color w:val="auto"/>
                <w:sz w:val="24"/>
                <w:szCs w:val="24"/>
              </w:rPr>
              <w:t>一喷多促</w:t>
            </w:r>
            <w:r>
              <w:rPr>
                <w:rFonts w:ascii="Times New Roman" w:eastAsia="仿宋_GB2312" w:hAnsi="Times New Roman"/>
                <w:bCs/>
                <w:color w:val="auto"/>
                <w:sz w:val="24"/>
                <w:szCs w:val="24"/>
              </w:rPr>
              <w:t>”</w:t>
            </w:r>
            <w:r>
              <w:rPr>
                <w:rFonts w:ascii="Times New Roman" w:eastAsia="仿宋_GB2312" w:hAnsi="Times New Roman"/>
                <w:bCs/>
                <w:color w:val="auto"/>
                <w:sz w:val="24"/>
                <w:szCs w:val="24"/>
              </w:rPr>
              <w:t>面积</w:t>
            </w:r>
            <w:r>
              <w:rPr>
                <w:rFonts w:ascii="Times New Roman" w:eastAsia="仿宋_GB2312" w:hAnsi="Times New Roman"/>
                <w:bCs/>
                <w:color w:val="auto"/>
                <w:sz w:val="24"/>
                <w:szCs w:val="24"/>
              </w:rPr>
              <w:t>2000</w:t>
            </w:r>
            <w:r>
              <w:rPr>
                <w:rFonts w:ascii="Times New Roman" w:eastAsia="仿宋_GB2312" w:hAnsi="Times New Roman"/>
                <w:bCs/>
                <w:color w:val="auto"/>
                <w:sz w:val="24"/>
                <w:szCs w:val="24"/>
              </w:rPr>
              <w:t>万亩，推动合理密植覆盖率达</w:t>
            </w:r>
            <w:r>
              <w:rPr>
                <w:rFonts w:ascii="Times New Roman" w:eastAsia="仿宋_GB2312" w:hAnsi="Times New Roman"/>
                <w:bCs/>
                <w:color w:val="auto"/>
                <w:sz w:val="24"/>
                <w:szCs w:val="24"/>
              </w:rPr>
              <w:t>70%</w:t>
            </w:r>
            <w:r>
              <w:rPr>
                <w:rFonts w:ascii="Times New Roman" w:eastAsia="仿宋_GB2312" w:hAnsi="Times New Roman"/>
                <w:bCs/>
                <w:color w:val="auto"/>
                <w:sz w:val="24"/>
                <w:szCs w:val="24"/>
              </w:rPr>
              <w:t>。推广大豆玉米带状复合种植、柑橘套</w:t>
            </w:r>
            <w:r w:rsidR="00CC1218">
              <w:rPr>
                <w:rFonts w:ascii="Times New Roman" w:eastAsia="仿宋_GB2312" w:hAnsi="Times New Roman" w:hint="eastAsia"/>
                <w:bCs/>
                <w:color w:val="auto"/>
                <w:sz w:val="24"/>
                <w:szCs w:val="24"/>
              </w:rPr>
              <w:t>种</w:t>
            </w:r>
            <w:r>
              <w:rPr>
                <w:rFonts w:ascii="Times New Roman" w:eastAsia="仿宋_GB2312" w:hAnsi="Times New Roman"/>
                <w:bCs/>
                <w:color w:val="auto"/>
                <w:sz w:val="24"/>
                <w:szCs w:val="24"/>
              </w:rPr>
              <w:t>大豆等技术，新增大豆种植面积</w:t>
            </w:r>
            <w:r>
              <w:rPr>
                <w:rFonts w:ascii="Times New Roman" w:eastAsia="仿宋_GB2312" w:hAnsi="Times New Roman"/>
                <w:bCs/>
                <w:color w:val="auto"/>
                <w:sz w:val="24"/>
                <w:szCs w:val="24"/>
              </w:rPr>
              <w:t>50</w:t>
            </w:r>
            <w:r>
              <w:rPr>
                <w:rFonts w:ascii="Times New Roman" w:eastAsia="仿宋_GB2312" w:hAnsi="Times New Roman"/>
                <w:bCs/>
                <w:color w:val="auto"/>
                <w:sz w:val="24"/>
                <w:szCs w:val="24"/>
              </w:rPr>
              <w:t>万亩。</w:t>
            </w:r>
          </w:p>
          <w:p w:rsidR="00DC2F14" w:rsidRDefault="00DC2F14" w:rsidP="00320244">
            <w:pPr>
              <w:widowControl w:val="0"/>
              <w:snapToGrid w:val="0"/>
              <w:spacing w:line="400" w:lineRule="exact"/>
              <w:ind w:firstLineChars="200" w:firstLine="480"/>
              <w:rPr>
                <w:rFonts w:ascii="Times New Roman" w:eastAsia="仿宋_GB2312" w:hAnsi="Times New Roman"/>
                <w:bCs/>
                <w:color w:val="auto"/>
                <w:sz w:val="24"/>
                <w:szCs w:val="24"/>
              </w:rPr>
            </w:pPr>
            <w:r>
              <w:rPr>
                <w:rFonts w:ascii="Times New Roman" w:eastAsia="仿宋_GB2312" w:hAnsi="Times New Roman"/>
                <w:bCs/>
                <w:color w:val="auto"/>
                <w:sz w:val="24"/>
                <w:szCs w:val="24"/>
              </w:rPr>
              <w:t>3</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受污染耕地治理工程。开展农用地土壤重金属污染溯源整治。在安全利用区，推广镉低积累水稻</w:t>
            </w:r>
            <w:r>
              <w:rPr>
                <w:rFonts w:ascii="Times New Roman" w:eastAsia="仿宋_GB2312" w:hAnsi="Times New Roman"/>
                <w:bCs/>
                <w:color w:val="auto"/>
                <w:sz w:val="24"/>
                <w:szCs w:val="24"/>
              </w:rPr>
              <w:t>500</w:t>
            </w:r>
            <w:r>
              <w:rPr>
                <w:rFonts w:ascii="Times New Roman" w:eastAsia="仿宋_GB2312" w:hAnsi="Times New Roman"/>
                <w:bCs/>
                <w:color w:val="auto"/>
                <w:sz w:val="24"/>
                <w:szCs w:val="24"/>
              </w:rPr>
              <w:t>万亩。</w:t>
            </w:r>
          </w:p>
          <w:p w:rsidR="00DC2F14" w:rsidRDefault="00DC2F14" w:rsidP="00320244">
            <w:pPr>
              <w:widowControl w:val="0"/>
              <w:snapToGrid w:val="0"/>
              <w:spacing w:line="400" w:lineRule="exact"/>
              <w:ind w:firstLineChars="200" w:firstLine="480"/>
              <w:rPr>
                <w:rFonts w:ascii="Times New Roman" w:hAnsi="Times New Roman"/>
                <w:bCs/>
                <w:color w:val="auto"/>
              </w:rPr>
            </w:pPr>
            <w:r>
              <w:rPr>
                <w:rFonts w:ascii="Times New Roman" w:eastAsia="仿宋_GB2312" w:hAnsi="Times New Roman"/>
                <w:bCs/>
                <w:color w:val="auto"/>
                <w:sz w:val="24"/>
                <w:szCs w:val="24"/>
              </w:rPr>
              <w:t>4</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粮食节约减损行动。升级病虫害监测预警网络，推广高效低损收获机具、粮食烘干机及成套设施装备，病虫害损失率与水稻机收损失率控制在</w:t>
            </w:r>
            <w:r>
              <w:rPr>
                <w:rFonts w:ascii="Times New Roman" w:eastAsia="仿宋_GB2312" w:hAnsi="Times New Roman"/>
                <w:bCs/>
                <w:color w:val="auto"/>
                <w:sz w:val="24"/>
                <w:szCs w:val="24"/>
              </w:rPr>
              <w:t>5%</w:t>
            </w:r>
            <w:r>
              <w:rPr>
                <w:rFonts w:ascii="Times New Roman" w:eastAsia="仿宋_GB2312" w:hAnsi="Times New Roman"/>
                <w:bCs/>
                <w:color w:val="auto"/>
                <w:sz w:val="24"/>
                <w:szCs w:val="24"/>
              </w:rPr>
              <w:t>、</w:t>
            </w:r>
            <w:r>
              <w:rPr>
                <w:rFonts w:ascii="Times New Roman" w:eastAsia="仿宋_GB2312" w:hAnsi="Times New Roman"/>
                <w:bCs/>
                <w:color w:val="auto"/>
                <w:sz w:val="24"/>
                <w:szCs w:val="24"/>
              </w:rPr>
              <w:t>1.8%</w:t>
            </w:r>
            <w:r>
              <w:rPr>
                <w:rFonts w:ascii="Times New Roman" w:eastAsia="仿宋_GB2312" w:hAnsi="Times New Roman"/>
                <w:bCs/>
                <w:color w:val="auto"/>
                <w:sz w:val="24"/>
                <w:szCs w:val="24"/>
              </w:rPr>
              <w:t>以内。</w:t>
            </w:r>
          </w:p>
        </w:tc>
      </w:tr>
    </w:tbl>
    <w:p w:rsidR="00DC2F14" w:rsidRDefault="00DC2F14" w:rsidP="00DC2F14">
      <w:pPr>
        <w:pStyle w:val="1"/>
        <w:keepNext w:val="0"/>
        <w:keepLines w:val="0"/>
        <w:widowControl w:val="0"/>
        <w:snapToGrid w:val="0"/>
        <w:spacing w:before="0" w:after="0" w:line="600" w:lineRule="exact"/>
        <w:ind w:firstLineChars="200" w:firstLine="640"/>
        <w:contextualSpacing/>
        <w:rPr>
          <w:rFonts w:ascii="Times New Roman" w:eastAsia="黑体" w:hAnsi="Times New Roman"/>
          <w:b w:val="0"/>
          <w:color w:val="auto"/>
          <w:sz w:val="32"/>
          <w:szCs w:val="32"/>
        </w:rPr>
      </w:pPr>
      <w:bookmarkStart w:id="16" w:name="_Toc220017600"/>
      <w:bookmarkStart w:id="17" w:name="_Hlk229147654"/>
      <w:bookmarkEnd w:id="7"/>
      <w:bookmarkEnd w:id="8"/>
      <w:bookmarkEnd w:id="9"/>
      <w:bookmarkEnd w:id="10"/>
      <w:bookmarkEnd w:id="11"/>
      <w:bookmarkEnd w:id="12"/>
      <w:bookmarkEnd w:id="13"/>
      <w:bookmarkEnd w:id="14"/>
      <w:bookmarkEnd w:id="15"/>
      <w:r>
        <w:rPr>
          <w:rFonts w:ascii="Times New Roman" w:eastAsia="黑体" w:hAnsi="Times New Roman"/>
          <w:b w:val="0"/>
          <w:color w:val="auto"/>
          <w:sz w:val="32"/>
          <w:szCs w:val="32"/>
        </w:rPr>
        <w:t>三、协同推进常态化帮扶和农民持续增收</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（一）实施常态化精准帮扶</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仿宋_GB2312" w:eastAsia="仿宋_GB2312" w:hAnsi="仿宋_GB2312" w:cs="仿宋_GB2312" w:hint="eastAsia"/>
          <w:bCs/>
          <w:color w:val="auto"/>
        </w:rPr>
        <w:t>将常态化帮扶纳入乡村振兴战略统筹实施，保持帮扶政策总体稳定。合理确定防止返贫致贫对象认定和退出标准，做好原建档立卡脱贫人口分类管理。完善因灾返贫致贫快速响应机制。构建动态帮扶措施库，分类匹配帮扶对象。完善教育、健康帮扶政策，巩固“两不愁三保障”和饮水安全成果，加大易地搬迁后续扶持。科学确定农村最低生活保障标准，稳步提升救助水平，推动符合条件的农村防止返贫致贫对象和社会救助对象互认互纳。开展“志智双扶”行动，推进帮扶产业“四个一批”分类发展，发展到户产业。深化“雨露计划+”行动，用好乡村车间、公益性岗位等载体。健全帮扶项目资产分级分类长效管理机制。</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（二）支持欠发达地区加快发展</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lastRenderedPageBreak/>
        <w:t>认定省级乡村振兴重点帮扶县和一批防止返贫致贫任务重的村，健全激励约束和动态调整机制，加大财政、金融、土地、人才等政策支持，</w:t>
      </w:r>
      <w:r>
        <w:rPr>
          <w:rFonts w:ascii="仿宋_GB2312" w:eastAsia="仿宋_GB2312" w:hAnsi="仿宋_GB2312" w:cs="仿宋_GB2312" w:hint="eastAsia"/>
          <w:bCs/>
          <w:color w:val="auto"/>
        </w:rPr>
        <w:t>加强与经济相对发达地区产业、劳务等方面对口帮扶。开展医疗、教育系统人才“组团式”定点帮扶及工会消费帮扶。持续推进“万企兴万村”和社会组织助力乡村振兴行动</w:t>
      </w:r>
      <w:r>
        <w:rPr>
          <w:rFonts w:ascii="Times New Roman" w:eastAsia="仿宋_GB2312" w:hAnsi="Times New Roman"/>
          <w:bCs/>
          <w:color w:val="auto"/>
        </w:rPr>
        <w:t>。</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（三）促进农民稳定增收</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仿宋_GB2312" w:eastAsia="仿宋_GB2312" w:hAnsi="仿宋_GB2312" w:cs="仿宋_GB2312" w:hint="eastAsia"/>
          <w:bCs/>
          <w:color w:val="auto"/>
        </w:rPr>
        <w:t>开展新型农业经营主体提质增效带动小农户增收行动，推广订单生产、技术指导、保底收购等模式，健全产业扶持政策同带动农户数量、增收效益紧密挂钩的激励约束机制，推动农户嵌入产业发展全链条。推广“培训+产业+品牌”模式，构建分层分类的高素质农民和新型农业经营主体带头人培训体系。办好农村双创大赛、职业技能大赛等活动。加强产业带头人、农业经理人、农创客、“田秀才”、乡村工匠培育。实施偏远地区农民增收行动，</w:t>
      </w:r>
      <w:r>
        <w:rPr>
          <w:rFonts w:ascii="Times New Roman" w:eastAsia="仿宋_GB2312" w:hAnsi="Times New Roman"/>
          <w:bCs/>
          <w:color w:val="auto"/>
        </w:rPr>
        <w:t>完</w:t>
      </w:r>
      <w:r>
        <w:rPr>
          <w:rFonts w:ascii="仿宋_GB2312" w:eastAsia="仿宋_GB2312" w:hAnsi="仿宋_GB2312" w:cs="仿宋_GB2312" w:hint="eastAsia"/>
          <w:bCs/>
          <w:color w:val="auto"/>
        </w:rPr>
        <w:t>善“一县一策”，推进毗</w:t>
      </w:r>
      <w:r>
        <w:rPr>
          <w:rFonts w:ascii="Times New Roman" w:eastAsia="仿宋_GB2312" w:hAnsi="Times New Roman"/>
          <w:bCs/>
          <w:color w:val="auto"/>
        </w:rPr>
        <w:t>邻市县乡村产业协同、农民就业共促。</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（四）壮大新型农村集体经济</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健全农</w:t>
      </w:r>
      <w:r>
        <w:rPr>
          <w:rFonts w:ascii="仿宋_GB2312" w:eastAsia="仿宋_GB2312" w:hAnsi="仿宋_GB2312" w:cs="仿宋_GB2312" w:hint="eastAsia"/>
          <w:bCs/>
          <w:color w:val="auto"/>
        </w:rPr>
        <w:t>村集体“三资”监管长效机制，引导村级集体经济组织发展农旅融合、物业租赁、乡村服务等多元业态。推进农村产权交易管理制度改革，鼓励农户通过流转、作价入股、合作开发等方式，盘活闲置宅基地、农房及土地经营权等资产资源。探索推行“村</w:t>
      </w:r>
      <w:r w:rsidR="00CC1218">
        <w:rPr>
          <w:rFonts w:ascii="仿宋_GB2312" w:eastAsia="仿宋_GB2312" w:hAnsi="仿宋_GB2312" w:cs="仿宋_GB2312" w:hint="eastAsia"/>
          <w:bCs/>
          <w:color w:val="auto"/>
        </w:rPr>
        <w:t>级</w:t>
      </w:r>
      <w:r>
        <w:rPr>
          <w:rFonts w:ascii="仿宋_GB2312" w:eastAsia="仿宋_GB2312" w:hAnsi="仿宋_GB2312" w:cs="仿宋_GB2312" w:hint="eastAsia"/>
          <w:bCs/>
          <w:color w:val="auto"/>
        </w:rPr>
        <w:t>集体经济组织+</w:t>
      </w:r>
      <w:r w:rsidR="00CC1218">
        <w:rPr>
          <w:rFonts w:ascii="仿宋_GB2312" w:eastAsia="仿宋_GB2312" w:hAnsi="仿宋_GB2312" w:cs="仿宋_GB2312" w:hint="eastAsia"/>
          <w:bCs/>
          <w:color w:val="auto"/>
        </w:rPr>
        <w:t>农村集体经济</w:t>
      </w:r>
      <w:r>
        <w:rPr>
          <w:rFonts w:ascii="仿宋_GB2312" w:eastAsia="仿宋_GB2312" w:hAnsi="仿宋_GB2312" w:cs="仿宋_GB2312" w:hint="eastAsia"/>
          <w:bCs/>
          <w:color w:val="auto"/>
        </w:rPr>
        <w:t>经理人”运营机制，严控经营风险。健全省市县乡贯通的农村产权流转交易市场体系。实</w:t>
      </w:r>
      <w:r>
        <w:rPr>
          <w:rFonts w:ascii="仿宋_GB2312" w:eastAsia="仿宋_GB2312" w:hAnsi="仿宋_GB2312" w:cs="仿宋_GB2312" w:hint="eastAsia"/>
          <w:bCs/>
          <w:color w:val="auto"/>
        </w:rPr>
        <w:lastRenderedPageBreak/>
        <w:t>施村级债务化解专项行动，确保全省村级债务控制在合理区间。</w:t>
      </w:r>
    </w:p>
    <w:tbl>
      <w:tblPr>
        <w:tblStyle w:val="ae"/>
        <w:tblW w:w="0" w:type="auto"/>
        <w:tblLayout w:type="fixed"/>
        <w:tblLook w:val="0000"/>
      </w:tblPr>
      <w:tblGrid>
        <w:gridCol w:w="9169"/>
      </w:tblGrid>
      <w:tr w:rsidR="00DC2F14" w:rsidTr="00320244">
        <w:tc>
          <w:tcPr>
            <w:tcW w:w="9169" w:type="dxa"/>
          </w:tcPr>
          <w:p w:rsidR="00DC2F14" w:rsidRDefault="00DC2F14" w:rsidP="00320244">
            <w:pPr>
              <w:spacing w:line="400" w:lineRule="exact"/>
              <w:contextualSpacing/>
              <w:jc w:val="center"/>
              <w:rPr>
                <w:rFonts w:ascii="Times New Roman" w:eastAsia="黑体" w:hAnsi="Times New Roman"/>
                <w:bCs/>
                <w:color w:val="auto"/>
                <w:sz w:val="28"/>
                <w:szCs w:val="28"/>
              </w:rPr>
            </w:pPr>
            <w:bookmarkStart w:id="18" w:name="_Hlk231198541"/>
            <w:bookmarkEnd w:id="16"/>
            <w:bookmarkEnd w:id="17"/>
            <w:r>
              <w:rPr>
                <w:rFonts w:ascii="Times New Roman" w:eastAsia="黑体" w:hAnsi="Times New Roman"/>
                <w:bCs/>
                <w:color w:val="auto"/>
                <w:sz w:val="24"/>
                <w:szCs w:val="24"/>
              </w:rPr>
              <w:t>专栏</w:t>
            </w:r>
            <w:r>
              <w:rPr>
                <w:rFonts w:ascii="Times New Roman" w:eastAsia="黑体" w:hAnsi="Times New Roman"/>
                <w:bCs/>
                <w:color w:val="auto"/>
                <w:sz w:val="24"/>
                <w:szCs w:val="24"/>
              </w:rPr>
              <w:t xml:space="preserve">3  </w:t>
            </w:r>
            <w:r>
              <w:rPr>
                <w:rFonts w:ascii="Times New Roman" w:eastAsia="黑体" w:hAnsi="Times New Roman"/>
                <w:bCs/>
                <w:color w:val="auto"/>
                <w:sz w:val="24"/>
                <w:szCs w:val="24"/>
              </w:rPr>
              <w:t>千万农户增收共富</w:t>
            </w:r>
          </w:p>
        </w:tc>
      </w:tr>
      <w:tr w:rsidR="00DC2F14" w:rsidTr="00320244">
        <w:tc>
          <w:tcPr>
            <w:tcW w:w="9169" w:type="dxa"/>
          </w:tcPr>
          <w:p w:rsidR="00DC2F14" w:rsidRDefault="00DC2F14" w:rsidP="00320244">
            <w:pPr>
              <w:spacing w:line="40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hint="eastAsia"/>
                <w:bCs/>
                <w:color w:val="auto"/>
                <w:sz w:val="24"/>
                <w:szCs w:val="24"/>
              </w:rPr>
              <w:t>1</w:t>
            </w:r>
            <w:bookmarkStart w:id="19" w:name="_Hlk235794514"/>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乡村车间提质行动。</w:t>
            </w:r>
            <w:bookmarkStart w:id="20" w:name="_Hlk235781962"/>
            <w:bookmarkEnd w:id="19"/>
            <w:r>
              <w:rPr>
                <w:rFonts w:ascii="Times New Roman" w:eastAsia="仿宋_GB2312" w:hAnsi="Times New Roman"/>
                <w:bCs/>
                <w:color w:val="auto"/>
                <w:sz w:val="24"/>
                <w:szCs w:val="24"/>
              </w:rPr>
              <w:t>每年认定</w:t>
            </w:r>
            <w:r>
              <w:rPr>
                <w:rFonts w:ascii="Times New Roman" w:eastAsia="仿宋_GB2312" w:hAnsi="Times New Roman"/>
                <w:bCs/>
                <w:color w:val="auto"/>
                <w:sz w:val="24"/>
                <w:szCs w:val="24"/>
              </w:rPr>
              <w:t>60</w:t>
            </w:r>
            <w:r>
              <w:rPr>
                <w:rFonts w:ascii="Times New Roman" w:eastAsia="仿宋_GB2312" w:hAnsi="Times New Roman"/>
                <w:bCs/>
                <w:color w:val="auto"/>
                <w:sz w:val="24"/>
                <w:szCs w:val="24"/>
              </w:rPr>
              <w:t>家左右省级乡村车间，适当提升补贴标准。</w:t>
            </w:r>
          </w:p>
          <w:bookmarkEnd w:id="20"/>
          <w:p w:rsidR="00DC2F14" w:rsidRDefault="00DC2F14" w:rsidP="00320244">
            <w:pPr>
              <w:spacing w:line="40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hint="eastAsia"/>
                <w:bCs/>
                <w:color w:val="auto"/>
                <w:sz w:val="24"/>
                <w:szCs w:val="24"/>
              </w:rPr>
              <w:t>2</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庭院经济发展。省级每年支持</w:t>
            </w:r>
            <w:r>
              <w:rPr>
                <w:rFonts w:ascii="Times New Roman" w:eastAsia="仿宋_GB2312" w:hAnsi="Times New Roman"/>
                <w:bCs/>
                <w:color w:val="auto"/>
                <w:sz w:val="24"/>
                <w:szCs w:val="24"/>
              </w:rPr>
              <w:t>300</w:t>
            </w:r>
            <w:r>
              <w:rPr>
                <w:rFonts w:ascii="Times New Roman" w:eastAsia="仿宋_GB2312" w:hAnsi="Times New Roman"/>
                <w:bCs/>
                <w:color w:val="auto"/>
                <w:sz w:val="24"/>
                <w:szCs w:val="24"/>
              </w:rPr>
              <w:t>个左右庭院经济重点村。鼓励市县整合常态化帮扶资金，整村推进高质量庭院经济发展。</w:t>
            </w:r>
          </w:p>
          <w:p w:rsidR="00DC2F14" w:rsidRDefault="00DC2F14" w:rsidP="00320244">
            <w:pPr>
              <w:spacing w:line="40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hint="eastAsia"/>
                <w:bCs/>
                <w:color w:val="auto"/>
                <w:sz w:val="24"/>
                <w:szCs w:val="24"/>
              </w:rPr>
              <w:t>3</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农业农村创业促进行动。培养乡村产业带头人、农创客各</w:t>
            </w:r>
            <w:r>
              <w:rPr>
                <w:rFonts w:ascii="Times New Roman" w:eastAsia="仿宋_GB2312" w:hAnsi="Times New Roman"/>
                <w:bCs/>
                <w:color w:val="auto"/>
                <w:sz w:val="24"/>
                <w:szCs w:val="24"/>
              </w:rPr>
              <w:t>5000</w:t>
            </w:r>
            <w:r>
              <w:rPr>
                <w:rFonts w:ascii="Times New Roman" w:eastAsia="仿宋_GB2312" w:hAnsi="Times New Roman"/>
                <w:bCs/>
                <w:color w:val="auto"/>
                <w:sz w:val="24"/>
                <w:szCs w:val="24"/>
              </w:rPr>
              <w:t>名。</w:t>
            </w:r>
          </w:p>
          <w:p w:rsidR="00DC2F14" w:rsidRDefault="00DC2F14" w:rsidP="00320244">
            <w:pPr>
              <w:spacing w:line="400" w:lineRule="exact"/>
              <w:ind w:firstLineChars="200" w:firstLine="480"/>
              <w:contextualSpacing/>
              <w:rPr>
                <w:rFonts w:ascii="Times New Roman" w:eastAsia="仿宋_GB2312" w:hAnsi="Times New Roman"/>
                <w:bCs/>
                <w:color w:val="auto"/>
              </w:rPr>
            </w:pPr>
            <w:r>
              <w:rPr>
                <w:rFonts w:ascii="Times New Roman" w:eastAsia="仿宋_GB2312" w:hAnsi="Times New Roman" w:hint="eastAsia"/>
                <w:bCs/>
                <w:color w:val="auto"/>
                <w:sz w:val="24"/>
                <w:szCs w:val="24"/>
              </w:rPr>
              <w:t>4</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村级集体经济</w:t>
            </w:r>
            <w:r>
              <w:rPr>
                <w:rFonts w:ascii="Times New Roman" w:eastAsia="仿宋_GB2312" w:hAnsi="Times New Roman"/>
                <w:bCs/>
                <w:color w:val="auto"/>
                <w:sz w:val="24"/>
                <w:szCs w:val="24"/>
              </w:rPr>
              <w:t>“</w:t>
            </w:r>
            <w:r>
              <w:rPr>
                <w:rFonts w:ascii="Times New Roman" w:eastAsia="仿宋_GB2312" w:hAnsi="Times New Roman"/>
                <w:bCs/>
                <w:color w:val="auto"/>
                <w:sz w:val="24"/>
                <w:szCs w:val="24"/>
              </w:rPr>
              <w:t>千村扶持</w:t>
            </w:r>
            <w:r>
              <w:rPr>
                <w:rFonts w:ascii="Times New Roman" w:eastAsia="仿宋_GB2312" w:hAnsi="Times New Roman"/>
                <w:bCs/>
                <w:color w:val="auto"/>
                <w:sz w:val="24"/>
                <w:szCs w:val="24"/>
              </w:rPr>
              <w:t>”</w:t>
            </w:r>
            <w:r>
              <w:rPr>
                <w:rFonts w:ascii="Times New Roman" w:eastAsia="仿宋_GB2312" w:hAnsi="Times New Roman"/>
                <w:bCs/>
                <w:color w:val="auto"/>
                <w:sz w:val="24"/>
                <w:szCs w:val="24"/>
              </w:rPr>
              <w:t>计划。每年扶持</w:t>
            </w:r>
            <w:r>
              <w:rPr>
                <w:rFonts w:ascii="Times New Roman" w:eastAsia="仿宋_GB2312" w:hAnsi="Times New Roman"/>
                <w:bCs/>
                <w:color w:val="auto"/>
                <w:sz w:val="24"/>
                <w:szCs w:val="24"/>
              </w:rPr>
              <w:t>1200</w:t>
            </w:r>
            <w:r>
              <w:rPr>
                <w:rFonts w:ascii="Times New Roman" w:eastAsia="仿宋_GB2312" w:hAnsi="Times New Roman"/>
                <w:bCs/>
                <w:color w:val="auto"/>
                <w:sz w:val="24"/>
                <w:szCs w:val="24"/>
              </w:rPr>
              <w:t>个村发展资源经济、物业经济、产业经济、服务经济和旅游经济等新型农村集体经济。</w:t>
            </w:r>
          </w:p>
        </w:tc>
      </w:tr>
    </w:tbl>
    <w:bookmarkEnd w:id="18"/>
    <w:p w:rsidR="00DC2F14" w:rsidRDefault="00DC2F14" w:rsidP="00DC2F14">
      <w:pPr>
        <w:pStyle w:val="1"/>
        <w:keepNext w:val="0"/>
        <w:keepLines w:val="0"/>
        <w:widowControl w:val="0"/>
        <w:snapToGrid w:val="0"/>
        <w:spacing w:before="0" w:after="0" w:line="600" w:lineRule="exact"/>
        <w:ind w:firstLineChars="200" w:firstLine="640"/>
        <w:contextualSpacing/>
        <w:rPr>
          <w:rFonts w:ascii="Times New Roman" w:eastAsia="黑体" w:hAnsi="Times New Roman"/>
          <w:b w:val="0"/>
          <w:color w:val="auto"/>
          <w:sz w:val="32"/>
          <w:szCs w:val="32"/>
        </w:rPr>
      </w:pPr>
      <w:r>
        <w:rPr>
          <w:rFonts w:ascii="Times New Roman" w:eastAsia="黑体" w:hAnsi="Times New Roman"/>
          <w:b w:val="0"/>
          <w:color w:val="auto"/>
          <w:sz w:val="32"/>
          <w:szCs w:val="32"/>
        </w:rPr>
        <w:t>四、构建湖湘特色多元化食物供给体系</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（一）做强优质畜禽</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以永州市、郴州市、衡阳市、株洲市为优势区，娄底市、邵阳市、怀化市为潜力区，长沙市、湘潭市、岳阳市、常德市、益阳市、张家界市和湘西自治州为约束区，有序发展生猪产业。实施优质湘猪工程，打造长株潭肉类精深加工、洞庭湖区肉类外销、湘南粤港澳大湾区肉品供应基地，提升屠宰加工标准化智能化水平。</w:t>
      </w:r>
      <w:r>
        <w:rPr>
          <w:rFonts w:ascii="Times New Roman" w:eastAsia="仿宋_GB2312" w:hAnsi="Times New Roman" w:hint="eastAsia"/>
          <w:bCs/>
          <w:color w:val="auto"/>
        </w:rPr>
        <w:t>发展</w:t>
      </w:r>
      <w:r>
        <w:rPr>
          <w:rFonts w:ascii="Times New Roman" w:eastAsia="仿宋_GB2312" w:hAnsi="Times New Roman"/>
          <w:bCs/>
          <w:color w:val="auto"/>
        </w:rPr>
        <w:t>湘中、湘南、湘北、长株潭肉禽，湘北、湘南蛋禽，湘中、湘北、湘南水禽，湘中、湘南、湘西草食动物优势产区。实施奶业提升行动，鼓励乳品企业建设自有规模化牧场。发展肉鸽、家蚕、蜜蜂、肉兔、鹌鹑等地方特色养殖与加工。到</w:t>
      </w:r>
      <w:r>
        <w:rPr>
          <w:rFonts w:ascii="Times New Roman" w:eastAsia="仿宋_GB2312" w:hAnsi="Times New Roman"/>
          <w:bCs/>
          <w:color w:val="auto"/>
        </w:rPr>
        <w:t>2030</w:t>
      </w:r>
      <w:r>
        <w:rPr>
          <w:rFonts w:ascii="Times New Roman" w:eastAsia="仿宋_GB2312" w:hAnsi="Times New Roman"/>
          <w:bCs/>
          <w:color w:val="auto"/>
        </w:rPr>
        <w:t>年，力争生猪规模化加工屠宰率达</w:t>
      </w:r>
      <w:r>
        <w:rPr>
          <w:rFonts w:ascii="Times New Roman" w:eastAsia="仿宋_GB2312" w:hAnsi="Times New Roman"/>
          <w:bCs/>
          <w:color w:val="auto"/>
        </w:rPr>
        <w:t>60%</w:t>
      </w:r>
      <w:r>
        <w:rPr>
          <w:rFonts w:ascii="Times New Roman" w:eastAsia="仿宋_GB2312" w:hAnsi="Times New Roman"/>
          <w:bCs/>
          <w:color w:val="auto"/>
        </w:rPr>
        <w:t>，</w:t>
      </w:r>
      <w:r w:rsidR="00CC1218">
        <w:rPr>
          <w:rFonts w:ascii="Times New Roman" w:eastAsia="仿宋_GB2312" w:hAnsi="Times New Roman" w:hint="eastAsia"/>
          <w:bCs/>
          <w:color w:val="auto"/>
        </w:rPr>
        <w:t>主要</w:t>
      </w:r>
      <w:r>
        <w:rPr>
          <w:rFonts w:ascii="Times New Roman" w:eastAsia="仿宋_GB2312" w:hAnsi="Times New Roman"/>
          <w:bCs/>
          <w:color w:val="auto"/>
        </w:rPr>
        <w:t>畜禽养殖规模化率达</w:t>
      </w:r>
      <w:r>
        <w:rPr>
          <w:rFonts w:ascii="Times New Roman" w:eastAsia="仿宋_GB2312" w:hAnsi="Times New Roman"/>
          <w:bCs/>
          <w:color w:val="auto"/>
        </w:rPr>
        <w:t>83%</w:t>
      </w:r>
      <w:r>
        <w:rPr>
          <w:rFonts w:ascii="Times New Roman" w:eastAsia="仿宋_GB2312" w:hAnsi="Times New Roman"/>
          <w:bCs/>
          <w:color w:val="auto"/>
        </w:rPr>
        <w:t>。</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（二）做优食用油料</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仿宋_GB2312" w:eastAsia="仿宋_GB2312" w:hAnsi="仿宋_GB2312" w:cs="仿宋_GB2312" w:hint="eastAsia"/>
          <w:bCs/>
          <w:color w:val="auto"/>
        </w:rPr>
        <w:t>实施“油瓶子”提升行动，以油菜单产提升整建制推进县、油茶生产重点县为主，带动全省大面积均衡增产。拓展油菜的菜、蜜、肥等多元功能。探索“油菜+花生</w:t>
      </w:r>
      <w:r w:rsidR="00CC1218">
        <w:rPr>
          <w:rFonts w:ascii="仿宋_GB2312" w:eastAsia="仿宋_GB2312" w:hAnsi="仿宋_GB2312" w:cs="仿宋_GB2312" w:hint="eastAsia"/>
          <w:bCs/>
          <w:color w:val="auto"/>
        </w:rPr>
        <w:t>”“</w:t>
      </w:r>
      <w:r>
        <w:rPr>
          <w:rFonts w:ascii="仿宋_GB2312" w:eastAsia="仿宋_GB2312" w:hAnsi="仿宋_GB2312" w:cs="仿宋_GB2312" w:hint="eastAsia"/>
          <w:bCs/>
          <w:color w:val="auto"/>
        </w:rPr>
        <w:t>油菜+芝麻”等食用油</w:t>
      </w:r>
      <w:r>
        <w:rPr>
          <w:rFonts w:ascii="仿宋_GB2312" w:eastAsia="仿宋_GB2312" w:hAnsi="仿宋_GB2312" w:cs="仿宋_GB2312" w:hint="eastAsia"/>
          <w:bCs/>
          <w:color w:val="auto"/>
        </w:rPr>
        <w:lastRenderedPageBreak/>
        <w:t>料种植模式。在衡阳市、株洲市、永州市、邵阳市、怀化市，重点推行“油茶+林下经济”等复合经营模式，打造油茶产业集群。支持茶油化妆品、保健品、医药原料等精深加工和茶皂素、茶粕等</w:t>
      </w:r>
      <w:r>
        <w:rPr>
          <w:rFonts w:ascii="Times New Roman" w:eastAsia="仿宋_GB2312" w:hAnsi="Times New Roman"/>
          <w:bCs/>
          <w:color w:val="auto"/>
        </w:rPr>
        <w:t>副产物利用。到</w:t>
      </w:r>
      <w:r>
        <w:rPr>
          <w:rFonts w:ascii="Times New Roman" w:eastAsia="仿宋_GB2312" w:hAnsi="Times New Roman"/>
          <w:bCs/>
          <w:color w:val="auto"/>
        </w:rPr>
        <w:t>2030</w:t>
      </w:r>
      <w:r>
        <w:rPr>
          <w:rFonts w:ascii="Times New Roman" w:eastAsia="仿宋_GB2312" w:hAnsi="Times New Roman"/>
          <w:bCs/>
          <w:color w:val="auto"/>
        </w:rPr>
        <w:t>年，力争主要油料总产量达</w:t>
      </w:r>
      <w:r>
        <w:rPr>
          <w:rFonts w:ascii="Times New Roman" w:eastAsia="仿宋_GB2312" w:hAnsi="Times New Roman"/>
          <w:bCs/>
          <w:color w:val="auto"/>
        </w:rPr>
        <w:t>585</w:t>
      </w:r>
      <w:r>
        <w:rPr>
          <w:rFonts w:ascii="Times New Roman" w:eastAsia="仿宋_GB2312" w:hAnsi="Times New Roman"/>
          <w:bCs/>
          <w:color w:val="auto"/>
        </w:rPr>
        <w:t>万吨。</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（三）做大特色水产</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以环洞庭</w:t>
      </w:r>
      <w:r>
        <w:rPr>
          <w:rFonts w:ascii="仿宋_GB2312" w:eastAsia="仿宋_GB2312" w:hAnsi="仿宋_GB2312" w:cs="仿宋_GB2312" w:hint="eastAsia"/>
          <w:bCs/>
          <w:color w:val="auto"/>
        </w:rPr>
        <w:t>湖生态渔业产业带为核心，以长株潭都市休闲渔业、湘中南设施渔业为两翼，稳定大宗鱼，调优特色名贵鱼，发展名优鱼类和特种水产。支持洞庭湖区打造稻虾（蟹）融合种养优势区，湘西、湘南丘陵地区发展稻鱼（鳅）融合种养。实施池塘升级改造和尾水治理工程，新建和改造一批工厂化设施渔业养殖场。</w:t>
      </w:r>
      <w:r>
        <w:rPr>
          <w:rFonts w:ascii="Times New Roman" w:eastAsia="仿宋_GB2312" w:hAnsi="Times New Roman"/>
          <w:bCs/>
          <w:color w:val="auto"/>
        </w:rPr>
        <w:t>依法依规发展大水面生态渔业，推动传统大中型湖库养殖场生态化、休闲化改造。到</w:t>
      </w:r>
      <w:r>
        <w:rPr>
          <w:rFonts w:ascii="Times New Roman" w:eastAsia="仿宋_GB2312" w:hAnsi="Times New Roman"/>
          <w:bCs/>
          <w:color w:val="auto"/>
        </w:rPr>
        <w:t>2030</w:t>
      </w:r>
      <w:r>
        <w:rPr>
          <w:rFonts w:ascii="Times New Roman" w:eastAsia="仿宋_GB2312" w:hAnsi="Times New Roman"/>
          <w:bCs/>
          <w:color w:val="auto"/>
        </w:rPr>
        <w:t>年，力争水产品总产量达</w:t>
      </w:r>
      <w:r>
        <w:rPr>
          <w:rFonts w:ascii="Times New Roman" w:eastAsia="仿宋_GB2312" w:hAnsi="Times New Roman"/>
          <w:bCs/>
          <w:color w:val="auto"/>
        </w:rPr>
        <w:t>360</w:t>
      </w:r>
      <w:r>
        <w:rPr>
          <w:rFonts w:ascii="Times New Roman" w:eastAsia="仿宋_GB2312" w:hAnsi="Times New Roman"/>
          <w:bCs/>
          <w:color w:val="auto"/>
        </w:rPr>
        <w:t>万吨。</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（四）做精蔬菜水果</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支持环洞庭湖地区提升蔬菜机械化水平，长株潭地区发展设施蔬菜，湘南地区发展外向型蔬菜，湘中地区发展蔬菜精深加工，武陵</w:t>
      </w:r>
      <w:r>
        <w:rPr>
          <w:rFonts w:ascii="仿宋_GB2312" w:eastAsia="仿宋_GB2312" w:hAnsi="仿宋_GB2312" w:cs="仿宋_GB2312" w:hint="eastAsia"/>
          <w:bCs/>
          <w:color w:val="auto"/>
        </w:rPr>
        <w:t>山和罗霄山脉发展高山蔬菜。推进老旧低效温室大棚改造，加快培育净菜产业，提升发酵菜加工智能化水平。发展干制、预制蔬菜等新业态，扩大大宗、特色珍稀食用菌种植面积。加快建设“赣南—湘南—桂北柑橘带”“鄂西—湘西宽皮柑橘带”国家优势产业带和南岭、雪峰、武陵山脉柑橘优势区，推广促早、延迟栽培模式，扩大加工型柑橘品种规模。推进同纬度地区水果引育繁推一体化中心建设，加快低产低效果园改造。支持水果智能</w:t>
      </w:r>
      <w:r>
        <w:rPr>
          <w:rFonts w:ascii="仿宋_GB2312" w:eastAsia="仿宋_GB2312" w:hAnsi="仿宋_GB2312" w:cs="仿宋_GB2312" w:hint="eastAsia"/>
          <w:bCs/>
          <w:color w:val="auto"/>
        </w:rPr>
        <w:lastRenderedPageBreak/>
        <w:t>检测、分选、包装，深挖果汁、果酱、果皮等多元产</w:t>
      </w:r>
      <w:r>
        <w:rPr>
          <w:rFonts w:ascii="Times New Roman" w:eastAsia="仿宋_GB2312" w:hAnsi="Times New Roman"/>
          <w:bCs/>
          <w:color w:val="auto"/>
        </w:rPr>
        <w:t>品价值。到</w:t>
      </w:r>
      <w:r>
        <w:rPr>
          <w:rFonts w:ascii="Times New Roman" w:eastAsia="仿宋_GB2312" w:hAnsi="Times New Roman"/>
          <w:bCs/>
          <w:color w:val="auto"/>
        </w:rPr>
        <w:t>2030</w:t>
      </w:r>
      <w:r>
        <w:rPr>
          <w:rFonts w:ascii="Times New Roman" w:eastAsia="仿宋_GB2312" w:hAnsi="Times New Roman"/>
          <w:bCs/>
          <w:color w:val="auto"/>
        </w:rPr>
        <w:t>年，力争蔬菜产量达</w:t>
      </w:r>
      <w:r>
        <w:rPr>
          <w:rFonts w:ascii="Times New Roman" w:eastAsia="仿宋_GB2312" w:hAnsi="Times New Roman"/>
          <w:bCs/>
          <w:color w:val="auto"/>
        </w:rPr>
        <w:t>5958</w:t>
      </w:r>
      <w:r>
        <w:rPr>
          <w:rFonts w:ascii="Times New Roman" w:eastAsia="仿宋_GB2312" w:hAnsi="Times New Roman"/>
          <w:bCs/>
          <w:color w:val="auto"/>
        </w:rPr>
        <w:t>万吨，水果产量达</w:t>
      </w:r>
      <w:r>
        <w:rPr>
          <w:rFonts w:ascii="Times New Roman" w:eastAsia="仿宋_GB2312" w:hAnsi="Times New Roman"/>
          <w:bCs/>
          <w:color w:val="auto"/>
        </w:rPr>
        <w:t>880</w:t>
      </w:r>
      <w:r>
        <w:rPr>
          <w:rFonts w:ascii="Times New Roman" w:eastAsia="仿宋_GB2312" w:hAnsi="Times New Roman"/>
          <w:bCs/>
          <w:color w:val="auto"/>
        </w:rPr>
        <w:t>万吨。</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（五）做响湖南茶叶</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建设</w:t>
      </w:r>
      <w:r>
        <w:rPr>
          <w:rFonts w:ascii="仿宋_GB2312" w:eastAsia="仿宋_GB2312" w:hAnsi="仿宋_GB2312" w:cs="仿宋_GB2312" w:hint="eastAsia"/>
          <w:bCs/>
          <w:color w:val="auto"/>
        </w:rPr>
        <w:t>武陵、雪峰、南岭、罗霄山脉及环洞庭湖五大茶叶优势产区，形成“一山一特色、一区一主业”空间格局。开展茶树优异种质资源挖掘保护，建设工厂化无性系茶树良种繁育基地和标准化优质茶园基地，提升茶叶加工机械化、数智化、标准化水平。整合“五彩湘茶”品牌资源，构建湘茶品牌协同传播生态圈。提升茶叶深加工综合利用率，加快开发新式茶饮、茶食品、茶保健品、茶日化用品等功能性衍生产品。发展茶文化传播、科普研学、健</w:t>
      </w:r>
      <w:r>
        <w:rPr>
          <w:rFonts w:ascii="Times New Roman" w:eastAsia="仿宋_GB2312" w:hAnsi="Times New Roman"/>
          <w:bCs/>
          <w:color w:val="auto"/>
        </w:rPr>
        <w:t>康养生等新业态。到</w:t>
      </w:r>
      <w:r>
        <w:rPr>
          <w:rFonts w:ascii="Times New Roman" w:eastAsia="仿宋_GB2312" w:hAnsi="Times New Roman"/>
          <w:bCs/>
          <w:color w:val="auto"/>
        </w:rPr>
        <w:t>2030</w:t>
      </w:r>
      <w:r>
        <w:rPr>
          <w:rFonts w:ascii="Times New Roman" w:eastAsia="仿宋_GB2312" w:hAnsi="Times New Roman"/>
          <w:bCs/>
          <w:color w:val="auto"/>
        </w:rPr>
        <w:t>年，力争茶叶总产量达</w:t>
      </w:r>
      <w:r>
        <w:rPr>
          <w:rFonts w:ascii="Times New Roman" w:eastAsia="仿宋_GB2312" w:hAnsi="Times New Roman"/>
          <w:bCs/>
          <w:color w:val="auto"/>
        </w:rPr>
        <w:t>37</w:t>
      </w:r>
      <w:r>
        <w:rPr>
          <w:rFonts w:ascii="Times New Roman" w:eastAsia="仿宋_GB2312" w:hAnsi="Times New Roman"/>
          <w:bCs/>
          <w:color w:val="auto"/>
        </w:rPr>
        <w:t>万吨。</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（六）做新森林食物</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支持</w:t>
      </w:r>
      <w:r>
        <w:rPr>
          <w:rFonts w:ascii="仿宋_GB2312" w:eastAsia="仿宋_GB2312" w:hAnsi="仿宋_GB2312" w:cs="仿宋_GB2312" w:hint="eastAsia"/>
          <w:bCs/>
          <w:color w:val="auto"/>
        </w:rPr>
        <w:t>武陵—雪峰山片区推广道地品种“林药一体化”模式，南岭—罗霄山片区对接粤港澳大湾区布局特色定制药园，环洞庭湖平原区发展“药—渔—游”立体农业。推进国家中药材种质资源库</w:t>
      </w:r>
      <w:r>
        <w:rPr>
          <w:rFonts w:ascii="Times New Roman" w:eastAsia="仿宋_GB2312" w:hAnsi="Times New Roman"/>
          <w:bCs/>
          <w:color w:val="auto"/>
        </w:rPr>
        <w:t>建设。挖</w:t>
      </w:r>
      <w:r>
        <w:rPr>
          <w:rFonts w:ascii="仿宋_GB2312" w:eastAsia="仿宋_GB2312" w:hAnsi="仿宋_GB2312" w:cs="仿宋_GB2312" w:hint="eastAsia"/>
          <w:bCs/>
          <w:color w:val="auto"/>
        </w:rPr>
        <w:t>掘黄精、百合、杜仲、湘莲等药食同源品种潜力，开发药膳预制菜、健康饮品及日化产品。推广森林复合经营模式，支持林药、林菌、林菜、林下浆果种植和林禽、林畜、林蜂等林下养殖，提高核桃、板栗、枣类等经济林效益。推进“以竹代塑、以竹代木、以竹代粮”。</w:t>
      </w:r>
      <w:r>
        <w:rPr>
          <w:rFonts w:ascii="Times New Roman" w:eastAsia="仿宋_GB2312" w:hAnsi="Times New Roman"/>
          <w:bCs/>
          <w:color w:val="auto"/>
        </w:rPr>
        <w:t>到</w:t>
      </w:r>
      <w:r>
        <w:rPr>
          <w:rFonts w:ascii="Times New Roman" w:eastAsia="仿宋_GB2312" w:hAnsi="Times New Roman"/>
          <w:bCs/>
          <w:color w:val="auto"/>
        </w:rPr>
        <w:t>2030</w:t>
      </w:r>
      <w:r>
        <w:rPr>
          <w:rFonts w:ascii="Times New Roman" w:eastAsia="仿宋_GB2312" w:hAnsi="Times New Roman"/>
          <w:bCs/>
          <w:color w:val="auto"/>
        </w:rPr>
        <w:t>年，力争中药材种植面积达</w:t>
      </w:r>
      <w:r>
        <w:rPr>
          <w:rFonts w:ascii="Times New Roman" w:eastAsia="仿宋_GB2312" w:hAnsi="Times New Roman"/>
          <w:bCs/>
          <w:color w:val="auto"/>
        </w:rPr>
        <w:t>550</w:t>
      </w:r>
      <w:r>
        <w:rPr>
          <w:rFonts w:ascii="Times New Roman" w:eastAsia="仿宋_GB2312" w:hAnsi="Times New Roman"/>
          <w:bCs/>
          <w:color w:val="auto"/>
        </w:rPr>
        <w:t>万亩，森林食物产量达</w:t>
      </w:r>
      <w:r>
        <w:rPr>
          <w:rFonts w:ascii="Times New Roman" w:eastAsia="仿宋_GB2312" w:hAnsi="Times New Roman"/>
          <w:bCs/>
          <w:color w:val="auto"/>
        </w:rPr>
        <w:t>1250</w:t>
      </w:r>
      <w:r>
        <w:rPr>
          <w:rFonts w:ascii="Times New Roman" w:eastAsia="仿宋_GB2312" w:hAnsi="Times New Roman"/>
          <w:bCs/>
          <w:color w:val="auto"/>
        </w:rPr>
        <w:t>万吨。</w:t>
      </w:r>
    </w:p>
    <w:tbl>
      <w:tblPr>
        <w:tblStyle w:val="ae"/>
        <w:tblW w:w="0" w:type="auto"/>
        <w:jc w:val="center"/>
        <w:tblLayout w:type="fixed"/>
        <w:tblLook w:val="0000"/>
      </w:tblPr>
      <w:tblGrid>
        <w:gridCol w:w="9169"/>
      </w:tblGrid>
      <w:tr w:rsidR="00DC2F14" w:rsidTr="00320244">
        <w:trPr>
          <w:jc w:val="center"/>
        </w:trPr>
        <w:tc>
          <w:tcPr>
            <w:tcW w:w="9169" w:type="dxa"/>
          </w:tcPr>
          <w:p w:rsidR="00DC2F14" w:rsidRDefault="00DC2F14" w:rsidP="00320244">
            <w:pPr>
              <w:spacing w:line="400" w:lineRule="exact"/>
              <w:contextualSpacing/>
              <w:jc w:val="center"/>
              <w:rPr>
                <w:rFonts w:ascii="Times New Roman" w:eastAsia="黑体" w:hAnsi="Times New Roman"/>
                <w:bCs/>
                <w:color w:val="auto"/>
                <w:sz w:val="24"/>
                <w:szCs w:val="24"/>
              </w:rPr>
            </w:pPr>
            <w:bookmarkStart w:id="21" w:name="_Hlk231198556"/>
            <w:r>
              <w:rPr>
                <w:rFonts w:ascii="Times New Roman" w:eastAsia="黑体" w:hAnsi="Times New Roman"/>
                <w:bCs/>
                <w:color w:val="auto"/>
                <w:sz w:val="24"/>
                <w:szCs w:val="24"/>
              </w:rPr>
              <w:t>专栏</w:t>
            </w:r>
            <w:r>
              <w:rPr>
                <w:rFonts w:ascii="Times New Roman" w:eastAsia="黑体" w:hAnsi="Times New Roman"/>
                <w:bCs/>
                <w:color w:val="auto"/>
                <w:sz w:val="24"/>
                <w:szCs w:val="24"/>
              </w:rPr>
              <w:t xml:space="preserve">4  </w:t>
            </w:r>
            <w:r>
              <w:rPr>
                <w:rFonts w:ascii="Times New Roman" w:eastAsia="黑体" w:hAnsi="Times New Roman"/>
                <w:bCs/>
                <w:color w:val="auto"/>
                <w:sz w:val="24"/>
                <w:szCs w:val="24"/>
              </w:rPr>
              <w:t>多元化食物供给体系建设</w:t>
            </w:r>
          </w:p>
        </w:tc>
      </w:tr>
      <w:tr w:rsidR="00DC2F14" w:rsidTr="00320244">
        <w:trPr>
          <w:jc w:val="center"/>
        </w:trPr>
        <w:tc>
          <w:tcPr>
            <w:tcW w:w="9169" w:type="dxa"/>
          </w:tcPr>
          <w:p w:rsidR="00DC2F14" w:rsidRDefault="00DC2F14" w:rsidP="00320244">
            <w:pPr>
              <w:spacing w:line="40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1</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屠宰加工能力提升行动。对</w:t>
            </w:r>
            <w:r>
              <w:rPr>
                <w:rFonts w:ascii="Times New Roman" w:eastAsia="仿宋_GB2312" w:hAnsi="Times New Roman"/>
                <w:bCs/>
                <w:color w:val="auto"/>
                <w:sz w:val="24"/>
                <w:szCs w:val="24"/>
              </w:rPr>
              <w:t>20</w:t>
            </w:r>
            <w:r>
              <w:rPr>
                <w:rFonts w:ascii="Times New Roman" w:eastAsia="仿宋_GB2312" w:hAnsi="Times New Roman"/>
                <w:bCs/>
                <w:color w:val="auto"/>
                <w:sz w:val="24"/>
                <w:szCs w:val="24"/>
              </w:rPr>
              <w:t>个左右畜禽屠宰加工场（厂）的屠宰加工设施、</w:t>
            </w:r>
            <w:r>
              <w:rPr>
                <w:rFonts w:ascii="Times New Roman" w:eastAsia="仿宋_GB2312" w:hAnsi="Times New Roman"/>
                <w:bCs/>
                <w:color w:val="auto"/>
                <w:sz w:val="24"/>
                <w:szCs w:val="24"/>
              </w:rPr>
              <w:lastRenderedPageBreak/>
              <w:t>洗消设施和冷链体系进行提质改造。</w:t>
            </w:r>
          </w:p>
          <w:p w:rsidR="00DC2F14" w:rsidRDefault="00DC2F14" w:rsidP="00320244">
            <w:pPr>
              <w:spacing w:line="40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2</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油茶产业提质扩面行动。开展油茶提质扩面，全省油茶林面积稳定在</w:t>
            </w:r>
            <w:r>
              <w:rPr>
                <w:rFonts w:ascii="Times New Roman" w:eastAsia="仿宋_GB2312" w:hAnsi="Times New Roman"/>
                <w:bCs/>
                <w:color w:val="auto"/>
                <w:sz w:val="24"/>
                <w:szCs w:val="24"/>
              </w:rPr>
              <w:t>2400</w:t>
            </w:r>
            <w:r>
              <w:rPr>
                <w:rFonts w:ascii="Times New Roman" w:eastAsia="仿宋_GB2312" w:hAnsi="Times New Roman"/>
                <w:bCs/>
                <w:color w:val="auto"/>
                <w:sz w:val="24"/>
                <w:szCs w:val="24"/>
              </w:rPr>
              <w:t>万亩左右，茶油年产能达</w:t>
            </w:r>
            <w:r>
              <w:rPr>
                <w:rFonts w:ascii="Times New Roman" w:eastAsia="仿宋_GB2312" w:hAnsi="Times New Roman"/>
                <w:bCs/>
                <w:color w:val="auto"/>
                <w:sz w:val="24"/>
                <w:szCs w:val="24"/>
              </w:rPr>
              <w:t>56</w:t>
            </w:r>
            <w:r>
              <w:rPr>
                <w:rFonts w:ascii="Times New Roman" w:eastAsia="仿宋_GB2312" w:hAnsi="Times New Roman"/>
                <w:bCs/>
                <w:color w:val="auto"/>
                <w:sz w:val="24"/>
                <w:szCs w:val="24"/>
              </w:rPr>
              <w:t>万吨。</w:t>
            </w:r>
          </w:p>
          <w:p w:rsidR="00DC2F14" w:rsidRDefault="00DC2F14" w:rsidP="00320244">
            <w:pPr>
              <w:spacing w:line="40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3</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水果优质种源创新行动。引进国内外</w:t>
            </w:r>
            <w:r>
              <w:rPr>
                <w:rFonts w:ascii="Times New Roman" w:eastAsia="仿宋_GB2312" w:hAnsi="Times New Roman"/>
                <w:bCs/>
                <w:color w:val="auto"/>
                <w:sz w:val="24"/>
                <w:szCs w:val="24"/>
              </w:rPr>
              <w:t>“</w:t>
            </w:r>
            <w:r>
              <w:rPr>
                <w:rFonts w:ascii="Times New Roman" w:eastAsia="仿宋_GB2312" w:hAnsi="Times New Roman"/>
                <w:bCs/>
                <w:color w:val="auto"/>
                <w:sz w:val="24"/>
                <w:szCs w:val="24"/>
              </w:rPr>
              <w:t>新、奇、特、优</w:t>
            </w:r>
            <w:r>
              <w:rPr>
                <w:rFonts w:ascii="Times New Roman" w:eastAsia="仿宋_GB2312" w:hAnsi="Times New Roman"/>
                <w:bCs/>
                <w:color w:val="auto"/>
                <w:sz w:val="24"/>
                <w:szCs w:val="24"/>
              </w:rPr>
              <w:t>”</w:t>
            </w:r>
            <w:r>
              <w:rPr>
                <w:rFonts w:ascii="Times New Roman" w:eastAsia="仿宋_GB2312" w:hAnsi="Times New Roman"/>
                <w:bCs/>
                <w:color w:val="auto"/>
                <w:sz w:val="24"/>
                <w:szCs w:val="24"/>
              </w:rPr>
              <w:t>水果品种</w:t>
            </w:r>
            <w:r>
              <w:rPr>
                <w:rFonts w:ascii="Times New Roman" w:eastAsia="仿宋_GB2312" w:hAnsi="Times New Roman"/>
                <w:bCs/>
                <w:color w:val="auto"/>
                <w:sz w:val="24"/>
                <w:szCs w:val="24"/>
              </w:rPr>
              <w:t>500</w:t>
            </w:r>
            <w:r>
              <w:rPr>
                <w:rFonts w:ascii="Times New Roman" w:eastAsia="仿宋_GB2312" w:hAnsi="Times New Roman"/>
                <w:bCs/>
                <w:color w:val="auto"/>
                <w:sz w:val="24"/>
                <w:szCs w:val="24"/>
              </w:rPr>
              <w:t>个，加快水果优良品种评价、选育与推广。</w:t>
            </w:r>
          </w:p>
          <w:p w:rsidR="00DC2F14" w:rsidRDefault="00DC2F14" w:rsidP="00320244">
            <w:pPr>
              <w:spacing w:line="40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4</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茶叶产业提质升级行动。推进一批低产老龄茶园良种化改造，配套建设一批茶叶机械化、数智化、标准化加工生产线。</w:t>
            </w:r>
          </w:p>
          <w:p w:rsidR="00DC2F14" w:rsidRDefault="00DC2F14" w:rsidP="00320244">
            <w:pPr>
              <w:spacing w:line="400" w:lineRule="exact"/>
              <w:ind w:firstLineChars="200" w:firstLine="480"/>
              <w:contextualSpacing/>
              <w:rPr>
                <w:rFonts w:ascii="Times New Roman" w:hAnsi="Times New Roman"/>
                <w:bCs/>
                <w:color w:val="auto"/>
              </w:rPr>
            </w:pPr>
            <w:r>
              <w:rPr>
                <w:rFonts w:ascii="Times New Roman" w:eastAsia="仿宋_GB2312" w:hAnsi="Times New Roman"/>
                <w:bCs/>
                <w:color w:val="auto"/>
                <w:sz w:val="24"/>
                <w:szCs w:val="24"/>
              </w:rPr>
              <w:t>5</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森林食物供给能力提升行动。打造一批林下经济重点县、中药材优势品种集散交易中心，新建一批林下经济基地、中药材绿色优质农产品生产基地。</w:t>
            </w:r>
          </w:p>
        </w:tc>
      </w:tr>
    </w:tbl>
    <w:bookmarkEnd w:id="21"/>
    <w:p w:rsidR="00DC2F14" w:rsidRDefault="00DC2F14" w:rsidP="00DC2F14">
      <w:pPr>
        <w:pStyle w:val="1"/>
        <w:keepNext w:val="0"/>
        <w:keepLines w:val="0"/>
        <w:widowControl w:val="0"/>
        <w:snapToGrid w:val="0"/>
        <w:spacing w:before="0" w:after="0" w:line="600" w:lineRule="exact"/>
        <w:ind w:firstLineChars="200" w:firstLine="640"/>
        <w:contextualSpacing/>
        <w:rPr>
          <w:rFonts w:ascii="Times New Roman" w:eastAsia="黑体" w:hAnsi="Times New Roman"/>
          <w:b w:val="0"/>
          <w:color w:val="auto"/>
          <w:sz w:val="32"/>
          <w:szCs w:val="32"/>
        </w:rPr>
      </w:pPr>
      <w:r>
        <w:rPr>
          <w:rFonts w:ascii="Times New Roman" w:eastAsia="黑体" w:hAnsi="Times New Roman"/>
          <w:b w:val="0"/>
          <w:color w:val="auto"/>
          <w:sz w:val="32"/>
          <w:szCs w:val="32"/>
        </w:rPr>
        <w:lastRenderedPageBreak/>
        <w:t>五、全面升级绿色农产品及食品加工产业链</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（一）推进农业发展绿色转型</w:t>
      </w:r>
    </w:p>
    <w:p w:rsidR="00DC2F14" w:rsidRDefault="00DC2F14" w:rsidP="00DC2F14">
      <w:pPr>
        <w:widowControl w:val="0"/>
        <w:snapToGrid w:val="0"/>
        <w:spacing w:line="600" w:lineRule="exact"/>
        <w:ind w:firstLineChars="200" w:firstLine="640"/>
        <w:contextualSpacing/>
        <w:rPr>
          <w:rFonts w:ascii="仿宋_GB2312" w:eastAsia="仿宋_GB2312" w:hAnsi="仿宋_GB2312" w:cs="仿宋_GB2312"/>
          <w:bCs/>
          <w:color w:val="auto"/>
        </w:rPr>
      </w:pPr>
      <w:r>
        <w:rPr>
          <w:rFonts w:ascii="Times New Roman" w:eastAsia="仿宋_GB2312" w:hAnsi="Times New Roman"/>
          <w:bCs/>
          <w:color w:val="auto"/>
        </w:rPr>
        <w:t>巩固洞庭湖</w:t>
      </w:r>
      <w:r>
        <w:rPr>
          <w:rFonts w:ascii="Times New Roman" w:eastAsia="仿宋_GB2312" w:hAnsi="Times New Roman" w:hint="eastAsia"/>
          <w:bCs/>
          <w:color w:val="auto"/>
        </w:rPr>
        <w:t>区域</w:t>
      </w:r>
      <w:r>
        <w:rPr>
          <w:rFonts w:ascii="Times New Roman" w:eastAsia="仿宋_GB2312" w:hAnsi="Times New Roman"/>
          <w:bCs/>
          <w:color w:val="auto"/>
        </w:rPr>
        <w:t>山水林田湖草</w:t>
      </w:r>
      <w:r>
        <w:rPr>
          <w:rFonts w:ascii="Times New Roman" w:eastAsia="仿宋_GB2312" w:hAnsi="Times New Roman" w:hint="eastAsia"/>
          <w:bCs/>
          <w:color w:val="auto"/>
        </w:rPr>
        <w:t>沙</w:t>
      </w:r>
      <w:r>
        <w:rPr>
          <w:rFonts w:ascii="Times New Roman" w:eastAsia="仿宋_GB2312" w:hAnsi="Times New Roman"/>
          <w:bCs/>
          <w:color w:val="auto"/>
        </w:rPr>
        <w:t>一体化保护和修复成果，推进长江十年禁渔，推动生态</w:t>
      </w:r>
      <w:r>
        <w:rPr>
          <w:rFonts w:ascii="仿宋_GB2312" w:eastAsia="仿宋_GB2312" w:hAnsi="仿宋_GB2312" w:cs="仿宋_GB2312" w:hint="eastAsia"/>
          <w:bCs/>
          <w:color w:val="auto"/>
        </w:rPr>
        <w:t>清洁小流域建设，健全外来入侵物种监测预警、防控处置体系。推进化肥、化学农药、兽药减量控害增效，集成推广粪肥规范化还田利用等技术模式。构建秸秆还田、离田“三区一圈”区域布局。推进地膜科学使用回收和农药包装废弃物回收处理。加强农业绿色发展水平监测和农兽药残留、重金属污染等农产品质量安全风险隐患排查。实施农产品碳足迹管理和农业领域碳交易。开展新一轮农业资源调查与区划。</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（二）促进农产品加工业提质增效</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引导</w:t>
      </w:r>
      <w:r>
        <w:rPr>
          <w:rFonts w:ascii="仿宋_GB2312" w:eastAsia="仿宋_GB2312" w:hAnsi="仿宋_GB2312" w:cs="仿宋_GB2312" w:hint="eastAsia"/>
          <w:bCs/>
          <w:color w:val="auto"/>
        </w:rPr>
        <w:t>农民合作社、家庭农场发展清洗分选、预冷分级、烘干储藏、鲜切预制等产地初加工，商贸流通企业、农产品交易市场布局建设农产品商品化处理中心。实施农产品加工设施设备改造升级行动。</w:t>
      </w:r>
      <w:bookmarkStart w:id="22" w:name="_Hlk235793658"/>
      <w:r>
        <w:rPr>
          <w:rFonts w:ascii="仿宋_GB2312" w:eastAsia="仿宋_GB2312" w:hAnsi="仿宋_GB2312" w:cs="仿宋_GB2312" w:hint="eastAsia"/>
          <w:bCs/>
          <w:color w:val="auto"/>
        </w:rPr>
        <w:t>招引一批农业产业化优势龙头企业，培育一批行业头部企业</w:t>
      </w:r>
      <w:bookmarkEnd w:id="22"/>
      <w:r>
        <w:rPr>
          <w:rFonts w:ascii="仿宋_GB2312" w:eastAsia="仿宋_GB2312" w:hAnsi="仿宋_GB2312" w:cs="仿宋_GB2312" w:hint="eastAsia"/>
          <w:bCs/>
          <w:color w:val="auto"/>
        </w:rPr>
        <w:t>。推广“优势主导特色产业—重点县—龙头企业—平台基</w:t>
      </w:r>
      <w:r>
        <w:rPr>
          <w:rFonts w:ascii="仿宋_GB2312" w:eastAsia="仿宋_GB2312" w:hAnsi="仿宋_GB2312" w:cs="仿宋_GB2312" w:hint="eastAsia"/>
          <w:bCs/>
          <w:color w:val="auto"/>
        </w:rPr>
        <w:lastRenderedPageBreak/>
        <w:t>地”联动发展模式，加快把农业建成现代化大产</w:t>
      </w:r>
      <w:r>
        <w:rPr>
          <w:rFonts w:ascii="Times New Roman" w:eastAsia="仿宋_GB2312" w:hAnsi="Times New Roman"/>
          <w:bCs/>
          <w:color w:val="auto"/>
        </w:rPr>
        <w:t>业。到</w:t>
      </w:r>
      <w:r>
        <w:rPr>
          <w:rFonts w:ascii="Times New Roman" w:eastAsia="仿宋_GB2312" w:hAnsi="Times New Roman"/>
          <w:bCs/>
          <w:color w:val="auto"/>
        </w:rPr>
        <w:t>2030</w:t>
      </w:r>
      <w:r>
        <w:rPr>
          <w:rFonts w:ascii="Times New Roman" w:eastAsia="仿宋_GB2312" w:hAnsi="Times New Roman"/>
          <w:bCs/>
          <w:color w:val="auto"/>
        </w:rPr>
        <w:t>年，力争省级及以上农业产业化龙头企业达</w:t>
      </w:r>
      <w:r>
        <w:rPr>
          <w:rFonts w:ascii="Times New Roman" w:eastAsia="仿宋_GB2312" w:hAnsi="Times New Roman"/>
          <w:bCs/>
          <w:color w:val="auto"/>
        </w:rPr>
        <w:t>1500</w:t>
      </w:r>
      <w:r>
        <w:rPr>
          <w:rFonts w:ascii="Times New Roman" w:eastAsia="仿宋_GB2312" w:hAnsi="Times New Roman"/>
          <w:bCs/>
          <w:color w:val="auto"/>
        </w:rPr>
        <w:t>家，绿色农产品及食品加工业规上企业营收突破万亿元。</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（三）加快发展农产品现代流通业</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bookmarkStart w:id="23" w:name="_Hlk235793955"/>
      <w:r>
        <w:rPr>
          <w:rFonts w:ascii="Times New Roman" w:eastAsia="仿宋_GB2312" w:hAnsi="Times New Roman"/>
          <w:bCs/>
          <w:color w:val="auto"/>
        </w:rPr>
        <w:t>建立</w:t>
      </w:r>
      <w:r>
        <w:rPr>
          <w:rFonts w:ascii="仿宋_GB2312" w:eastAsia="仿宋_GB2312" w:hAnsi="仿宋_GB2312" w:cs="仿宋_GB2312" w:hint="eastAsia"/>
          <w:bCs/>
          <w:color w:val="auto"/>
        </w:rPr>
        <w:t>农产品产供销信息共享平台，配套建设规模化优质原料供应基地</w:t>
      </w:r>
      <w:bookmarkEnd w:id="23"/>
      <w:r>
        <w:rPr>
          <w:rFonts w:ascii="仿宋_GB2312" w:eastAsia="仿宋_GB2312" w:hAnsi="仿宋_GB2312" w:cs="仿宋_GB2312" w:hint="eastAsia"/>
          <w:bCs/>
          <w:color w:val="auto"/>
        </w:rPr>
        <w:t>。依托大型农产品产地市场及物流园区等，建设一批农产品骨干冷链物流基地；在县城和重点乡镇建设一批产地冷链集配中心。支持大型零售企业、批发市场等建设农产品产地市场，优化鲜活农产品运输“绿色通道”政策。规范发展农产品直播带货</w:t>
      </w:r>
      <w:r>
        <w:rPr>
          <w:rFonts w:ascii="Times New Roman" w:eastAsia="仿宋_GB2312" w:hAnsi="Times New Roman"/>
          <w:bCs/>
          <w:color w:val="auto"/>
        </w:rPr>
        <w:t>。</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（四）做优创响湖南农业品牌</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构建</w:t>
      </w:r>
      <w:r>
        <w:rPr>
          <w:rFonts w:ascii="仿宋_GB2312" w:eastAsia="仿宋_GB2312" w:hAnsi="仿宋_GB2312" w:cs="仿宋_GB2312" w:hint="eastAsia"/>
          <w:bCs/>
          <w:color w:val="auto"/>
        </w:rPr>
        <w:t>以“洞庭香+”平台为统揽、县域精品品牌+企业和产品品牌为支撑的农产品品牌体系。支持企业通过兼并重组、品牌联盟等方式，整合品牌资源。支持区域公用品牌建立品牌评价体系与授权标准，健全品牌准入、退出和监管机制；定期发布品牌农产</w:t>
      </w:r>
      <w:r>
        <w:rPr>
          <w:rFonts w:ascii="Times New Roman" w:eastAsia="仿宋_GB2312" w:hAnsi="Times New Roman"/>
          <w:bCs/>
          <w:color w:val="auto"/>
        </w:rPr>
        <w:t>品质</w:t>
      </w:r>
      <w:r>
        <w:rPr>
          <w:rFonts w:ascii="仿宋_GB2312" w:eastAsia="仿宋_GB2312" w:hAnsi="仿宋_GB2312" w:cs="仿宋_GB2312" w:hint="eastAsia"/>
          <w:bCs/>
          <w:color w:val="auto"/>
        </w:rPr>
        <w:t>量安全状况报告。实施“一品牌一故事”培育和农产</w:t>
      </w:r>
      <w:r>
        <w:rPr>
          <w:rFonts w:ascii="Times New Roman" w:eastAsia="仿宋_GB2312" w:hAnsi="Times New Roman"/>
          <w:bCs/>
          <w:color w:val="auto"/>
        </w:rPr>
        <w:t>品出口品牌精品培育计划，每年举办不少于</w:t>
      </w:r>
      <w:r>
        <w:rPr>
          <w:rFonts w:ascii="Times New Roman" w:eastAsia="仿宋_GB2312" w:hAnsi="Times New Roman"/>
          <w:bCs/>
          <w:color w:val="auto"/>
        </w:rPr>
        <w:t>2</w:t>
      </w:r>
      <w:r>
        <w:rPr>
          <w:rFonts w:ascii="Times New Roman" w:eastAsia="仿宋_GB2312" w:hAnsi="Times New Roman"/>
          <w:bCs/>
          <w:color w:val="auto"/>
        </w:rPr>
        <w:t>场区域品牌推介、产销对接活动。推动品牌农产品进入高端餐饮市场和集体用餐单位。</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（五）促进农村一二三产业深度融合</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strike/>
          <w:color w:val="auto"/>
        </w:rPr>
      </w:pPr>
      <w:r>
        <w:rPr>
          <w:rFonts w:ascii="Times New Roman" w:eastAsia="仿宋_GB2312" w:hAnsi="Times New Roman"/>
          <w:bCs/>
          <w:color w:val="auto"/>
        </w:rPr>
        <w:t>建设</w:t>
      </w:r>
      <w:r>
        <w:rPr>
          <w:rFonts w:ascii="仿宋_GB2312" w:eastAsia="仿宋_GB2312" w:hAnsi="仿宋_GB2312" w:cs="仿宋_GB2312" w:hint="eastAsia"/>
          <w:bCs/>
          <w:color w:val="auto"/>
        </w:rPr>
        <w:t>一批规模体量大、跨县市区的特色农业产业集群，统筹布局链条完整、联农带农紧密的现代农业产业园和农业现代化示范区，标准原料基地、集约加工转化的农业产业强镇，产品小而</w:t>
      </w:r>
      <w:r>
        <w:rPr>
          <w:rFonts w:ascii="仿宋_GB2312" w:eastAsia="仿宋_GB2312" w:hAnsi="仿宋_GB2312" w:cs="仿宋_GB2312" w:hint="eastAsia"/>
          <w:bCs/>
          <w:color w:val="auto"/>
        </w:rPr>
        <w:lastRenderedPageBreak/>
        <w:t>特、业态精而美的专业村。挖掘湖南乡村自然禀赋、文化底蕴，培育农事体验、农业工厂、认养农业等新业态，推动特色农产品转化为旅游商品。打造休闲农业和乡村旅游精品线路，办好“味道湖南”美食季、农民丰收节、乡村文化旅游节等活</w:t>
      </w:r>
      <w:r>
        <w:rPr>
          <w:rFonts w:ascii="Times New Roman" w:eastAsia="仿宋_GB2312" w:hAnsi="Times New Roman"/>
          <w:bCs/>
          <w:color w:val="auto"/>
        </w:rPr>
        <w:t>动。</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（六）推</w:t>
      </w:r>
      <w:r>
        <w:rPr>
          <w:rFonts w:ascii="楷体_GB2312" w:eastAsia="楷体_GB2312" w:hAnsi="楷体_GB2312" w:cs="楷体_GB2312" w:hint="eastAsia"/>
          <w:b w:val="0"/>
          <w:bCs/>
          <w:sz w:val="32"/>
          <w:szCs w:val="32"/>
        </w:rPr>
        <w:t>动农业“走出去”</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提质</w:t>
      </w:r>
      <w:r>
        <w:rPr>
          <w:rFonts w:ascii="仿宋_GB2312" w:eastAsia="仿宋_GB2312" w:hAnsi="仿宋_GB2312" w:cs="仿宋_GB2312" w:hint="eastAsia"/>
          <w:bCs/>
          <w:color w:val="auto"/>
        </w:rPr>
        <w:t>供粤港澳大湾区“菜篮子”生产基地。培育农产品出口高质量发展县和优质主体，支持建设农产品销售海外基地、公共海外仓及跨境电商产业园、仓储物流中心，推动农机、种业和技术整体输出。加快建设中非经贸深度合作先行区，实施对非“兴农惠民伙伴行动”。鼓励引进现代农业优质服务，开展新技术合作</w:t>
      </w:r>
      <w:r>
        <w:rPr>
          <w:rFonts w:ascii="Times New Roman" w:eastAsia="仿宋_GB2312" w:hAnsi="Times New Roman"/>
          <w:bCs/>
          <w:color w:val="auto"/>
        </w:rPr>
        <w:t>。</w:t>
      </w:r>
    </w:p>
    <w:p w:rsidR="00DC2F14" w:rsidRDefault="00DC2F14" w:rsidP="00DC2F14">
      <w:pPr>
        <w:pStyle w:val="23"/>
        <w:spacing w:after="0"/>
        <w:ind w:leftChars="0" w:left="0"/>
        <w:jc w:val="both"/>
        <w:rPr>
          <w:bCs/>
          <w:color w:val="auto"/>
        </w:rPr>
      </w:pPr>
      <w:r>
        <w:rPr>
          <w:rFonts w:ascii="Times New Roman" w:eastAsia="仿宋_GB2312" w:hAnsi="Times New Roman"/>
          <w:bCs/>
          <w:noProof/>
          <w:color w:val="auto"/>
        </w:rPr>
        <w:lastRenderedPageBreak/>
        <w:drawing>
          <wp:inline distT="0" distB="0" distL="0" distR="0">
            <wp:extent cx="5770880" cy="7306310"/>
            <wp:effectExtent l="19050" t="0" r="12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a:srcRect/>
                    <a:stretch>
                      <a:fillRect/>
                    </a:stretch>
                  </pic:blipFill>
                  <pic:spPr bwMode="auto">
                    <a:xfrm>
                      <a:off x="0" y="0"/>
                      <a:ext cx="5770880" cy="7306310"/>
                    </a:xfrm>
                    <a:prstGeom prst="rect">
                      <a:avLst/>
                    </a:prstGeom>
                    <a:noFill/>
                    <a:ln w="9525" cmpd="sng">
                      <a:noFill/>
                      <a:miter lim="800000"/>
                      <a:headEnd/>
                      <a:tailEnd/>
                    </a:ln>
                  </pic:spPr>
                </pic:pic>
              </a:graphicData>
            </a:graphic>
          </wp:inline>
        </w:drawing>
      </w:r>
    </w:p>
    <w:p w:rsidR="00DC2F14" w:rsidRDefault="00DC2F14" w:rsidP="00DC2F14">
      <w:pPr>
        <w:pStyle w:val="23"/>
        <w:spacing w:after="0"/>
        <w:ind w:leftChars="0" w:left="0"/>
        <w:jc w:val="center"/>
        <w:rPr>
          <w:bCs/>
          <w:color w:val="auto"/>
        </w:rPr>
      </w:pPr>
    </w:p>
    <w:p w:rsidR="00DC2F14" w:rsidRDefault="00DC2F14" w:rsidP="00DC2F14">
      <w:pPr>
        <w:pStyle w:val="23"/>
        <w:spacing w:after="0"/>
        <w:ind w:leftChars="0" w:left="0"/>
        <w:jc w:val="center"/>
        <w:rPr>
          <w:bCs/>
          <w:color w:val="auto"/>
        </w:rPr>
      </w:pPr>
    </w:p>
    <w:p w:rsidR="00DC2F14" w:rsidRDefault="00DC2F14" w:rsidP="00DC2F14">
      <w:pPr>
        <w:pStyle w:val="23"/>
        <w:spacing w:after="0"/>
        <w:ind w:leftChars="0" w:left="0"/>
        <w:jc w:val="center"/>
        <w:rPr>
          <w:bCs/>
          <w:color w:val="auto"/>
        </w:rPr>
      </w:pPr>
    </w:p>
    <w:p w:rsidR="00DC2F14" w:rsidRDefault="00DC2F14" w:rsidP="00DC2F14">
      <w:pPr>
        <w:pStyle w:val="23"/>
        <w:spacing w:after="0"/>
        <w:ind w:leftChars="0" w:left="0"/>
        <w:jc w:val="center"/>
        <w:rPr>
          <w:bCs/>
          <w:color w:val="auto"/>
        </w:rPr>
      </w:pPr>
    </w:p>
    <w:p w:rsidR="00DC2F14" w:rsidRDefault="00DC2F14" w:rsidP="00DC2F14">
      <w:pPr>
        <w:pStyle w:val="23"/>
        <w:spacing w:after="0"/>
        <w:ind w:leftChars="0" w:left="0"/>
        <w:jc w:val="center"/>
        <w:rPr>
          <w:bCs/>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14"/>
      </w:tblGrid>
      <w:tr w:rsidR="00DC2F14" w:rsidTr="00320244">
        <w:trPr>
          <w:trHeight w:val="470"/>
          <w:jc w:val="center"/>
        </w:trPr>
        <w:tc>
          <w:tcPr>
            <w:tcW w:w="9014"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360" w:lineRule="exact"/>
              <w:contextualSpacing/>
              <w:jc w:val="center"/>
              <w:rPr>
                <w:rFonts w:ascii="Times New Roman" w:eastAsia="方正仿宋_GB2312" w:hAnsi="Times New Roman"/>
                <w:bCs/>
                <w:color w:val="auto"/>
              </w:rPr>
            </w:pPr>
            <w:bookmarkStart w:id="24" w:name="_Hlk231198565"/>
            <w:r>
              <w:rPr>
                <w:rFonts w:ascii="Times New Roman" w:eastAsia="黑体" w:hAnsi="Times New Roman"/>
                <w:bCs/>
                <w:color w:val="auto"/>
                <w:sz w:val="24"/>
                <w:szCs w:val="24"/>
              </w:rPr>
              <w:t>专栏</w:t>
            </w:r>
            <w:r>
              <w:rPr>
                <w:rFonts w:ascii="Times New Roman" w:eastAsia="黑体" w:hAnsi="Times New Roman"/>
                <w:bCs/>
                <w:color w:val="auto"/>
                <w:sz w:val="24"/>
                <w:szCs w:val="24"/>
              </w:rPr>
              <w:t xml:space="preserve">5  </w:t>
            </w:r>
            <w:r>
              <w:rPr>
                <w:rFonts w:ascii="Times New Roman" w:eastAsia="黑体" w:hAnsi="Times New Roman"/>
                <w:bCs/>
                <w:color w:val="auto"/>
                <w:sz w:val="24"/>
                <w:szCs w:val="24"/>
              </w:rPr>
              <w:t>千亿优势特色产业升级</w:t>
            </w:r>
          </w:p>
        </w:tc>
      </w:tr>
      <w:tr w:rsidR="00DC2F14" w:rsidTr="00320244">
        <w:trPr>
          <w:trHeight w:val="35"/>
          <w:jc w:val="center"/>
        </w:trPr>
        <w:tc>
          <w:tcPr>
            <w:tcW w:w="9014" w:type="dxa"/>
            <w:tcBorders>
              <w:top w:val="single" w:sz="4" w:space="0" w:color="auto"/>
              <w:left w:val="single" w:sz="4" w:space="0" w:color="auto"/>
              <w:bottom w:val="single" w:sz="4" w:space="0" w:color="auto"/>
              <w:right w:val="single" w:sz="4" w:space="0" w:color="auto"/>
            </w:tcBorders>
          </w:tcPr>
          <w:p w:rsidR="00DC2F14" w:rsidRDefault="00DC2F14" w:rsidP="00320244">
            <w:pPr>
              <w:spacing w:line="360" w:lineRule="exact"/>
              <w:ind w:firstLineChars="200" w:firstLine="480"/>
              <w:contextualSpacing/>
              <w:rPr>
                <w:rFonts w:ascii="仿宋_GB2312" w:eastAsia="仿宋_GB2312" w:hAnsi="仿宋_GB2312" w:cs="仿宋_GB2312"/>
                <w:bCs/>
                <w:color w:val="auto"/>
                <w:sz w:val="24"/>
                <w:szCs w:val="24"/>
              </w:rPr>
            </w:pPr>
            <w:r>
              <w:rPr>
                <w:rFonts w:ascii="Times New Roman" w:eastAsia="仿宋_GB2312" w:hAnsi="Times New Roman"/>
                <w:bCs/>
                <w:color w:val="auto"/>
                <w:sz w:val="24"/>
                <w:szCs w:val="24"/>
              </w:rPr>
              <w:t>1</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优化产业布局。强化长</w:t>
            </w:r>
            <w:r>
              <w:rPr>
                <w:rFonts w:ascii="仿宋_GB2312" w:eastAsia="仿宋_GB2312" w:hAnsi="仿宋_GB2312" w:cs="仿宋_GB2312" w:hint="eastAsia"/>
                <w:bCs/>
                <w:color w:val="auto"/>
                <w:sz w:val="24"/>
                <w:szCs w:val="24"/>
              </w:rPr>
              <w:t>株潭都市、环洞庭湖平湖、湘中南丘岗节水、武陵雪峰南岭罗霄山脉山地四大农业区功能定位，建立县域农业主导特色产业推荐目录、重要农产品优势县和特色产业“四区二十带”布局。</w:t>
            </w:r>
          </w:p>
          <w:p w:rsidR="00DC2F14" w:rsidRDefault="00DC2F14" w:rsidP="00320244">
            <w:pPr>
              <w:spacing w:line="36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2</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绿色优质农产品供给提升行动。力争建设省级绿色优质农产品生产基地</w:t>
            </w:r>
            <w:r>
              <w:rPr>
                <w:rFonts w:ascii="Times New Roman" w:eastAsia="仿宋_GB2312" w:hAnsi="Times New Roman"/>
                <w:bCs/>
                <w:color w:val="auto"/>
                <w:sz w:val="24"/>
                <w:szCs w:val="24"/>
              </w:rPr>
              <w:t>2000</w:t>
            </w:r>
            <w:r>
              <w:rPr>
                <w:rFonts w:ascii="Times New Roman" w:eastAsia="仿宋_GB2312" w:hAnsi="Times New Roman"/>
                <w:bCs/>
                <w:color w:val="auto"/>
                <w:sz w:val="24"/>
                <w:szCs w:val="24"/>
              </w:rPr>
              <w:t>个、国家农产品质量安全风险评估技术中心</w:t>
            </w:r>
            <w:r>
              <w:rPr>
                <w:rFonts w:ascii="Times New Roman" w:eastAsia="仿宋_GB2312" w:hAnsi="Times New Roman"/>
                <w:bCs/>
                <w:color w:val="auto"/>
                <w:sz w:val="24"/>
                <w:szCs w:val="24"/>
              </w:rPr>
              <w:t>2</w:t>
            </w:r>
            <w:r>
              <w:rPr>
                <w:rFonts w:ascii="Times New Roman" w:eastAsia="仿宋_GB2312" w:hAnsi="Times New Roman"/>
                <w:bCs/>
                <w:color w:val="auto"/>
                <w:sz w:val="24"/>
                <w:szCs w:val="24"/>
              </w:rPr>
              <w:t>个、风险监测站</w:t>
            </w:r>
            <w:r>
              <w:rPr>
                <w:rFonts w:ascii="Times New Roman" w:eastAsia="仿宋_GB2312" w:hAnsi="Times New Roman"/>
                <w:bCs/>
                <w:color w:val="auto"/>
                <w:sz w:val="24"/>
                <w:szCs w:val="24"/>
              </w:rPr>
              <w:t>25</w:t>
            </w:r>
            <w:r>
              <w:rPr>
                <w:rFonts w:ascii="Times New Roman" w:eastAsia="仿宋_GB2312" w:hAnsi="Times New Roman"/>
                <w:bCs/>
                <w:color w:val="auto"/>
                <w:sz w:val="24"/>
                <w:szCs w:val="24"/>
              </w:rPr>
              <w:t>个。绿色、有机、名特优新和地理标志农产品总数达</w:t>
            </w:r>
            <w:r>
              <w:rPr>
                <w:rFonts w:ascii="Times New Roman" w:eastAsia="仿宋_GB2312" w:hAnsi="Times New Roman"/>
                <w:bCs/>
                <w:color w:val="auto"/>
                <w:sz w:val="24"/>
                <w:szCs w:val="24"/>
              </w:rPr>
              <w:t>5000</w:t>
            </w:r>
            <w:r>
              <w:rPr>
                <w:rFonts w:ascii="Times New Roman" w:eastAsia="仿宋_GB2312" w:hAnsi="Times New Roman"/>
                <w:bCs/>
                <w:color w:val="auto"/>
                <w:sz w:val="24"/>
                <w:szCs w:val="24"/>
              </w:rPr>
              <w:t>个，绿色食品原料供应地面积达</w:t>
            </w:r>
            <w:r>
              <w:rPr>
                <w:rFonts w:ascii="Times New Roman" w:eastAsia="仿宋_GB2312" w:hAnsi="Times New Roman"/>
                <w:bCs/>
                <w:color w:val="auto"/>
                <w:sz w:val="24"/>
                <w:szCs w:val="24"/>
              </w:rPr>
              <w:t>600</w:t>
            </w:r>
            <w:r>
              <w:rPr>
                <w:rFonts w:ascii="Times New Roman" w:eastAsia="仿宋_GB2312" w:hAnsi="Times New Roman"/>
                <w:bCs/>
                <w:color w:val="auto"/>
                <w:sz w:val="24"/>
                <w:szCs w:val="24"/>
              </w:rPr>
              <w:t>万亩。</w:t>
            </w:r>
          </w:p>
          <w:p w:rsidR="00DC2F14" w:rsidRDefault="00DC2F14" w:rsidP="00320244">
            <w:pPr>
              <w:spacing w:line="360" w:lineRule="exact"/>
              <w:ind w:firstLineChars="200" w:firstLine="480"/>
              <w:contextualSpacing/>
              <w:rPr>
                <w:rFonts w:ascii="Times New Roman" w:hAnsi="Times New Roman"/>
                <w:bCs/>
                <w:color w:val="auto"/>
              </w:rPr>
            </w:pPr>
            <w:r>
              <w:rPr>
                <w:rFonts w:ascii="Times New Roman" w:eastAsia="仿宋_GB2312" w:hAnsi="Times New Roman"/>
                <w:bCs/>
                <w:color w:val="auto"/>
                <w:sz w:val="24"/>
                <w:szCs w:val="24"/>
              </w:rPr>
              <w:t>3</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秸秆综合利用能力提升。打造</w:t>
            </w:r>
            <w:r>
              <w:rPr>
                <w:rFonts w:ascii="Times New Roman" w:eastAsia="仿宋_GB2312" w:hAnsi="Times New Roman"/>
                <w:bCs/>
                <w:color w:val="auto"/>
                <w:sz w:val="24"/>
                <w:szCs w:val="24"/>
              </w:rPr>
              <w:t>10</w:t>
            </w:r>
            <w:r>
              <w:rPr>
                <w:rFonts w:ascii="Times New Roman" w:eastAsia="仿宋_GB2312" w:hAnsi="Times New Roman"/>
                <w:bCs/>
                <w:color w:val="auto"/>
                <w:sz w:val="24"/>
                <w:szCs w:val="24"/>
              </w:rPr>
              <w:t>个以上产业化利用样板县，培育</w:t>
            </w:r>
            <w:r>
              <w:rPr>
                <w:rFonts w:ascii="Times New Roman" w:eastAsia="仿宋_GB2312" w:hAnsi="Times New Roman"/>
                <w:bCs/>
                <w:color w:val="auto"/>
                <w:sz w:val="24"/>
                <w:szCs w:val="24"/>
              </w:rPr>
              <w:t>100</w:t>
            </w:r>
            <w:r>
              <w:rPr>
                <w:rFonts w:ascii="Times New Roman" w:eastAsia="仿宋_GB2312" w:hAnsi="Times New Roman"/>
                <w:bCs/>
                <w:color w:val="auto"/>
                <w:sz w:val="24"/>
                <w:szCs w:val="24"/>
              </w:rPr>
              <w:t>家年可利用能力万吨以上的规模主体，建设</w:t>
            </w:r>
            <w:r>
              <w:rPr>
                <w:rFonts w:ascii="Times New Roman" w:eastAsia="仿宋_GB2312" w:hAnsi="Times New Roman"/>
                <w:bCs/>
                <w:color w:val="auto"/>
                <w:sz w:val="24"/>
                <w:szCs w:val="24"/>
              </w:rPr>
              <w:t>1000</w:t>
            </w:r>
            <w:r>
              <w:rPr>
                <w:rFonts w:ascii="Times New Roman" w:eastAsia="仿宋_GB2312" w:hAnsi="Times New Roman"/>
                <w:bCs/>
                <w:color w:val="auto"/>
                <w:sz w:val="24"/>
                <w:szCs w:val="24"/>
              </w:rPr>
              <w:t>个秸秆收储网点。每年支持岳阳市、益阳市、常德市各建设</w:t>
            </w:r>
            <w:r>
              <w:rPr>
                <w:rFonts w:ascii="Times New Roman" w:eastAsia="仿宋_GB2312" w:hAnsi="Times New Roman"/>
                <w:bCs/>
                <w:color w:val="auto"/>
                <w:sz w:val="24"/>
                <w:szCs w:val="24"/>
              </w:rPr>
              <w:t>1</w:t>
            </w:r>
            <w:r>
              <w:rPr>
                <w:rFonts w:ascii="Times New Roman" w:eastAsia="仿宋_GB2312" w:hAnsi="Times New Roman"/>
                <w:bCs/>
                <w:color w:val="auto"/>
                <w:sz w:val="24"/>
                <w:szCs w:val="24"/>
              </w:rPr>
              <w:t>个秸秆饲料化利用试点县。</w:t>
            </w:r>
          </w:p>
          <w:p w:rsidR="00DC2F14" w:rsidRDefault="00DC2F14" w:rsidP="00320244">
            <w:pPr>
              <w:spacing w:line="36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4</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农产品加工业提升行动。支持农产品加工企业加快技术改造和装备升级。力争产值过</w:t>
            </w:r>
            <w:r>
              <w:rPr>
                <w:rFonts w:ascii="Times New Roman" w:eastAsia="仿宋_GB2312" w:hAnsi="Times New Roman"/>
                <w:bCs/>
                <w:color w:val="auto"/>
                <w:sz w:val="24"/>
                <w:szCs w:val="24"/>
              </w:rPr>
              <w:t>10</w:t>
            </w:r>
            <w:r>
              <w:rPr>
                <w:rFonts w:ascii="Times New Roman" w:eastAsia="仿宋_GB2312" w:hAnsi="Times New Roman"/>
                <w:bCs/>
                <w:color w:val="auto"/>
                <w:sz w:val="24"/>
                <w:szCs w:val="24"/>
              </w:rPr>
              <w:t>亿元、过</w:t>
            </w:r>
            <w:r>
              <w:rPr>
                <w:rFonts w:ascii="Times New Roman" w:eastAsia="仿宋_GB2312" w:hAnsi="Times New Roman"/>
                <w:bCs/>
                <w:color w:val="auto"/>
                <w:sz w:val="24"/>
                <w:szCs w:val="24"/>
              </w:rPr>
              <w:t>100</w:t>
            </w:r>
            <w:r>
              <w:rPr>
                <w:rFonts w:ascii="Times New Roman" w:eastAsia="仿宋_GB2312" w:hAnsi="Times New Roman"/>
                <w:bCs/>
                <w:color w:val="auto"/>
                <w:sz w:val="24"/>
                <w:szCs w:val="24"/>
              </w:rPr>
              <w:t>亿元的农业</w:t>
            </w:r>
            <w:r w:rsidR="00CC1218">
              <w:rPr>
                <w:rFonts w:ascii="Times New Roman" w:eastAsia="仿宋_GB2312" w:hAnsi="Times New Roman" w:hint="eastAsia"/>
                <w:bCs/>
                <w:color w:val="auto"/>
                <w:sz w:val="24"/>
                <w:szCs w:val="24"/>
              </w:rPr>
              <w:t>产业化</w:t>
            </w:r>
            <w:r>
              <w:rPr>
                <w:rFonts w:ascii="Times New Roman" w:eastAsia="仿宋_GB2312" w:hAnsi="Times New Roman"/>
                <w:bCs/>
                <w:color w:val="auto"/>
                <w:sz w:val="24"/>
                <w:szCs w:val="24"/>
              </w:rPr>
              <w:t>龙头企业分别达到</w:t>
            </w:r>
            <w:r>
              <w:rPr>
                <w:rFonts w:ascii="Times New Roman" w:eastAsia="仿宋_GB2312" w:hAnsi="Times New Roman"/>
                <w:bCs/>
                <w:color w:val="auto"/>
                <w:sz w:val="24"/>
                <w:szCs w:val="24"/>
              </w:rPr>
              <w:t>200</w:t>
            </w:r>
            <w:r>
              <w:rPr>
                <w:rFonts w:ascii="Times New Roman" w:eastAsia="仿宋_GB2312" w:hAnsi="Times New Roman"/>
                <w:bCs/>
                <w:color w:val="auto"/>
                <w:sz w:val="24"/>
                <w:szCs w:val="24"/>
              </w:rPr>
              <w:t>家、</w:t>
            </w:r>
            <w:r>
              <w:rPr>
                <w:rFonts w:ascii="Times New Roman" w:eastAsia="仿宋_GB2312" w:hAnsi="Times New Roman"/>
                <w:bCs/>
                <w:color w:val="auto"/>
                <w:sz w:val="24"/>
                <w:szCs w:val="24"/>
              </w:rPr>
              <w:t>10</w:t>
            </w:r>
            <w:r>
              <w:rPr>
                <w:rFonts w:ascii="Times New Roman" w:eastAsia="仿宋_GB2312" w:hAnsi="Times New Roman"/>
                <w:bCs/>
                <w:color w:val="auto"/>
                <w:sz w:val="24"/>
                <w:szCs w:val="24"/>
              </w:rPr>
              <w:t>家。</w:t>
            </w:r>
          </w:p>
          <w:p w:rsidR="00DC2F14" w:rsidRDefault="00DC2F14" w:rsidP="00320244">
            <w:pPr>
              <w:spacing w:line="36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5</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农业产业融合。力争新建国家级农业优势特色产业集群</w:t>
            </w:r>
            <w:r>
              <w:rPr>
                <w:rFonts w:ascii="Times New Roman" w:eastAsia="仿宋_GB2312" w:hAnsi="Times New Roman"/>
                <w:bCs/>
                <w:color w:val="auto"/>
                <w:sz w:val="24"/>
                <w:szCs w:val="24"/>
              </w:rPr>
              <w:t>5</w:t>
            </w:r>
            <w:r>
              <w:rPr>
                <w:rFonts w:ascii="Times New Roman" w:eastAsia="仿宋_GB2312" w:hAnsi="Times New Roman"/>
                <w:bCs/>
                <w:color w:val="auto"/>
                <w:sz w:val="24"/>
                <w:szCs w:val="24"/>
              </w:rPr>
              <w:t>个、省级</w:t>
            </w:r>
            <w:r>
              <w:rPr>
                <w:rFonts w:ascii="Times New Roman" w:eastAsia="仿宋_GB2312" w:hAnsi="Times New Roman"/>
                <w:bCs/>
                <w:color w:val="auto"/>
                <w:sz w:val="24"/>
                <w:szCs w:val="24"/>
              </w:rPr>
              <w:t>6</w:t>
            </w:r>
            <w:r>
              <w:rPr>
                <w:rFonts w:ascii="Times New Roman" w:eastAsia="仿宋_GB2312" w:hAnsi="Times New Roman"/>
                <w:bCs/>
                <w:color w:val="auto"/>
                <w:sz w:val="24"/>
                <w:szCs w:val="24"/>
              </w:rPr>
              <w:t>个，国家级现代农业产业园</w:t>
            </w:r>
            <w:r>
              <w:rPr>
                <w:rFonts w:ascii="Times New Roman" w:eastAsia="仿宋_GB2312" w:hAnsi="Times New Roman"/>
                <w:bCs/>
                <w:color w:val="auto"/>
                <w:sz w:val="24"/>
                <w:szCs w:val="24"/>
              </w:rPr>
              <w:t>10</w:t>
            </w:r>
            <w:r>
              <w:rPr>
                <w:rFonts w:ascii="Times New Roman" w:eastAsia="仿宋_GB2312" w:hAnsi="Times New Roman"/>
                <w:bCs/>
                <w:color w:val="auto"/>
                <w:sz w:val="24"/>
                <w:szCs w:val="24"/>
              </w:rPr>
              <w:t>个、省级</w:t>
            </w:r>
            <w:r>
              <w:rPr>
                <w:rFonts w:ascii="Times New Roman" w:eastAsia="仿宋_GB2312" w:hAnsi="Times New Roman"/>
                <w:bCs/>
                <w:color w:val="auto"/>
                <w:sz w:val="24"/>
                <w:szCs w:val="24"/>
              </w:rPr>
              <w:t>50</w:t>
            </w:r>
            <w:r>
              <w:rPr>
                <w:rFonts w:ascii="Times New Roman" w:eastAsia="仿宋_GB2312" w:hAnsi="Times New Roman"/>
                <w:bCs/>
                <w:color w:val="auto"/>
                <w:sz w:val="24"/>
                <w:szCs w:val="24"/>
              </w:rPr>
              <w:t>个，国家级农业产业强镇</w:t>
            </w:r>
            <w:r>
              <w:rPr>
                <w:rFonts w:ascii="Times New Roman" w:eastAsia="仿宋_GB2312" w:hAnsi="Times New Roman"/>
                <w:bCs/>
                <w:color w:val="auto"/>
                <w:sz w:val="24"/>
                <w:szCs w:val="24"/>
              </w:rPr>
              <w:t>40</w:t>
            </w:r>
            <w:r>
              <w:rPr>
                <w:rFonts w:ascii="Times New Roman" w:eastAsia="仿宋_GB2312" w:hAnsi="Times New Roman"/>
                <w:bCs/>
                <w:color w:val="auto"/>
                <w:sz w:val="24"/>
                <w:szCs w:val="24"/>
              </w:rPr>
              <w:t>个、省级</w:t>
            </w:r>
            <w:r>
              <w:rPr>
                <w:rFonts w:ascii="Times New Roman" w:eastAsia="仿宋_GB2312" w:hAnsi="Times New Roman"/>
                <w:bCs/>
                <w:color w:val="auto"/>
                <w:sz w:val="24"/>
                <w:szCs w:val="24"/>
              </w:rPr>
              <w:t>100</w:t>
            </w:r>
            <w:r>
              <w:rPr>
                <w:rFonts w:ascii="Times New Roman" w:eastAsia="仿宋_GB2312" w:hAnsi="Times New Roman"/>
                <w:bCs/>
                <w:color w:val="auto"/>
                <w:sz w:val="24"/>
                <w:szCs w:val="24"/>
              </w:rPr>
              <w:t>个。</w:t>
            </w:r>
          </w:p>
          <w:p w:rsidR="00DC2F14" w:rsidRDefault="00DC2F14" w:rsidP="00320244">
            <w:pPr>
              <w:spacing w:line="36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6</w:t>
            </w:r>
            <w:r>
              <w:rPr>
                <w:rFonts w:ascii="Times New Roman" w:eastAsia="仿宋_GB2312" w:hAnsi="Times New Roman" w:hint="eastAsia"/>
                <w:bCs/>
                <w:color w:val="auto"/>
                <w:sz w:val="24"/>
                <w:szCs w:val="24"/>
              </w:rPr>
              <w:t>．</w:t>
            </w:r>
            <w:r>
              <w:rPr>
                <w:rFonts w:ascii="仿宋_GB2312" w:eastAsia="仿宋_GB2312" w:hAnsi="仿宋_GB2312" w:cs="仿宋_GB2312" w:hint="eastAsia"/>
                <w:bCs/>
                <w:color w:val="auto"/>
                <w:sz w:val="24"/>
                <w:szCs w:val="24"/>
              </w:rPr>
              <w:t>“洞庭香+”品牌培</w:t>
            </w:r>
            <w:r>
              <w:rPr>
                <w:rFonts w:ascii="Times New Roman" w:eastAsia="仿宋_GB2312" w:hAnsi="Times New Roman"/>
                <w:bCs/>
                <w:color w:val="auto"/>
                <w:sz w:val="24"/>
                <w:szCs w:val="24"/>
              </w:rPr>
              <w:t>育。围绕米、</w:t>
            </w:r>
            <w:r>
              <w:rPr>
                <w:rFonts w:ascii="仿宋_GB2312" w:eastAsia="仿宋_GB2312" w:hAnsi="仿宋_GB2312" w:cs="仿宋_GB2312" w:hint="eastAsia"/>
                <w:bCs/>
                <w:color w:val="auto"/>
                <w:sz w:val="24"/>
                <w:szCs w:val="24"/>
              </w:rPr>
              <w:t>油、肉、鱼、菜、茶、果，打造</w:t>
            </w:r>
            <w:r>
              <w:rPr>
                <w:rFonts w:ascii="Times New Roman" w:eastAsia="仿宋_GB2312" w:hAnsi="Times New Roman"/>
                <w:bCs/>
                <w:color w:val="auto"/>
                <w:sz w:val="24"/>
                <w:szCs w:val="24"/>
              </w:rPr>
              <w:t>30</w:t>
            </w:r>
            <w:r>
              <w:rPr>
                <w:rFonts w:ascii="仿宋_GB2312" w:eastAsia="仿宋_GB2312" w:hAnsi="仿宋_GB2312" w:cs="仿宋_GB2312" w:hint="eastAsia"/>
                <w:bCs/>
                <w:color w:val="auto"/>
                <w:sz w:val="24"/>
                <w:szCs w:val="24"/>
              </w:rPr>
              <w:t>个“洞庭香+”系列品牌。支持一批县域农产品、大湘西地区优质农产品及农业企业品牌。实施农村电商高质量发展工程，深化与主流电商平台合作，建设省级旗舰</w:t>
            </w:r>
            <w:r>
              <w:rPr>
                <w:rFonts w:ascii="Times New Roman" w:eastAsia="仿宋_GB2312" w:hAnsi="Times New Roman" w:hint="eastAsia"/>
                <w:bCs/>
                <w:color w:val="auto"/>
                <w:sz w:val="24"/>
                <w:szCs w:val="24"/>
              </w:rPr>
              <w:t>店和特产店。</w:t>
            </w:r>
          </w:p>
          <w:p w:rsidR="00DC2F14" w:rsidRDefault="00DC2F14" w:rsidP="00320244">
            <w:pPr>
              <w:spacing w:line="36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7</w:t>
            </w:r>
            <w:r>
              <w:rPr>
                <w:rFonts w:ascii="Times New Roman" w:eastAsia="仿宋_GB2312" w:hAnsi="Times New Roman" w:hint="eastAsia"/>
                <w:bCs/>
                <w:color w:val="auto"/>
                <w:sz w:val="24"/>
                <w:szCs w:val="24"/>
              </w:rPr>
              <w:t>．</w:t>
            </w:r>
            <w:r>
              <w:rPr>
                <w:rFonts w:ascii="仿宋_GB2312" w:eastAsia="仿宋_GB2312" w:hAnsi="仿宋_GB2312" w:cs="仿宋_GB2312" w:hint="eastAsia"/>
                <w:bCs/>
                <w:color w:val="auto"/>
                <w:sz w:val="24"/>
                <w:szCs w:val="24"/>
              </w:rPr>
              <w:t>“地理标志+”行</w:t>
            </w:r>
            <w:r>
              <w:rPr>
                <w:rFonts w:ascii="Times New Roman" w:eastAsia="仿宋_GB2312" w:hAnsi="Times New Roman"/>
                <w:bCs/>
                <w:color w:val="auto"/>
                <w:sz w:val="24"/>
                <w:szCs w:val="24"/>
              </w:rPr>
              <w:t>动。</w:t>
            </w:r>
            <w:r>
              <w:rPr>
                <w:rFonts w:ascii="Times New Roman" w:eastAsia="仿宋_GB2312" w:hAnsi="Times New Roman" w:hint="eastAsia"/>
                <w:bCs/>
                <w:color w:val="auto"/>
                <w:sz w:val="24"/>
                <w:szCs w:val="24"/>
              </w:rPr>
              <w:t>支持</w:t>
            </w:r>
            <w:r>
              <w:rPr>
                <w:rFonts w:ascii="Times New Roman" w:eastAsia="仿宋_GB2312" w:hAnsi="Times New Roman"/>
                <w:bCs/>
                <w:color w:val="auto"/>
                <w:sz w:val="24"/>
                <w:szCs w:val="24"/>
              </w:rPr>
              <w:t>每个地理标志农产品建设良种繁育基地</w:t>
            </w:r>
            <w:r>
              <w:rPr>
                <w:rFonts w:ascii="Times New Roman" w:eastAsia="仿宋_GB2312" w:hAnsi="Times New Roman"/>
                <w:bCs/>
                <w:color w:val="auto"/>
                <w:sz w:val="24"/>
                <w:szCs w:val="24"/>
              </w:rPr>
              <w:t>1</w:t>
            </w:r>
            <w:r>
              <w:rPr>
                <w:rFonts w:ascii="Times New Roman" w:eastAsia="仿宋_GB2312" w:hAnsi="Times New Roman"/>
                <w:bCs/>
                <w:color w:val="auto"/>
                <w:sz w:val="24"/>
                <w:szCs w:val="24"/>
              </w:rPr>
              <w:t>个、标准化核心生产基地</w:t>
            </w:r>
            <w:r>
              <w:rPr>
                <w:rFonts w:ascii="Times New Roman" w:eastAsia="仿宋_GB2312" w:hAnsi="Times New Roman"/>
                <w:bCs/>
                <w:color w:val="auto"/>
                <w:sz w:val="24"/>
                <w:szCs w:val="24"/>
              </w:rPr>
              <w:t>2</w:t>
            </w:r>
            <w:r>
              <w:rPr>
                <w:rFonts w:ascii="Times New Roman" w:eastAsia="仿宋_GB2312" w:hAnsi="Times New Roman"/>
                <w:bCs/>
                <w:color w:val="auto"/>
                <w:sz w:val="24"/>
                <w:szCs w:val="24"/>
              </w:rPr>
              <w:t>个。每年支持建设地标主题农文旅综合体与精品线路</w:t>
            </w:r>
            <w:r>
              <w:rPr>
                <w:rFonts w:ascii="Times New Roman" w:eastAsia="仿宋_GB2312" w:hAnsi="Times New Roman"/>
                <w:bCs/>
                <w:color w:val="auto"/>
                <w:sz w:val="24"/>
                <w:szCs w:val="24"/>
              </w:rPr>
              <w:t>10</w:t>
            </w:r>
            <w:r>
              <w:rPr>
                <w:rFonts w:ascii="Times New Roman" w:eastAsia="仿宋_GB2312" w:hAnsi="Times New Roman"/>
                <w:bCs/>
                <w:color w:val="auto"/>
                <w:sz w:val="24"/>
                <w:szCs w:val="24"/>
              </w:rPr>
              <w:t>个。</w:t>
            </w:r>
          </w:p>
          <w:p w:rsidR="00DC2F14" w:rsidRDefault="00DC2F14" w:rsidP="00CC1218">
            <w:pPr>
              <w:spacing w:line="36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8</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农产品出湘出境。每年支持建设省级农产品出口高质量发展县</w:t>
            </w:r>
            <w:r>
              <w:rPr>
                <w:rFonts w:ascii="Times New Roman" w:eastAsia="仿宋_GB2312" w:hAnsi="Times New Roman"/>
                <w:bCs/>
                <w:color w:val="auto"/>
                <w:sz w:val="24"/>
                <w:szCs w:val="24"/>
              </w:rPr>
              <w:t>5</w:t>
            </w:r>
            <w:r>
              <w:rPr>
                <w:rFonts w:ascii="Times New Roman" w:eastAsia="仿宋_GB2312" w:hAnsi="Times New Roman"/>
                <w:bCs/>
                <w:color w:val="auto"/>
                <w:sz w:val="24"/>
                <w:szCs w:val="24"/>
              </w:rPr>
              <w:t>个以上。培育国家级、省级农业国际贸易高质量发展优质主体。支持农业企业参</w:t>
            </w:r>
            <w:r w:rsidR="00CC1218">
              <w:rPr>
                <w:rFonts w:ascii="Times New Roman" w:eastAsia="仿宋_GB2312" w:hAnsi="Times New Roman" w:hint="eastAsia"/>
                <w:bCs/>
                <w:color w:val="auto"/>
                <w:sz w:val="24"/>
                <w:szCs w:val="24"/>
              </w:rPr>
              <w:t>加</w:t>
            </w:r>
            <w:r>
              <w:rPr>
                <w:rFonts w:ascii="Times New Roman" w:eastAsia="仿宋_GB2312" w:hAnsi="Times New Roman"/>
                <w:bCs/>
                <w:color w:val="auto"/>
                <w:sz w:val="24"/>
                <w:szCs w:val="24"/>
              </w:rPr>
              <w:t>国际性展会。</w:t>
            </w:r>
          </w:p>
        </w:tc>
      </w:tr>
    </w:tbl>
    <w:p w:rsidR="00DC2F14" w:rsidRDefault="00DC2F14" w:rsidP="00DC2F14">
      <w:pPr>
        <w:pStyle w:val="1"/>
        <w:keepNext w:val="0"/>
        <w:keepLines w:val="0"/>
        <w:widowControl w:val="0"/>
        <w:snapToGrid w:val="0"/>
        <w:spacing w:before="0" w:after="0" w:line="600" w:lineRule="exact"/>
        <w:ind w:firstLineChars="200" w:firstLine="640"/>
        <w:contextualSpacing/>
        <w:rPr>
          <w:rFonts w:ascii="Times New Roman" w:eastAsia="黑体" w:hAnsi="Times New Roman"/>
          <w:b w:val="0"/>
          <w:color w:val="auto"/>
          <w:sz w:val="32"/>
          <w:szCs w:val="32"/>
        </w:rPr>
      </w:pPr>
      <w:bookmarkStart w:id="25" w:name="_Toc202542757"/>
      <w:bookmarkStart w:id="26" w:name="_Toc202855529"/>
      <w:bookmarkStart w:id="27" w:name="_Hlk229147449"/>
      <w:bookmarkEnd w:id="24"/>
      <w:r>
        <w:rPr>
          <w:rFonts w:ascii="Times New Roman" w:eastAsia="黑体" w:hAnsi="Times New Roman"/>
          <w:b w:val="0"/>
          <w:color w:val="auto"/>
          <w:sz w:val="32"/>
          <w:szCs w:val="32"/>
        </w:rPr>
        <w:t>六、加快发展农业新质生产力</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lastRenderedPageBreak/>
        <w:t>（一）</w:t>
      </w:r>
      <w:r>
        <w:rPr>
          <w:rFonts w:ascii="楷体_GB2312" w:eastAsia="楷体_GB2312" w:hAnsi="楷体_GB2312" w:cs="楷体_GB2312" w:hint="eastAsia"/>
          <w:b w:val="0"/>
          <w:bCs/>
          <w:sz w:val="32"/>
          <w:szCs w:val="32"/>
        </w:rPr>
        <w:t>发展“院士农业”</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依托</w:t>
      </w:r>
      <w:r>
        <w:rPr>
          <w:rFonts w:ascii="仿宋_GB2312" w:eastAsia="仿宋_GB2312" w:hAnsi="仿宋_GB2312" w:cs="仿宋_GB2312" w:hint="eastAsia"/>
          <w:bCs/>
          <w:color w:val="auto"/>
        </w:rPr>
        <w:t>湖南农业院士集聚、科研资源富集优势，引导涉农高校、科研院所、企业共建产学研平台，开展分子育种、生物智能、农用北斗技术、现代农业设施、绿色种养、农产品精深加工等关键共性技术攻关，力争</w:t>
      </w:r>
      <w:r>
        <w:rPr>
          <w:rStyle w:val="NormalCharacter"/>
          <w:rFonts w:ascii="仿宋_GB2312" w:hAnsi="仿宋_GB2312" w:cs="仿宋_GB2312" w:hint="eastAsia"/>
          <w:bCs/>
          <w:color w:val="auto"/>
          <w:lang w:eastAsia="zh-CN"/>
        </w:rPr>
        <w:t>农业研发投入稳步增长。</w:t>
      </w:r>
      <w:r>
        <w:rPr>
          <w:rFonts w:ascii="仿宋_GB2312" w:eastAsia="仿宋_GB2312" w:hAnsi="仿宋_GB2312" w:cs="仿宋_GB2312" w:hint="eastAsia"/>
          <w:bCs/>
          <w:color w:val="auto"/>
        </w:rPr>
        <w:t>发展富硒等功能农业，前瞻布局农业合成生物、新能源农机等未来产业。以院士团队为引领，提升科技特派员、科技小院、“三区”科技人才和社会化服务主体等广泛参与的农技推广服务效能。深化“大农科院”建设，以岳麓山实验室为纽带，推进高能级科创平台建设和资源整合，实施农业领域教育</w:t>
      </w:r>
      <w:r>
        <w:rPr>
          <w:rFonts w:ascii="Times New Roman" w:eastAsia="仿宋_GB2312" w:hAnsi="Times New Roman"/>
          <w:bCs/>
          <w:color w:val="auto"/>
        </w:rPr>
        <w:t>科技人才体制机制一体改革。</w:t>
      </w:r>
      <w:r>
        <w:rPr>
          <w:rFonts w:ascii="Times New Roman" w:eastAsia="仿宋_GB2312" w:hAnsi="Times New Roman" w:hint="eastAsia"/>
          <w:bCs/>
          <w:color w:val="auto"/>
        </w:rPr>
        <w:t>积极创建</w:t>
      </w:r>
      <w:r>
        <w:rPr>
          <w:rFonts w:ascii="Times New Roman" w:eastAsia="仿宋_GB2312" w:hAnsi="Times New Roman"/>
          <w:bCs/>
          <w:color w:val="auto"/>
        </w:rPr>
        <w:t>国家农业高新技术产业示范区，推进前沿技术落地转化与产业化示范。</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（二）打造种业创新高地</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推进</w:t>
      </w:r>
      <w:r>
        <w:rPr>
          <w:rFonts w:ascii="Times New Roman" w:eastAsia="仿宋_GB2312" w:hAnsi="Times New Roman" w:hint="eastAsia"/>
          <w:bCs/>
          <w:color w:val="auto"/>
        </w:rPr>
        <w:t>种质资源精准鉴定，新改建一批种质资源场、区、库、圃。实施企科联合商业化育种和“揭榜挂帅”项目，选育一批抗病虫草害水稻、优质生猪、高产高抗油菜、耐抗黄龙病柑橘、高蛋白大豆等新品种，支持开展地方特色品种提纯复壮、保护利用。建设长沙国家杂交水稻种业创新基地、国家级制种大县和区域性良种繁育基地，提质省南繁科研育种园，推动水稻制种面积稳定在</w:t>
      </w:r>
      <w:r>
        <w:rPr>
          <w:rFonts w:ascii="Times New Roman" w:eastAsia="仿宋_GB2312" w:hAnsi="Times New Roman" w:hint="eastAsia"/>
          <w:bCs/>
          <w:color w:val="auto"/>
        </w:rPr>
        <w:t>40</w:t>
      </w:r>
      <w:r>
        <w:rPr>
          <w:rFonts w:ascii="Times New Roman" w:eastAsia="仿宋_GB2312" w:hAnsi="Times New Roman" w:hint="eastAsia"/>
          <w:bCs/>
          <w:color w:val="auto"/>
        </w:rPr>
        <w:t>万亩以上。推广“县企共建”模式，提质建设畜禽、水产种源繁育基地，打造一批优势制种核心区、综合性种子加工平台。构建育繁推一体化商业化体系，加强新品种权</w:t>
      </w:r>
      <w:r>
        <w:rPr>
          <w:rFonts w:ascii="Times New Roman" w:eastAsia="仿宋_GB2312" w:hAnsi="Times New Roman"/>
          <w:bCs/>
          <w:color w:val="auto"/>
        </w:rPr>
        <w:t>保护。</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lastRenderedPageBreak/>
        <w:t>（三）打造智能农机产业链发展高地</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仿宋_GB2312" w:eastAsia="仿宋_GB2312" w:hAnsi="仿宋_GB2312" w:cs="仿宋_GB2312" w:hint="eastAsia"/>
          <w:bCs/>
          <w:color w:val="auto"/>
        </w:rPr>
        <w:t>支持长沙市打造农机装备研发创新中心，加快建设娄底市、郴州市、常德市农机装备制造基地。推动工程机械、汽车制造等企业布局农机产业，提质建设一批农机装备产业园区，培育农机“小巨人”企业。加强丘陵山区适用型、智能智慧化农机装备研发应用，分区域、产业、作物、环节打造标志性农机装备应用场景。完善农机农艺融合技术标准体系，同步推进农田宜机化改</w:t>
      </w:r>
      <w:r>
        <w:rPr>
          <w:rFonts w:ascii="Times New Roman" w:eastAsia="仿宋_GB2312" w:hAnsi="Times New Roman"/>
          <w:bCs/>
          <w:color w:val="auto"/>
        </w:rPr>
        <w:t>造、机耕道建设。到</w:t>
      </w:r>
      <w:r>
        <w:rPr>
          <w:rFonts w:ascii="Times New Roman" w:eastAsia="仿宋_GB2312" w:hAnsi="Times New Roman"/>
          <w:bCs/>
          <w:color w:val="auto"/>
        </w:rPr>
        <w:t>2030</w:t>
      </w:r>
      <w:r>
        <w:rPr>
          <w:rFonts w:ascii="Times New Roman" w:eastAsia="仿宋_GB2312" w:hAnsi="Times New Roman"/>
          <w:bCs/>
          <w:color w:val="auto"/>
        </w:rPr>
        <w:t>年，力争农作物耕种收综合机械化率达</w:t>
      </w:r>
      <w:r>
        <w:rPr>
          <w:rFonts w:ascii="Times New Roman" w:eastAsia="仿宋_GB2312" w:hAnsi="Times New Roman"/>
          <w:bCs/>
          <w:color w:val="auto"/>
        </w:rPr>
        <w:t>78%</w:t>
      </w:r>
      <w:r>
        <w:rPr>
          <w:rFonts w:ascii="Times New Roman" w:eastAsia="仿宋_GB2312" w:hAnsi="Times New Roman"/>
          <w:bCs/>
          <w:color w:val="auto"/>
        </w:rPr>
        <w:t>。</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（四）提升农业设施化水平</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整县推进老旧低效设施改造，加快推广高效宜机棚型和新型节能建筑材料，升级配套自动调控、智能作业设备。发展现代设施集约化育苗网络，推动设施蔬菜提标扩面，推进林果茶设施栽培关键环节建设，适度发展植物工厂、垂直农场等经营模式。推进生猪集约化智能化养殖场、家禽立体养殖场、奶牛智慧养殖场、肉牛肉羊适度规模</w:t>
      </w:r>
      <w:r w:rsidR="00CC1218">
        <w:rPr>
          <w:rFonts w:ascii="Times New Roman" w:eastAsia="仿宋_GB2312" w:hAnsi="Times New Roman"/>
          <w:bCs/>
          <w:color w:val="auto"/>
        </w:rPr>
        <w:t>标准化</w:t>
      </w:r>
      <w:r>
        <w:rPr>
          <w:rFonts w:ascii="Times New Roman" w:eastAsia="仿宋_GB2312" w:hAnsi="Times New Roman"/>
          <w:bCs/>
          <w:color w:val="auto"/>
        </w:rPr>
        <w:t>养殖场、特色畜禽高效集约养殖场、优质饲草料基地建设。发展陆基工厂化、圆池、集装箱式等循环水渔业养殖，推进池塘生态养殖装备技术及管控系统集成应用。</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（五）因地制宜发展智慧农业</w:t>
      </w:r>
    </w:p>
    <w:p w:rsidR="00DC2F14" w:rsidRDefault="00DC2F14" w:rsidP="00DC2F14">
      <w:pPr>
        <w:widowControl w:val="0"/>
        <w:snapToGrid w:val="0"/>
        <w:spacing w:line="600" w:lineRule="exact"/>
        <w:ind w:firstLineChars="200" w:firstLine="640"/>
        <w:contextualSpacing/>
        <w:rPr>
          <w:rFonts w:ascii="Times New Roman" w:eastAsia="仿宋_GB2312" w:hAnsi="Times New Roman"/>
          <w:bCs/>
          <w:color w:val="auto"/>
        </w:rPr>
      </w:pPr>
      <w:r>
        <w:rPr>
          <w:rFonts w:ascii="仿宋_GB2312" w:eastAsia="仿宋_GB2312" w:hAnsi="仿宋_GB2312" w:cs="仿宋_GB2312" w:hint="eastAsia"/>
          <w:bCs/>
          <w:color w:val="auto"/>
        </w:rPr>
        <w:t>建设全省农业农村大数据平台，构建“北斗遥感+地面物联传感网”监测体系，开发智慧农业公共服务产品，推动农产品产地准出与市场准入互联互通。推广应用智能播种、变量施肥、靶向施药等精准农业技术，打造大田无人化种植、设施环境智能管控</w:t>
      </w:r>
      <w:r>
        <w:rPr>
          <w:rFonts w:ascii="仿宋_GB2312" w:eastAsia="仿宋_GB2312" w:hAnsi="仿宋_GB2312" w:cs="仿宋_GB2312" w:hint="eastAsia"/>
          <w:bCs/>
          <w:color w:val="auto"/>
        </w:rPr>
        <w:lastRenderedPageBreak/>
        <w:t>等智慧农业应用场景。构建“低空+地面”协同农业生产体</w:t>
      </w:r>
      <w:r>
        <w:rPr>
          <w:rFonts w:ascii="Times New Roman" w:eastAsia="仿宋_GB2312" w:hAnsi="Times New Roman"/>
          <w:bCs/>
          <w:color w:val="auto"/>
        </w:rPr>
        <w:t>系。</w:t>
      </w:r>
    </w:p>
    <w:tbl>
      <w:tblPr>
        <w:tblStyle w:val="ae"/>
        <w:tblW w:w="0" w:type="auto"/>
        <w:jc w:val="center"/>
        <w:tblLayout w:type="fixed"/>
        <w:tblLook w:val="0000"/>
      </w:tblPr>
      <w:tblGrid>
        <w:gridCol w:w="9108"/>
      </w:tblGrid>
      <w:tr w:rsidR="00DC2F14" w:rsidTr="00320244">
        <w:trPr>
          <w:trHeight w:val="439"/>
          <w:jc w:val="center"/>
        </w:trPr>
        <w:tc>
          <w:tcPr>
            <w:tcW w:w="9108" w:type="dxa"/>
          </w:tcPr>
          <w:p w:rsidR="00DC2F14" w:rsidRDefault="00DC2F14" w:rsidP="00320244">
            <w:pPr>
              <w:spacing w:line="400" w:lineRule="exact"/>
              <w:contextualSpacing/>
              <w:jc w:val="center"/>
              <w:rPr>
                <w:rFonts w:ascii="Times New Roman" w:eastAsia="黑体" w:hAnsi="Times New Roman"/>
                <w:bCs/>
                <w:color w:val="auto"/>
                <w:sz w:val="24"/>
                <w:szCs w:val="24"/>
              </w:rPr>
            </w:pPr>
            <w:bookmarkStart w:id="28" w:name="_Hlk231198574"/>
            <w:r>
              <w:rPr>
                <w:rFonts w:ascii="Times New Roman" w:eastAsia="黑体" w:hAnsi="Times New Roman"/>
                <w:bCs/>
                <w:color w:val="auto"/>
                <w:sz w:val="24"/>
                <w:szCs w:val="24"/>
              </w:rPr>
              <w:t>专栏</w:t>
            </w:r>
            <w:r>
              <w:rPr>
                <w:rFonts w:ascii="Times New Roman" w:eastAsia="黑体" w:hAnsi="Times New Roman"/>
                <w:bCs/>
                <w:color w:val="auto"/>
                <w:sz w:val="24"/>
                <w:szCs w:val="24"/>
              </w:rPr>
              <w:t xml:space="preserve">6  </w:t>
            </w:r>
            <w:r>
              <w:rPr>
                <w:rFonts w:ascii="Times New Roman" w:eastAsia="黑体" w:hAnsi="Times New Roman"/>
                <w:bCs/>
                <w:color w:val="auto"/>
                <w:sz w:val="24"/>
                <w:szCs w:val="24"/>
              </w:rPr>
              <w:t>农业现代化科技创新</w:t>
            </w:r>
          </w:p>
        </w:tc>
      </w:tr>
      <w:tr w:rsidR="00DC2F14" w:rsidTr="00320244">
        <w:trPr>
          <w:trHeight w:val="4314"/>
          <w:jc w:val="center"/>
        </w:trPr>
        <w:tc>
          <w:tcPr>
            <w:tcW w:w="9108" w:type="dxa"/>
            <w:vAlign w:val="center"/>
          </w:tcPr>
          <w:p w:rsidR="00DC2F14" w:rsidRDefault="00DC2F14" w:rsidP="00320244">
            <w:pPr>
              <w:pStyle w:val="a5"/>
              <w:spacing w:after="0" w:line="400" w:lineRule="exact"/>
              <w:ind w:firstLineChars="200" w:firstLine="480"/>
              <w:rPr>
                <w:rFonts w:ascii="Times New Roman" w:eastAsia="仿宋_GB2312" w:hAnsi="Times New Roman"/>
                <w:bCs/>
                <w:snapToGrid w:val="0"/>
                <w:color w:val="auto"/>
                <w:sz w:val="24"/>
                <w:szCs w:val="24"/>
              </w:rPr>
            </w:pPr>
            <w:r>
              <w:rPr>
                <w:rFonts w:ascii="Times New Roman" w:eastAsia="仿宋_GB2312" w:hAnsi="Times New Roman"/>
                <w:bCs/>
                <w:snapToGrid w:val="0"/>
                <w:color w:val="auto"/>
                <w:sz w:val="24"/>
                <w:szCs w:val="24"/>
              </w:rPr>
              <w:t>1</w:t>
            </w:r>
            <w:r>
              <w:rPr>
                <w:rFonts w:ascii="Times New Roman" w:eastAsia="仿宋_GB2312" w:hAnsi="Times New Roman" w:hint="eastAsia"/>
                <w:bCs/>
                <w:snapToGrid w:val="0"/>
                <w:color w:val="auto"/>
                <w:sz w:val="24"/>
                <w:szCs w:val="24"/>
              </w:rPr>
              <w:t>．</w:t>
            </w:r>
            <w:r>
              <w:rPr>
                <w:rFonts w:ascii="Times New Roman" w:eastAsia="仿宋_GB2312" w:hAnsi="Times New Roman"/>
                <w:bCs/>
                <w:snapToGrid w:val="0"/>
                <w:color w:val="auto"/>
                <w:sz w:val="24"/>
                <w:szCs w:val="24"/>
              </w:rPr>
              <w:t>农作物品种区域测试能力提升。推进国家农作物品种区域测试站建设、抗生物胁迫品种鉴定与风险评估，建设一体化智能综合服务平台。</w:t>
            </w:r>
          </w:p>
          <w:p w:rsidR="00DC2F14" w:rsidRDefault="00DC2F14" w:rsidP="00320244">
            <w:pPr>
              <w:pStyle w:val="a5"/>
              <w:spacing w:after="0" w:line="400" w:lineRule="exact"/>
              <w:ind w:firstLineChars="200" w:firstLine="480"/>
              <w:rPr>
                <w:rFonts w:ascii="Times New Roman" w:eastAsia="仿宋_GB2312" w:hAnsi="Times New Roman"/>
                <w:bCs/>
                <w:snapToGrid w:val="0"/>
                <w:color w:val="auto"/>
                <w:sz w:val="24"/>
                <w:szCs w:val="24"/>
              </w:rPr>
            </w:pPr>
            <w:r>
              <w:rPr>
                <w:rFonts w:ascii="Times New Roman" w:eastAsia="仿宋_GB2312" w:hAnsi="Times New Roman"/>
                <w:bCs/>
                <w:snapToGrid w:val="0"/>
                <w:color w:val="auto"/>
                <w:sz w:val="24"/>
                <w:szCs w:val="24"/>
              </w:rPr>
              <w:t>2</w:t>
            </w:r>
            <w:r>
              <w:rPr>
                <w:rFonts w:ascii="Times New Roman" w:eastAsia="仿宋_GB2312" w:hAnsi="Times New Roman" w:hint="eastAsia"/>
                <w:bCs/>
                <w:snapToGrid w:val="0"/>
                <w:color w:val="auto"/>
                <w:sz w:val="24"/>
                <w:szCs w:val="24"/>
              </w:rPr>
              <w:t>．</w:t>
            </w:r>
            <w:r>
              <w:rPr>
                <w:rFonts w:ascii="Times New Roman" w:eastAsia="仿宋_GB2312" w:hAnsi="Times New Roman"/>
                <w:bCs/>
                <w:snapToGrid w:val="0"/>
                <w:color w:val="auto"/>
                <w:sz w:val="24"/>
                <w:szCs w:val="24"/>
              </w:rPr>
              <w:t>现代育种设施建设。支持新改扩建一批省级以上核心育种场、种公猪站。建设水产种质资源场</w:t>
            </w:r>
            <w:r>
              <w:rPr>
                <w:rFonts w:ascii="Times New Roman" w:eastAsia="仿宋_GB2312" w:hAnsi="Times New Roman"/>
                <w:bCs/>
                <w:snapToGrid w:val="0"/>
                <w:color w:val="auto"/>
                <w:sz w:val="24"/>
                <w:szCs w:val="24"/>
              </w:rPr>
              <w:t>2</w:t>
            </w:r>
            <w:r>
              <w:rPr>
                <w:rFonts w:ascii="Times New Roman" w:eastAsia="仿宋_GB2312" w:hAnsi="Times New Roman"/>
                <w:bCs/>
                <w:snapToGrid w:val="0"/>
                <w:color w:val="auto"/>
                <w:sz w:val="24"/>
                <w:szCs w:val="24"/>
              </w:rPr>
              <w:t>个。</w:t>
            </w:r>
          </w:p>
          <w:p w:rsidR="00DC2F14" w:rsidRDefault="00DC2F14" w:rsidP="00320244">
            <w:pPr>
              <w:pStyle w:val="a5"/>
              <w:spacing w:after="0" w:line="400" w:lineRule="exact"/>
              <w:ind w:firstLineChars="200" w:firstLine="480"/>
              <w:rPr>
                <w:rFonts w:ascii="Times New Roman" w:eastAsia="仿宋_GB2312" w:hAnsi="Times New Roman"/>
                <w:bCs/>
                <w:snapToGrid w:val="0"/>
                <w:color w:val="auto"/>
                <w:sz w:val="24"/>
                <w:szCs w:val="24"/>
              </w:rPr>
            </w:pPr>
            <w:r>
              <w:rPr>
                <w:rFonts w:ascii="Times New Roman" w:eastAsia="仿宋_GB2312" w:hAnsi="Times New Roman"/>
                <w:bCs/>
                <w:snapToGrid w:val="0"/>
                <w:color w:val="auto"/>
                <w:sz w:val="24"/>
                <w:szCs w:val="24"/>
              </w:rPr>
              <w:t>3</w:t>
            </w:r>
            <w:r>
              <w:rPr>
                <w:rFonts w:ascii="Times New Roman" w:eastAsia="仿宋_GB2312" w:hAnsi="Times New Roman" w:hint="eastAsia"/>
                <w:bCs/>
                <w:snapToGrid w:val="0"/>
                <w:color w:val="auto"/>
                <w:sz w:val="24"/>
                <w:szCs w:val="24"/>
              </w:rPr>
              <w:t>．</w:t>
            </w:r>
            <w:r>
              <w:rPr>
                <w:rFonts w:ascii="Times New Roman" w:eastAsia="仿宋_GB2312" w:hAnsi="Times New Roman"/>
                <w:bCs/>
                <w:snapToGrid w:val="0"/>
                <w:color w:val="auto"/>
                <w:sz w:val="24"/>
                <w:szCs w:val="24"/>
              </w:rPr>
              <w:t>智能农机全链提升行动。推进中联数智网联高端农机产业园、南方水稻智能农机产业园建设。支持农机企业建设智慧车间。研发特色机具</w:t>
            </w:r>
            <w:r>
              <w:rPr>
                <w:rFonts w:ascii="Times New Roman" w:eastAsia="仿宋_GB2312" w:hAnsi="Times New Roman"/>
                <w:bCs/>
                <w:snapToGrid w:val="0"/>
                <w:color w:val="auto"/>
                <w:sz w:val="24"/>
                <w:szCs w:val="24"/>
              </w:rPr>
              <w:t>20</w:t>
            </w:r>
            <w:r>
              <w:rPr>
                <w:rFonts w:ascii="Times New Roman" w:eastAsia="仿宋_GB2312" w:hAnsi="Times New Roman"/>
                <w:bCs/>
                <w:snapToGrid w:val="0"/>
                <w:color w:val="auto"/>
                <w:sz w:val="24"/>
                <w:szCs w:val="24"/>
              </w:rPr>
              <w:t>款以上。</w:t>
            </w:r>
          </w:p>
          <w:p w:rsidR="00DC2F14" w:rsidRDefault="00DC2F14" w:rsidP="00320244">
            <w:pPr>
              <w:pStyle w:val="a5"/>
              <w:spacing w:after="0" w:line="400" w:lineRule="exact"/>
              <w:ind w:firstLineChars="200" w:firstLine="480"/>
              <w:rPr>
                <w:rFonts w:ascii="Times New Roman" w:eastAsia="仿宋_GB2312" w:hAnsi="Times New Roman"/>
                <w:bCs/>
                <w:snapToGrid w:val="0"/>
                <w:color w:val="auto"/>
                <w:sz w:val="24"/>
                <w:szCs w:val="24"/>
              </w:rPr>
            </w:pPr>
            <w:r>
              <w:rPr>
                <w:rFonts w:ascii="Times New Roman" w:eastAsia="仿宋_GB2312" w:hAnsi="Times New Roman"/>
                <w:bCs/>
                <w:snapToGrid w:val="0"/>
                <w:color w:val="auto"/>
                <w:sz w:val="24"/>
                <w:szCs w:val="24"/>
              </w:rPr>
              <w:t>4</w:t>
            </w:r>
            <w:r>
              <w:rPr>
                <w:rFonts w:ascii="Times New Roman" w:eastAsia="仿宋_GB2312" w:hAnsi="Times New Roman" w:hint="eastAsia"/>
                <w:bCs/>
                <w:snapToGrid w:val="0"/>
                <w:color w:val="auto"/>
                <w:sz w:val="24"/>
                <w:szCs w:val="24"/>
              </w:rPr>
              <w:t>．</w:t>
            </w:r>
            <w:r>
              <w:rPr>
                <w:rFonts w:ascii="Times New Roman" w:eastAsia="仿宋_GB2312" w:hAnsi="Times New Roman"/>
                <w:bCs/>
                <w:snapToGrid w:val="0"/>
                <w:color w:val="auto"/>
                <w:sz w:val="24"/>
                <w:szCs w:val="24"/>
              </w:rPr>
              <w:t>现代设施农业提升行动。建设设施种植基地</w:t>
            </w:r>
            <w:r>
              <w:rPr>
                <w:rFonts w:ascii="Times New Roman" w:eastAsia="仿宋_GB2312" w:hAnsi="Times New Roman"/>
                <w:bCs/>
                <w:snapToGrid w:val="0"/>
                <w:color w:val="auto"/>
                <w:sz w:val="24"/>
                <w:szCs w:val="24"/>
              </w:rPr>
              <w:t>600</w:t>
            </w:r>
            <w:r>
              <w:rPr>
                <w:rFonts w:ascii="Times New Roman" w:eastAsia="仿宋_GB2312" w:hAnsi="Times New Roman"/>
                <w:bCs/>
                <w:snapToGrid w:val="0"/>
                <w:color w:val="auto"/>
                <w:sz w:val="24"/>
                <w:szCs w:val="24"/>
              </w:rPr>
              <w:t>个、设施渔业基地</w:t>
            </w:r>
            <w:r>
              <w:rPr>
                <w:rFonts w:ascii="Times New Roman" w:eastAsia="仿宋_GB2312" w:hAnsi="Times New Roman"/>
                <w:bCs/>
                <w:snapToGrid w:val="0"/>
                <w:color w:val="auto"/>
                <w:sz w:val="24"/>
                <w:szCs w:val="24"/>
              </w:rPr>
              <w:t>200</w:t>
            </w:r>
            <w:r>
              <w:rPr>
                <w:rFonts w:ascii="Times New Roman" w:eastAsia="仿宋_GB2312" w:hAnsi="Times New Roman"/>
                <w:bCs/>
                <w:snapToGrid w:val="0"/>
                <w:color w:val="auto"/>
                <w:sz w:val="24"/>
                <w:szCs w:val="24"/>
              </w:rPr>
              <w:t>个、现代物流设施项目</w:t>
            </w:r>
            <w:r>
              <w:rPr>
                <w:rFonts w:ascii="Times New Roman" w:eastAsia="仿宋_GB2312" w:hAnsi="Times New Roman"/>
                <w:bCs/>
                <w:snapToGrid w:val="0"/>
                <w:color w:val="auto"/>
                <w:sz w:val="24"/>
                <w:szCs w:val="24"/>
              </w:rPr>
              <w:t>200</w:t>
            </w:r>
            <w:r>
              <w:rPr>
                <w:rFonts w:ascii="Times New Roman" w:eastAsia="仿宋_GB2312" w:hAnsi="Times New Roman"/>
                <w:bCs/>
                <w:snapToGrid w:val="0"/>
                <w:color w:val="auto"/>
                <w:sz w:val="24"/>
                <w:szCs w:val="24"/>
              </w:rPr>
              <w:t>个。新改扩建设施化畜禽规模养殖场</w:t>
            </w:r>
            <w:r>
              <w:rPr>
                <w:rFonts w:ascii="Times New Roman" w:eastAsia="仿宋_GB2312" w:hAnsi="Times New Roman"/>
                <w:bCs/>
                <w:snapToGrid w:val="0"/>
                <w:color w:val="auto"/>
                <w:sz w:val="24"/>
                <w:szCs w:val="24"/>
              </w:rPr>
              <w:t>400</w:t>
            </w:r>
            <w:r>
              <w:rPr>
                <w:rFonts w:ascii="Times New Roman" w:eastAsia="仿宋_GB2312" w:hAnsi="Times New Roman"/>
                <w:bCs/>
                <w:snapToGrid w:val="0"/>
                <w:color w:val="auto"/>
                <w:sz w:val="24"/>
                <w:szCs w:val="24"/>
              </w:rPr>
              <w:t>个。</w:t>
            </w:r>
          </w:p>
          <w:p w:rsidR="00DC2F14" w:rsidRDefault="00DC2F14" w:rsidP="00320244">
            <w:pPr>
              <w:pStyle w:val="a5"/>
              <w:spacing w:after="0" w:line="400" w:lineRule="exact"/>
              <w:ind w:firstLineChars="200" w:firstLine="480"/>
              <w:rPr>
                <w:rFonts w:ascii="Times New Roman" w:eastAsia="仿宋_GB2312" w:hAnsi="Times New Roman"/>
                <w:bCs/>
                <w:snapToGrid w:val="0"/>
                <w:color w:val="auto"/>
                <w:sz w:val="24"/>
                <w:szCs w:val="24"/>
              </w:rPr>
            </w:pPr>
            <w:r>
              <w:rPr>
                <w:rFonts w:ascii="Times New Roman" w:eastAsia="仿宋_GB2312" w:hAnsi="Times New Roman"/>
                <w:bCs/>
                <w:snapToGrid w:val="0"/>
                <w:color w:val="auto"/>
                <w:sz w:val="24"/>
                <w:szCs w:val="24"/>
              </w:rPr>
              <w:t>5</w:t>
            </w:r>
            <w:r>
              <w:rPr>
                <w:rFonts w:ascii="Times New Roman" w:eastAsia="仿宋_GB2312" w:hAnsi="Times New Roman" w:hint="eastAsia"/>
                <w:bCs/>
                <w:snapToGrid w:val="0"/>
                <w:color w:val="auto"/>
                <w:sz w:val="24"/>
                <w:szCs w:val="24"/>
              </w:rPr>
              <w:t>．</w:t>
            </w:r>
            <w:r>
              <w:rPr>
                <w:rFonts w:ascii="Times New Roman" w:eastAsia="仿宋_GB2312" w:hAnsi="Times New Roman"/>
                <w:bCs/>
                <w:snapToGrid w:val="0"/>
                <w:color w:val="auto"/>
                <w:sz w:val="24"/>
                <w:szCs w:val="24"/>
              </w:rPr>
              <w:t>农业智慧化提升行动。建设一批智慧农（牧、渔）场，搭建稻虾共生产业数字化管理、农产品数字溯源平台，建设一批智慧农业技术装备质量检验检测中心。</w:t>
            </w:r>
          </w:p>
        </w:tc>
      </w:tr>
    </w:tbl>
    <w:bookmarkEnd w:id="25"/>
    <w:bookmarkEnd w:id="26"/>
    <w:bookmarkEnd w:id="27"/>
    <w:bookmarkEnd w:id="28"/>
    <w:p w:rsidR="00DC2F14" w:rsidRDefault="00DC2F14" w:rsidP="00DC2F14">
      <w:pPr>
        <w:pStyle w:val="1"/>
        <w:keepNext w:val="0"/>
        <w:keepLines w:val="0"/>
        <w:snapToGrid w:val="0"/>
        <w:spacing w:before="0" w:after="0" w:line="600" w:lineRule="exact"/>
        <w:ind w:firstLineChars="200" w:firstLine="640"/>
        <w:contextualSpacing/>
        <w:rPr>
          <w:rFonts w:ascii="Times New Roman" w:eastAsia="黑体" w:hAnsi="Times New Roman"/>
          <w:b w:val="0"/>
          <w:color w:val="auto"/>
          <w:sz w:val="32"/>
          <w:szCs w:val="32"/>
        </w:rPr>
      </w:pPr>
      <w:r>
        <w:rPr>
          <w:rFonts w:ascii="Times New Roman" w:eastAsia="黑体" w:hAnsi="Times New Roman"/>
          <w:b w:val="0"/>
          <w:color w:val="auto"/>
          <w:sz w:val="32"/>
          <w:szCs w:val="32"/>
        </w:rPr>
        <w:t>七、全域绘就和美乡村新图景</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（一）完善乡村建设实施机制</w:t>
      </w:r>
    </w:p>
    <w:p w:rsidR="00DC2F14" w:rsidRDefault="00DC2F14" w:rsidP="00DC2F14">
      <w:pPr>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强化县域国土空间规划对空间布局的统筹，科学确定中心镇、中心村、规划保留村和搬迁撤并村，合理安排建设重点和优先序。完善全生命周期管理的村庄规划分类治理体系。发挥乡村振兴示范县引领作用，支持有条件</w:t>
      </w:r>
      <w:r>
        <w:rPr>
          <w:rFonts w:ascii="Times New Roman" w:eastAsia="仿宋_GB2312" w:hAnsi="Times New Roman" w:hint="eastAsia"/>
          <w:bCs/>
          <w:color w:val="auto"/>
        </w:rPr>
        <w:t>的</w:t>
      </w:r>
      <w:r>
        <w:rPr>
          <w:rFonts w:ascii="Times New Roman" w:eastAsia="仿宋_GB2312" w:hAnsi="Times New Roman"/>
          <w:bCs/>
          <w:color w:val="auto"/>
        </w:rPr>
        <w:t>地区以重点村为核心、乡村特色产业为纽带，辐射带动若干位置相邻、功能相近、产业相联的村</w:t>
      </w:r>
      <w:r>
        <w:rPr>
          <w:rFonts w:ascii="Times New Roman" w:eastAsia="仿宋_GB2312" w:hAnsi="Times New Roman" w:hint="eastAsia"/>
          <w:bCs/>
          <w:color w:val="auto"/>
        </w:rPr>
        <w:t>组团式发展</w:t>
      </w:r>
      <w:r>
        <w:rPr>
          <w:rFonts w:ascii="Times New Roman" w:eastAsia="仿宋_GB2312" w:hAnsi="Times New Roman"/>
          <w:bCs/>
          <w:color w:val="auto"/>
        </w:rPr>
        <w:t>。稳步开展全域土地综合整治。</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bookmarkStart w:id="29" w:name="_Toc202855536"/>
      <w:bookmarkStart w:id="30" w:name="_Toc202542759"/>
      <w:bookmarkStart w:id="31" w:name="_Toc202855531"/>
      <w:r>
        <w:rPr>
          <w:rFonts w:ascii="Times New Roman" w:hAnsi="Times New Roman"/>
          <w:b w:val="0"/>
          <w:bCs/>
          <w:sz w:val="32"/>
          <w:szCs w:val="32"/>
        </w:rPr>
        <w:t>（二）提高农村基础设施完备度</w:t>
      </w:r>
    </w:p>
    <w:p w:rsidR="00DC2F14" w:rsidRDefault="00DC2F14" w:rsidP="00DC2F14">
      <w:pPr>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推动县域基础设施一体化规划建设管护。开展新一轮农村公路提升行动，推进毗邻村庄联网路建设，持续排查整治村民自建桥梁安全隐患。</w:t>
      </w:r>
      <w:r>
        <w:rPr>
          <w:rFonts w:ascii="Times New Roman" w:eastAsia="仿宋_GB2312" w:hAnsi="Times New Roman" w:hint="eastAsia"/>
          <w:bCs/>
          <w:color w:val="auto"/>
        </w:rPr>
        <w:t>推</w:t>
      </w:r>
      <w:r w:rsidR="00CC1218">
        <w:rPr>
          <w:rFonts w:ascii="Times New Roman" w:eastAsia="仿宋_GB2312" w:hAnsi="Times New Roman" w:hint="eastAsia"/>
          <w:bCs/>
          <w:color w:val="auto"/>
        </w:rPr>
        <w:t>行</w:t>
      </w:r>
      <w:r>
        <w:rPr>
          <w:rFonts w:ascii="仿宋_GB2312" w:eastAsia="仿宋_GB2312" w:hint="eastAsia"/>
          <w:bCs/>
          <w:color w:val="auto"/>
        </w:rPr>
        <w:t>城乡供水一体化、集中供水规模化、小型供水规范化</w:t>
      </w:r>
      <w:r>
        <w:rPr>
          <w:rFonts w:ascii="Times New Roman" w:eastAsia="仿宋_GB2312" w:hAnsi="Times New Roman" w:hint="eastAsia"/>
          <w:bCs/>
          <w:color w:val="auto"/>
        </w:rPr>
        <w:t>、县域统管专业化“</w:t>
      </w:r>
      <w:r>
        <w:rPr>
          <w:rFonts w:ascii="Times New Roman" w:eastAsia="仿宋_GB2312" w:hAnsi="Times New Roman" w:hint="eastAsia"/>
          <w:bCs/>
          <w:color w:val="auto"/>
        </w:rPr>
        <w:t>3+1</w:t>
      </w:r>
      <w:r>
        <w:rPr>
          <w:rFonts w:ascii="Times New Roman" w:eastAsia="仿宋_GB2312" w:hAnsi="Times New Roman" w:hint="eastAsia"/>
          <w:bCs/>
          <w:color w:val="auto"/>
        </w:rPr>
        <w:t>”标准化</w:t>
      </w:r>
      <w:r>
        <w:rPr>
          <w:rFonts w:ascii="仿宋_GB2312" w:eastAsia="仿宋_GB2312" w:hint="eastAsia"/>
          <w:bCs/>
          <w:color w:val="auto"/>
        </w:rPr>
        <w:t>建设</w:t>
      </w:r>
      <w:r>
        <w:rPr>
          <w:rFonts w:ascii="Times New Roman" w:eastAsia="仿宋_GB2312" w:hAnsi="Times New Roman" w:hint="eastAsia"/>
          <w:bCs/>
          <w:color w:val="auto"/>
        </w:rPr>
        <w:t>和管护模式</w:t>
      </w:r>
      <w:r>
        <w:rPr>
          <w:rFonts w:ascii="Times New Roman" w:eastAsia="仿宋_GB2312" w:hAnsi="Times New Roman"/>
          <w:bCs/>
          <w:color w:val="auto"/>
        </w:rPr>
        <w:t>。支持</w:t>
      </w:r>
      <w:r>
        <w:rPr>
          <w:rFonts w:ascii="Times New Roman" w:eastAsia="仿宋_GB2312" w:hAnsi="Times New Roman"/>
          <w:bCs/>
          <w:color w:val="auto"/>
        </w:rPr>
        <w:lastRenderedPageBreak/>
        <w:t>具备条件的镇村建设燃气管网，扩大农村充电设施覆盖范围，推动客货邮融合发展，推进农村基础设施数智化改造。</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（三）提高农村公共服务便利度</w:t>
      </w:r>
    </w:p>
    <w:p w:rsidR="00DC2F14" w:rsidRDefault="00DC2F14" w:rsidP="00DC2F14">
      <w:pPr>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hint="eastAsia"/>
          <w:bCs/>
          <w:color w:val="auto"/>
        </w:rPr>
        <w:t>优化城乡</w:t>
      </w:r>
      <w:r>
        <w:rPr>
          <w:rFonts w:ascii="仿宋_GB2312" w:eastAsia="仿宋_GB2312" w:hAnsi="仿宋_GB2312" w:cs="仿宋_GB2312" w:hint="eastAsia"/>
          <w:bCs/>
          <w:color w:val="auto"/>
        </w:rPr>
        <w:t>教育资源配置，办好乡镇寄宿制学校和必要的乡村小规模学校。推进紧密型县域医共体建设，加强县区、基层医疗机构运行保障和医疗卫生人才队伍建设。建设县级综合养老服务管理平台、“三湘怡养”养老服务综合平台，加强乡镇区域性养老服务中心建设，合理增设村级养老服务站点及助老岗位。健全农村留守儿童、妇女、老年人及困境儿童等关爱服务体</w:t>
      </w:r>
      <w:r>
        <w:rPr>
          <w:rFonts w:ascii="Times New Roman" w:eastAsia="仿宋_GB2312" w:hAnsi="Times New Roman"/>
          <w:bCs/>
          <w:color w:val="auto"/>
        </w:rPr>
        <w:t>系。</w:t>
      </w:r>
    </w:p>
    <w:p w:rsidR="00DC2F14" w:rsidRDefault="00DC2F14" w:rsidP="00DC2F14">
      <w:pPr>
        <w:pStyle w:val="20"/>
        <w:keepNext w:val="0"/>
        <w:keepLines w:val="0"/>
        <w:numPr>
          <w:ilvl w:val="0"/>
          <w:numId w:val="2"/>
        </w:numPr>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提高农村人居环境舒适度</w:t>
      </w:r>
    </w:p>
    <w:p w:rsidR="00DC2F14" w:rsidRDefault="00DC2F14" w:rsidP="00DC2F14">
      <w:pPr>
        <w:snapToGrid w:val="0"/>
        <w:spacing w:line="600" w:lineRule="exact"/>
        <w:ind w:firstLineChars="200" w:firstLine="640"/>
        <w:contextualSpacing/>
        <w:rPr>
          <w:rFonts w:ascii="Times New Roman" w:eastAsia="仿宋_GB2312" w:hAnsi="Times New Roman"/>
          <w:bCs/>
          <w:color w:val="auto"/>
        </w:rPr>
      </w:pPr>
      <w:r>
        <w:rPr>
          <w:rFonts w:ascii="Times New Roman" w:eastAsia="仿宋_GB2312" w:hAnsi="Times New Roman"/>
          <w:bCs/>
          <w:color w:val="auto"/>
        </w:rPr>
        <w:t>整县推进美丽乡村建设。开展农村电力线、通信线、广播电视线违规搭挂整治。健全农村厕所社会化管护服务体系，合理配建农村公厕和乡村旅游厕所。分类推进农村生活污水和黑臭水体治理，推动城市污水处理设施和服务向城镇近郊农村延伸。健全农村生活垃圾收运与分类处置体系，破解垃圾围村问题。推动现代宜居农房建设，加强农村建房施工质量安全监管和风貌管控。</w:t>
      </w:r>
      <w:bookmarkEnd w:id="29"/>
      <w:bookmarkEnd w:id="30"/>
      <w:bookmarkEnd w:id="31"/>
    </w:p>
    <w:p w:rsidR="00DC2F14" w:rsidRDefault="00DC2F14" w:rsidP="00DC2F14">
      <w:pPr>
        <w:pStyle w:val="1"/>
        <w:keepNext w:val="0"/>
        <w:keepLines w:val="0"/>
        <w:snapToGrid w:val="0"/>
        <w:spacing w:before="0" w:after="0" w:line="600" w:lineRule="exact"/>
        <w:ind w:firstLineChars="200" w:firstLine="640"/>
        <w:rPr>
          <w:rFonts w:ascii="Times New Roman" w:eastAsia="黑体" w:hAnsi="Times New Roman"/>
          <w:b w:val="0"/>
          <w:color w:val="auto"/>
          <w:sz w:val="32"/>
          <w:szCs w:val="32"/>
        </w:rPr>
      </w:pPr>
      <w:bookmarkStart w:id="32" w:name="_Toc228207337"/>
      <w:bookmarkStart w:id="33" w:name="_Toc18340"/>
      <w:bookmarkStart w:id="34" w:name="_Toc230770897"/>
      <w:r>
        <w:rPr>
          <w:rFonts w:ascii="Times New Roman" w:eastAsia="黑体" w:hAnsi="Times New Roman"/>
          <w:b w:val="0"/>
          <w:color w:val="auto"/>
          <w:sz w:val="32"/>
          <w:szCs w:val="32"/>
        </w:rPr>
        <w:t>八、健全乡村现代化治理体系</w:t>
      </w:r>
      <w:bookmarkEnd w:id="32"/>
      <w:bookmarkEnd w:id="33"/>
      <w:bookmarkEnd w:id="34"/>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bookmarkStart w:id="35" w:name="_Toc230770898"/>
      <w:r>
        <w:rPr>
          <w:rFonts w:ascii="Times New Roman" w:hAnsi="Times New Roman"/>
          <w:b w:val="0"/>
          <w:bCs/>
          <w:sz w:val="32"/>
          <w:szCs w:val="32"/>
        </w:rPr>
        <w:t>（一）加强农村基层党组织建设</w:t>
      </w:r>
      <w:bookmarkEnd w:id="35"/>
    </w:p>
    <w:p w:rsidR="00DC2F14" w:rsidRDefault="00DC2F14" w:rsidP="00DC2F14">
      <w:pPr>
        <w:snapToGrid w:val="0"/>
        <w:spacing w:line="600" w:lineRule="exact"/>
        <w:ind w:firstLineChars="200" w:firstLine="640"/>
        <w:rPr>
          <w:rFonts w:ascii="Times New Roman" w:hAnsi="Times New Roman"/>
          <w:bCs/>
          <w:color w:val="auto"/>
        </w:rPr>
      </w:pPr>
      <w:r>
        <w:rPr>
          <w:rFonts w:ascii="仿宋_GB2312" w:eastAsia="仿宋_GB2312" w:hAnsi="仿宋_GB2312" w:cs="仿宋_GB2312" w:hint="eastAsia"/>
          <w:bCs/>
          <w:color w:val="auto"/>
        </w:rPr>
        <w:t>深入推进抓党建促乡村振兴，择优选派驻村第一书记和工作队，分层培育村社带头人队伍。科学划定农村治理网格，推动与“片组邻”三长制一体化运转。健全涉农项目和集体资金全流程</w:t>
      </w:r>
      <w:r>
        <w:rPr>
          <w:rFonts w:ascii="仿宋_GB2312" w:eastAsia="仿宋_GB2312" w:hAnsi="仿宋_GB2312" w:cs="仿宋_GB2312" w:hint="eastAsia"/>
          <w:bCs/>
          <w:color w:val="auto"/>
        </w:rPr>
        <w:lastRenderedPageBreak/>
        <w:t>联审联验、公示公开、追溯问责制度，严格农村基层干部管理监督</w:t>
      </w:r>
      <w:r>
        <w:rPr>
          <w:rFonts w:ascii="Times New Roman" w:eastAsia="仿宋_GB2312" w:hAnsi="Times New Roman"/>
          <w:bCs/>
          <w:color w:val="auto"/>
        </w:rPr>
        <w:t>。</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（二）推进</w:t>
      </w:r>
      <w:r>
        <w:rPr>
          <w:rFonts w:ascii="楷体_GB2312" w:eastAsia="楷体_GB2312" w:hAnsi="楷体_GB2312" w:cs="楷体_GB2312" w:hint="eastAsia"/>
          <w:b w:val="0"/>
          <w:bCs/>
          <w:sz w:val="32"/>
          <w:szCs w:val="32"/>
        </w:rPr>
        <w:t>乡村“三治”融</w:t>
      </w:r>
      <w:r>
        <w:rPr>
          <w:rFonts w:ascii="Times New Roman" w:hAnsi="Times New Roman"/>
          <w:b w:val="0"/>
          <w:bCs/>
          <w:sz w:val="32"/>
          <w:szCs w:val="32"/>
        </w:rPr>
        <w:t>合</w:t>
      </w:r>
    </w:p>
    <w:p w:rsidR="00DC2F14" w:rsidRDefault="00DC2F14" w:rsidP="00DC2F14">
      <w:pPr>
        <w:snapToGrid w:val="0"/>
        <w:spacing w:line="600" w:lineRule="exact"/>
        <w:ind w:firstLineChars="200" w:firstLine="640"/>
        <w:rPr>
          <w:rFonts w:ascii="Times New Roman" w:hAnsi="Times New Roman"/>
          <w:bCs/>
          <w:color w:val="auto"/>
        </w:rPr>
      </w:pPr>
      <w:r>
        <w:rPr>
          <w:rFonts w:ascii="Times New Roman" w:eastAsia="仿宋_GB2312" w:hAnsi="Times New Roman"/>
          <w:bCs/>
          <w:color w:val="auto"/>
        </w:rPr>
        <w:t>加强</w:t>
      </w:r>
      <w:r>
        <w:rPr>
          <w:rFonts w:ascii="仿宋_GB2312" w:eastAsia="仿宋_GB2312" w:hAnsi="仿宋_GB2312" w:cs="仿宋_GB2312" w:hint="eastAsia"/>
          <w:bCs/>
          <w:color w:val="auto"/>
        </w:rPr>
        <w:t>村民自治组织规范化建设，梳理村级“小微权力”清单。推广积分制管理等治理模式，常态化开展村民说事、民主恳谈、“党小组+屋场”议事活动。实施乡村“法律明白人”培养工程，提升乡村依法治理能力。坚持和发展新时代“枫桥经验”，推进县乡村三级综治中心规范化建设。持续推进农村扫黑除恶，严厉打击网络诈骗、“黄赌毒”等违法犯罪行为，依法管理农村宗族性活动，规范村辅警管理。推进移风易俗，持续整治农村高额彩礼等问题。</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（三）提升乡村智慧治理能力</w:t>
      </w:r>
    </w:p>
    <w:p w:rsidR="00DC2F14" w:rsidRDefault="00DC2F14" w:rsidP="00DC2F14">
      <w:pPr>
        <w:snapToGrid w:val="0"/>
        <w:spacing w:line="600" w:lineRule="exact"/>
        <w:ind w:firstLineChars="200" w:firstLine="640"/>
        <w:rPr>
          <w:rFonts w:ascii="Times New Roman" w:eastAsia="仿宋_GB2312" w:hAnsi="Times New Roman"/>
          <w:bCs/>
          <w:color w:val="auto"/>
        </w:rPr>
      </w:pPr>
      <w:r>
        <w:rPr>
          <w:rFonts w:ascii="仿宋_GB2312" w:eastAsia="仿宋_GB2312" w:hAnsi="仿宋_GB2312" w:cs="仿宋_GB2312" w:hint="eastAsia"/>
          <w:bCs/>
          <w:color w:val="auto"/>
        </w:rPr>
        <w:t>深化农业农村领域政务服务改革，推动政务服务向农村延伸，实现涉农高频事项“一网通办”。纠治“指尖上的形式主义”，清理整合面向基层的政务应用程序和网络群组，提升“一表通”实效能力，提高干部队伍运用数字化思维方法治理的能力。创新“数字化+”治理机制，推广简便易行、务实管用的治理工</w:t>
      </w:r>
      <w:r>
        <w:rPr>
          <w:rFonts w:ascii="Times New Roman" w:eastAsia="仿宋_GB2312" w:hAnsi="Times New Roman"/>
          <w:bCs/>
          <w:color w:val="auto"/>
        </w:rPr>
        <w:t>具。</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（四）推进乡村文化振兴</w:t>
      </w:r>
    </w:p>
    <w:p w:rsidR="00DC2F14" w:rsidRDefault="00DC2F14" w:rsidP="00DC2F14">
      <w:pPr>
        <w:snapToGrid w:val="0"/>
        <w:spacing w:line="600" w:lineRule="exact"/>
        <w:ind w:firstLineChars="200" w:firstLine="640"/>
        <w:rPr>
          <w:rFonts w:ascii="仿宋_GB2312" w:eastAsia="仿宋_GB2312" w:hAnsi="仿宋_GB2312" w:cs="仿宋_GB2312"/>
          <w:bCs/>
          <w:color w:val="auto"/>
        </w:rPr>
      </w:pPr>
      <w:r>
        <w:rPr>
          <w:rFonts w:ascii="仿宋_GB2312" w:eastAsia="仿宋_GB2312" w:hAnsi="仿宋_GB2312" w:cs="仿宋_GB2312" w:hint="eastAsia"/>
          <w:bCs/>
          <w:color w:val="auto"/>
        </w:rPr>
        <w:t>弘扬和践行社会主义核心价值观，深化新时代文明实践中心（所、站）建设。加大乡土文艺骨干人才培训和群众文艺团队培育力度，鼓励开展“村</w:t>
      </w:r>
      <w:r>
        <w:rPr>
          <w:rFonts w:ascii="Times New Roman" w:eastAsia="仿宋_GB2312" w:hAnsi="Times New Roman"/>
          <w:bCs/>
          <w:color w:val="auto"/>
        </w:rPr>
        <w:t>BA</w:t>
      </w:r>
      <w:r>
        <w:rPr>
          <w:rFonts w:ascii="仿宋_GB2312" w:eastAsia="仿宋_GB2312" w:hAnsi="仿宋_GB2312" w:cs="仿宋_GB2312" w:hint="eastAsia"/>
          <w:bCs/>
          <w:color w:val="auto"/>
        </w:rPr>
        <w:t>”、村厨、村播、村晚、村歌等具有农</w:t>
      </w:r>
      <w:r>
        <w:rPr>
          <w:rFonts w:ascii="仿宋_GB2312" w:eastAsia="仿宋_GB2312" w:hAnsi="仿宋_GB2312" w:cs="仿宋_GB2312" w:hint="eastAsia"/>
          <w:bCs/>
          <w:color w:val="auto"/>
        </w:rPr>
        <w:lastRenderedPageBreak/>
        <w:t>耕农趣农味的群众性文体活动。统筹推进传统村落、历史文化名村、湘粤古道、茶马古道、重要农业文化遗产连片保护利用。</w:t>
      </w:r>
    </w:p>
    <w:tbl>
      <w:tblPr>
        <w:tblStyle w:val="ae"/>
        <w:tblW w:w="0" w:type="auto"/>
        <w:jc w:val="center"/>
        <w:tblLayout w:type="fixed"/>
        <w:tblLook w:val="0000"/>
      </w:tblPr>
      <w:tblGrid>
        <w:gridCol w:w="8960"/>
      </w:tblGrid>
      <w:tr w:rsidR="00DC2F14" w:rsidTr="00320244">
        <w:trPr>
          <w:trHeight w:val="531"/>
          <w:jc w:val="center"/>
        </w:trPr>
        <w:tc>
          <w:tcPr>
            <w:tcW w:w="8960" w:type="dxa"/>
            <w:vAlign w:val="center"/>
          </w:tcPr>
          <w:p w:rsidR="00DC2F14" w:rsidRDefault="00DC2F14" w:rsidP="00320244">
            <w:pPr>
              <w:pStyle w:val="a5"/>
              <w:spacing w:after="0" w:line="400" w:lineRule="exact"/>
              <w:jc w:val="center"/>
              <w:rPr>
                <w:rFonts w:ascii="Times New Roman" w:eastAsia="宋体" w:hAnsi="Times New Roman"/>
                <w:bCs/>
                <w:color w:val="auto"/>
                <w:sz w:val="20"/>
                <w:szCs w:val="20"/>
              </w:rPr>
            </w:pPr>
            <w:bookmarkStart w:id="36" w:name="_Toc211896083"/>
            <w:bookmarkStart w:id="37" w:name="_Hlk231198590"/>
            <w:r>
              <w:rPr>
                <w:rFonts w:ascii="Times New Roman" w:eastAsia="黑体" w:hAnsi="Times New Roman"/>
                <w:bCs/>
                <w:color w:val="auto"/>
                <w:sz w:val="24"/>
                <w:szCs w:val="24"/>
              </w:rPr>
              <w:t>专栏</w:t>
            </w:r>
            <w:r>
              <w:rPr>
                <w:rFonts w:ascii="Times New Roman" w:eastAsia="黑体" w:hAnsi="Times New Roman"/>
                <w:bCs/>
                <w:color w:val="auto"/>
                <w:sz w:val="24"/>
                <w:szCs w:val="24"/>
              </w:rPr>
              <w:t xml:space="preserve">7  </w:t>
            </w:r>
            <w:r>
              <w:rPr>
                <w:rFonts w:ascii="Times New Roman" w:eastAsia="黑体" w:hAnsi="Times New Roman"/>
                <w:bCs/>
                <w:color w:val="auto"/>
                <w:sz w:val="24"/>
                <w:szCs w:val="24"/>
              </w:rPr>
              <w:t>千村美丽示范建设和千镇万村治理效能提档</w:t>
            </w:r>
            <w:bookmarkEnd w:id="36"/>
          </w:p>
        </w:tc>
      </w:tr>
      <w:tr w:rsidR="00DC2F14" w:rsidTr="00320244">
        <w:trPr>
          <w:jc w:val="center"/>
        </w:trPr>
        <w:tc>
          <w:tcPr>
            <w:tcW w:w="8960" w:type="dxa"/>
          </w:tcPr>
          <w:p w:rsidR="00DC2F14" w:rsidRDefault="00DC2F14" w:rsidP="00320244">
            <w:pPr>
              <w:spacing w:line="40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1</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农村人居环境整治。每年支持</w:t>
            </w:r>
            <w:r>
              <w:rPr>
                <w:rFonts w:ascii="Times New Roman" w:eastAsia="仿宋_GB2312" w:hAnsi="Times New Roman"/>
                <w:bCs/>
                <w:color w:val="auto"/>
                <w:sz w:val="24"/>
                <w:szCs w:val="24"/>
              </w:rPr>
              <w:t>10</w:t>
            </w:r>
            <w:r>
              <w:rPr>
                <w:rFonts w:ascii="Times New Roman" w:eastAsia="仿宋_GB2312" w:hAnsi="Times New Roman"/>
                <w:bCs/>
                <w:color w:val="auto"/>
                <w:sz w:val="24"/>
                <w:szCs w:val="24"/>
              </w:rPr>
              <w:t>个县市区，在</w:t>
            </w:r>
            <w:r>
              <w:rPr>
                <w:rFonts w:ascii="Times New Roman" w:eastAsia="仿宋_GB2312" w:hAnsi="Times New Roman"/>
                <w:bCs/>
                <w:color w:val="auto"/>
                <w:sz w:val="24"/>
                <w:szCs w:val="24"/>
              </w:rPr>
              <w:t>1</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2</w:t>
            </w:r>
            <w:r>
              <w:rPr>
                <w:rFonts w:ascii="Times New Roman" w:eastAsia="仿宋_GB2312" w:hAnsi="Times New Roman"/>
                <w:bCs/>
                <w:color w:val="auto"/>
                <w:sz w:val="24"/>
                <w:szCs w:val="24"/>
              </w:rPr>
              <w:t>个乡镇全域开展农村人居环</w:t>
            </w:r>
            <w:r>
              <w:rPr>
                <w:rFonts w:ascii="仿宋_GB2312" w:eastAsia="仿宋_GB2312" w:hAnsi="仿宋_GB2312" w:cs="仿宋_GB2312" w:hint="eastAsia"/>
                <w:bCs/>
                <w:color w:val="auto"/>
                <w:sz w:val="24"/>
                <w:szCs w:val="24"/>
              </w:rPr>
              <w:t>境“补短板”行动</w:t>
            </w:r>
            <w:r>
              <w:rPr>
                <w:rFonts w:ascii="Times New Roman" w:eastAsia="仿宋_GB2312" w:hAnsi="Times New Roman"/>
                <w:bCs/>
                <w:color w:val="auto"/>
                <w:sz w:val="24"/>
                <w:szCs w:val="24"/>
              </w:rPr>
              <w:t>。</w:t>
            </w:r>
          </w:p>
          <w:p w:rsidR="00DC2F14" w:rsidRDefault="00DC2F14" w:rsidP="00320244">
            <w:pPr>
              <w:spacing w:line="40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2</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美丽乡村建设行动。累计建成省级美丽乡村</w:t>
            </w:r>
            <w:r>
              <w:rPr>
                <w:rFonts w:ascii="Times New Roman" w:eastAsia="仿宋_GB2312" w:hAnsi="Times New Roman"/>
                <w:bCs/>
                <w:color w:val="auto"/>
                <w:sz w:val="24"/>
                <w:szCs w:val="24"/>
              </w:rPr>
              <w:t>1000</w:t>
            </w:r>
            <w:r>
              <w:rPr>
                <w:rFonts w:ascii="Times New Roman" w:eastAsia="仿宋_GB2312" w:hAnsi="Times New Roman"/>
                <w:bCs/>
                <w:color w:val="auto"/>
                <w:sz w:val="24"/>
                <w:szCs w:val="24"/>
              </w:rPr>
              <w:t>个，带动市县两级建成美丽乡村</w:t>
            </w:r>
            <w:r>
              <w:rPr>
                <w:rFonts w:ascii="Times New Roman" w:eastAsia="仿宋_GB2312" w:hAnsi="Times New Roman"/>
                <w:bCs/>
                <w:color w:val="auto"/>
                <w:sz w:val="24"/>
                <w:szCs w:val="24"/>
              </w:rPr>
              <w:t>5000</w:t>
            </w:r>
            <w:r>
              <w:rPr>
                <w:rFonts w:ascii="Times New Roman" w:eastAsia="仿宋_GB2312" w:hAnsi="Times New Roman"/>
                <w:bCs/>
                <w:color w:val="auto"/>
                <w:sz w:val="24"/>
                <w:szCs w:val="24"/>
              </w:rPr>
              <w:t>个。</w:t>
            </w:r>
          </w:p>
          <w:p w:rsidR="00DC2F14" w:rsidRDefault="00DC2F14" w:rsidP="00320244">
            <w:pPr>
              <w:spacing w:line="40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3</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农村基层党组织提质行动。将村级组织运转经费纳入县级基本财力保障范围，建立正常增长机制。完善重点乡村常态化选派驻村第一书记和工作队制度。</w:t>
            </w:r>
          </w:p>
          <w:p w:rsidR="00DC2F14" w:rsidRDefault="00DC2F14" w:rsidP="00320244">
            <w:pPr>
              <w:spacing w:line="40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4</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乡村文化振</w:t>
            </w:r>
            <w:r>
              <w:rPr>
                <w:rFonts w:ascii="仿宋_GB2312" w:eastAsia="仿宋_GB2312" w:hAnsi="仿宋_GB2312" w:cs="仿宋_GB2312" w:hint="eastAsia"/>
                <w:bCs/>
                <w:color w:val="auto"/>
                <w:sz w:val="24"/>
                <w:szCs w:val="24"/>
              </w:rPr>
              <w:t>兴行动。支持开展农村戏曲“文化惠民”公益性演出、乡村文体活动。支持建设传统村落集中连片保护利用示范县。</w:t>
            </w:r>
          </w:p>
        </w:tc>
      </w:tr>
    </w:tbl>
    <w:bookmarkEnd w:id="37"/>
    <w:p w:rsidR="00DC2F14" w:rsidRDefault="00DC2F14" w:rsidP="00DC2F14">
      <w:pPr>
        <w:pStyle w:val="1"/>
        <w:keepNext w:val="0"/>
        <w:keepLines w:val="0"/>
        <w:widowControl w:val="0"/>
        <w:snapToGrid w:val="0"/>
        <w:spacing w:before="0" w:after="0" w:line="600" w:lineRule="exact"/>
        <w:ind w:firstLineChars="200" w:firstLine="640"/>
        <w:rPr>
          <w:rFonts w:ascii="Times New Roman" w:eastAsia="黑体" w:hAnsi="Times New Roman"/>
          <w:b w:val="0"/>
          <w:color w:val="auto"/>
          <w:sz w:val="32"/>
          <w:szCs w:val="32"/>
        </w:rPr>
      </w:pPr>
      <w:r>
        <w:rPr>
          <w:rFonts w:ascii="Times New Roman" w:eastAsia="黑体" w:hAnsi="Times New Roman" w:hint="eastAsia"/>
          <w:b w:val="0"/>
          <w:color w:val="auto"/>
          <w:sz w:val="32"/>
          <w:szCs w:val="32"/>
        </w:rPr>
        <w:t>九、</w:t>
      </w:r>
      <w:r>
        <w:rPr>
          <w:rFonts w:ascii="Times New Roman" w:eastAsia="黑体" w:hAnsi="Times New Roman"/>
          <w:b w:val="0"/>
          <w:color w:val="auto"/>
          <w:sz w:val="32"/>
          <w:szCs w:val="32"/>
        </w:rPr>
        <w:t>提高强农惠农富农政策效能</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（一）加快县域经济和城乡融合发展</w:t>
      </w:r>
    </w:p>
    <w:p w:rsidR="00DC2F14" w:rsidRDefault="00DC2F14" w:rsidP="00DC2F14">
      <w:pPr>
        <w:widowControl w:val="0"/>
        <w:snapToGrid w:val="0"/>
        <w:spacing w:line="600" w:lineRule="exact"/>
        <w:ind w:firstLineChars="200" w:firstLine="640"/>
        <w:rPr>
          <w:rFonts w:ascii="Times New Roman" w:eastAsia="仿宋_GB2312" w:hAnsi="Times New Roman"/>
          <w:bCs/>
          <w:color w:val="auto"/>
        </w:rPr>
      </w:pPr>
      <w:r>
        <w:rPr>
          <w:rFonts w:ascii="Times New Roman" w:eastAsia="仿宋_GB2312" w:hAnsi="Times New Roman"/>
          <w:bCs/>
          <w:color w:val="auto"/>
        </w:rPr>
        <w:t>构建以县城为枢纽、城镇为节点、农村为基地的发展格局，推动空间要素跨城乡合理流动。强化县域综合服务能力，分类推进以县城为重要载体的城镇化建设。以湘东湘中片区和人口规模较大、资源环境承载能力较强、城镇化空间大的县市区为</w:t>
      </w:r>
      <w:r>
        <w:rPr>
          <w:rFonts w:ascii="Times New Roman" w:eastAsia="仿宋_GB2312" w:hAnsi="Times New Roman" w:hint="eastAsia"/>
          <w:bCs/>
          <w:color w:val="auto"/>
        </w:rPr>
        <w:t>主</w:t>
      </w:r>
      <w:r>
        <w:rPr>
          <w:rFonts w:ascii="Times New Roman" w:eastAsia="仿宋_GB2312" w:hAnsi="Times New Roman"/>
          <w:bCs/>
          <w:color w:val="auto"/>
        </w:rPr>
        <w:t>，实施潜力地</w:t>
      </w:r>
      <w:r>
        <w:rPr>
          <w:rFonts w:ascii="仿宋_GB2312" w:eastAsia="仿宋_GB2312" w:hAnsi="仿宋_GB2312" w:cs="仿宋_GB2312" w:hint="eastAsia"/>
          <w:bCs/>
          <w:color w:val="auto"/>
        </w:rPr>
        <w:t>区城镇化水平提升行动。有序推进农业转移人口市民化，依法维护进城落户农民的土地承包权、宅基地使用权、集体收益分配权。健全支持经济大县优先发展体制机制，发展各具特色的县域经济，构建“一主一特”县域特色产业</w:t>
      </w:r>
      <w:r>
        <w:rPr>
          <w:rFonts w:ascii="Times New Roman" w:eastAsia="仿宋_GB2312" w:hAnsi="Times New Roman"/>
          <w:bCs/>
          <w:color w:val="auto"/>
        </w:rPr>
        <w:t>体系、差异化协同化政策支持体系。到</w:t>
      </w:r>
      <w:r>
        <w:rPr>
          <w:rFonts w:ascii="Times New Roman" w:eastAsia="仿宋_GB2312" w:hAnsi="Times New Roman"/>
          <w:bCs/>
          <w:color w:val="auto"/>
        </w:rPr>
        <w:t>2030</w:t>
      </w:r>
      <w:r>
        <w:rPr>
          <w:rFonts w:ascii="Times New Roman" w:eastAsia="仿宋_GB2312" w:hAnsi="Times New Roman"/>
          <w:bCs/>
          <w:color w:val="auto"/>
        </w:rPr>
        <w:t>年，力争地区生产总值超过</w:t>
      </w:r>
      <w:r>
        <w:rPr>
          <w:rFonts w:ascii="Times New Roman" w:eastAsia="仿宋_GB2312" w:hAnsi="Times New Roman"/>
          <w:bCs/>
          <w:color w:val="auto"/>
        </w:rPr>
        <w:t>1000</w:t>
      </w:r>
      <w:r>
        <w:rPr>
          <w:rFonts w:ascii="Times New Roman" w:eastAsia="仿宋_GB2312" w:hAnsi="Times New Roman"/>
          <w:bCs/>
          <w:color w:val="auto"/>
        </w:rPr>
        <w:t>亿元的县达</w:t>
      </w:r>
      <w:r>
        <w:rPr>
          <w:rFonts w:ascii="Times New Roman" w:eastAsia="仿宋_GB2312" w:hAnsi="Times New Roman"/>
          <w:bCs/>
          <w:color w:val="auto"/>
        </w:rPr>
        <w:t>4</w:t>
      </w:r>
      <w:r>
        <w:rPr>
          <w:rFonts w:ascii="Times New Roman" w:eastAsia="仿宋_GB2312" w:hAnsi="Times New Roman"/>
          <w:bCs/>
          <w:color w:val="auto"/>
        </w:rPr>
        <w:t>个、超过</w:t>
      </w:r>
      <w:r>
        <w:rPr>
          <w:rFonts w:ascii="Times New Roman" w:eastAsia="仿宋_GB2312" w:hAnsi="Times New Roman"/>
          <w:bCs/>
          <w:color w:val="auto"/>
        </w:rPr>
        <w:t>500</w:t>
      </w:r>
      <w:r>
        <w:rPr>
          <w:rFonts w:ascii="Times New Roman" w:eastAsia="仿宋_GB2312" w:hAnsi="Times New Roman"/>
          <w:bCs/>
          <w:color w:val="auto"/>
        </w:rPr>
        <w:t>亿元的县达</w:t>
      </w:r>
      <w:r>
        <w:rPr>
          <w:rFonts w:ascii="Times New Roman" w:eastAsia="仿宋_GB2312" w:hAnsi="Times New Roman"/>
          <w:bCs/>
          <w:color w:val="auto"/>
        </w:rPr>
        <w:t>27</w:t>
      </w:r>
      <w:r>
        <w:rPr>
          <w:rFonts w:ascii="Times New Roman" w:eastAsia="仿宋_GB2312" w:hAnsi="Times New Roman"/>
          <w:bCs/>
          <w:color w:val="auto"/>
        </w:rPr>
        <w:t>个。</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（二）深化农村投融资机制改革</w:t>
      </w:r>
    </w:p>
    <w:p w:rsidR="00DC2F14" w:rsidRDefault="00DC2F14" w:rsidP="00DC2F14">
      <w:pPr>
        <w:widowControl w:val="0"/>
        <w:snapToGrid w:val="0"/>
        <w:spacing w:line="600" w:lineRule="exact"/>
        <w:ind w:firstLineChars="200" w:firstLine="640"/>
        <w:rPr>
          <w:rFonts w:ascii="Times New Roman" w:eastAsia="仿宋_GB2312" w:hAnsi="Times New Roman"/>
          <w:bCs/>
          <w:color w:val="auto"/>
        </w:rPr>
      </w:pPr>
      <w:r>
        <w:rPr>
          <w:rFonts w:ascii="Times New Roman" w:eastAsia="仿宋_GB2312" w:hAnsi="Times New Roman"/>
          <w:bCs/>
          <w:color w:val="auto"/>
        </w:rPr>
        <w:t>健全</w:t>
      </w:r>
      <w:r>
        <w:rPr>
          <w:rFonts w:ascii="仿宋_GB2312" w:eastAsia="仿宋_GB2312" w:hAnsi="仿宋_GB2312" w:cs="仿宋_GB2312" w:hint="eastAsia"/>
          <w:bCs/>
          <w:color w:val="auto"/>
        </w:rPr>
        <w:t>财政优先保障、金融重点倾斜、社会积极参与的多元投</w:t>
      </w:r>
      <w:r>
        <w:rPr>
          <w:rFonts w:ascii="仿宋_GB2312" w:eastAsia="仿宋_GB2312" w:hAnsi="仿宋_GB2312" w:cs="仿宋_GB2312" w:hint="eastAsia"/>
          <w:bCs/>
          <w:color w:val="auto"/>
        </w:rPr>
        <w:lastRenderedPageBreak/>
        <w:t>入格局，确保乡村振兴投入力度不断增强。推动财政支农资金从直接补贴向更多采用以奖代补、先建后补、贷款贴息、政府购买服务等方式转变。用足用好专项债、超长期特别国债，支持农业农村领域重大项目建设。深化“政银险担基”合作机制，支持金融机构创新信贷产品，增加涉农中小主体信贷投放。推广农业设施和畜禽活体抵押融资等新型农村产权抵质押贷款业务。加强财政涉农资金预算绩效智慧管理，强化基层资金兑付和监管能力保障</w:t>
      </w:r>
      <w:r>
        <w:rPr>
          <w:rFonts w:ascii="Times New Roman" w:eastAsia="仿宋_GB2312" w:hAnsi="Times New Roman"/>
          <w:bCs/>
          <w:color w:val="auto"/>
        </w:rPr>
        <w:t>。</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（三）稳步推进农村土地制度改革</w:t>
      </w:r>
    </w:p>
    <w:p w:rsidR="00DC2F14" w:rsidRDefault="00DC2F14" w:rsidP="00DC2F14">
      <w:pPr>
        <w:widowControl w:val="0"/>
        <w:snapToGrid w:val="0"/>
        <w:spacing w:line="600" w:lineRule="exact"/>
        <w:ind w:firstLineChars="200" w:firstLine="640"/>
        <w:rPr>
          <w:rFonts w:ascii="Times New Roman" w:eastAsia="仿宋_GB2312" w:hAnsi="Times New Roman"/>
          <w:bCs/>
          <w:color w:val="auto"/>
        </w:rPr>
      </w:pPr>
      <w:r>
        <w:rPr>
          <w:rFonts w:ascii="Times New Roman" w:eastAsia="仿宋_GB2312" w:hAnsi="Times New Roman"/>
          <w:bCs/>
          <w:color w:val="auto"/>
        </w:rPr>
        <w:t>坚</w:t>
      </w:r>
      <w:r>
        <w:rPr>
          <w:rFonts w:ascii="仿宋_GB2312" w:eastAsia="仿宋_GB2312" w:hAnsi="仿宋_GB2312" w:cs="仿宋_GB2312" w:hint="eastAsia"/>
          <w:bCs/>
          <w:color w:val="auto"/>
        </w:rPr>
        <w:t>持“大稳定、小调整”，推进第二轮土地承</w:t>
      </w:r>
      <w:r>
        <w:rPr>
          <w:rFonts w:ascii="Times New Roman" w:eastAsia="仿宋_GB2312" w:hAnsi="Times New Roman"/>
          <w:bCs/>
          <w:color w:val="auto"/>
        </w:rPr>
        <w:t>包到期后再延长</w:t>
      </w:r>
      <w:r>
        <w:rPr>
          <w:rFonts w:ascii="Times New Roman" w:eastAsia="仿宋_GB2312" w:hAnsi="Times New Roman"/>
          <w:bCs/>
          <w:color w:val="auto"/>
        </w:rPr>
        <w:t>30</w:t>
      </w:r>
      <w:r>
        <w:rPr>
          <w:rFonts w:ascii="Times New Roman" w:eastAsia="仿宋_GB2312" w:hAnsi="Times New Roman"/>
          <w:bCs/>
          <w:color w:val="auto"/>
        </w:rPr>
        <w:t>年整省试点。加强长时间大面积流转土地风险监测预警，推动土地承包合同管理与不动产统一登记有序衔接。深化承包地所有权、</w:t>
      </w:r>
      <w:r>
        <w:rPr>
          <w:rFonts w:ascii="仿宋_GB2312" w:eastAsia="仿宋_GB2312" w:hAnsi="仿宋_GB2312" w:cs="仿宋_GB2312" w:hint="eastAsia"/>
          <w:bCs/>
          <w:color w:val="auto"/>
        </w:rPr>
        <w:t>承包权、经营权分置改革及集体林权制度改革，探索农业“标准地”改革，发展适度规模经营。强化农村宅基地和村民建房审批管理，深化高效办成农村建房“一件事”改革，稳慎推进农村乱占耕地建房专项整治。推进国有农场企业化改革，完善农垦国</w:t>
      </w:r>
      <w:r>
        <w:rPr>
          <w:rFonts w:ascii="Times New Roman" w:eastAsia="仿宋_GB2312" w:hAnsi="Times New Roman"/>
          <w:bCs/>
          <w:color w:val="auto"/>
        </w:rPr>
        <w:t>有资产资源监管机制。</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（四）发展壮大乡村人才队伍</w:t>
      </w:r>
    </w:p>
    <w:p w:rsidR="00DC2F14" w:rsidRDefault="00DC2F14" w:rsidP="00DC2F14">
      <w:pPr>
        <w:widowControl w:val="0"/>
        <w:snapToGrid w:val="0"/>
        <w:spacing w:line="600" w:lineRule="exact"/>
        <w:ind w:firstLineChars="200" w:firstLine="640"/>
        <w:rPr>
          <w:rFonts w:ascii="Times New Roman" w:eastAsia="仿宋_GB2312" w:hAnsi="Times New Roman"/>
          <w:bCs/>
          <w:color w:val="auto"/>
        </w:rPr>
      </w:pPr>
      <w:r>
        <w:rPr>
          <w:rFonts w:ascii="Times New Roman" w:eastAsia="仿宋_GB2312" w:hAnsi="Times New Roman"/>
          <w:bCs/>
          <w:color w:val="auto"/>
        </w:rPr>
        <w:t>鼓励</w:t>
      </w:r>
      <w:r>
        <w:rPr>
          <w:rFonts w:ascii="仿宋_GB2312" w:eastAsia="仿宋_GB2312" w:hAnsi="仿宋_GB2312" w:cs="仿宋_GB2312" w:hint="eastAsia"/>
          <w:bCs/>
          <w:color w:val="auto"/>
        </w:rPr>
        <w:t>高校及科研院所加快新农科建设，增设智慧农业等前沿专业及农机应用与维护等技术专业，推动涉农专业人才定向培养。推广“科技副总”“产业教授”等模式，促进高校、科研院所与企业人才双向流动。加强农业农村人才发展服务中心建设，健全</w:t>
      </w:r>
      <w:r>
        <w:rPr>
          <w:rFonts w:ascii="仿宋_GB2312" w:eastAsia="仿宋_GB2312" w:hAnsi="仿宋_GB2312" w:cs="仿宋_GB2312" w:hint="eastAsia"/>
          <w:bCs/>
          <w:color w:val="auto"/>
        </w:rPr>
        <w:lastRenderedPageBreak/>
        <w:t>乡村人才分级分类评价机制。实施新一轮高校毕业生“三支一扶”计划，推进乡村巾帼追梦人计划和百万青年建功乡村振兴行动</w:t>
      </w:r>
      <w:r>
        <w:rPr>
          <w:rFonts w:ascii="Times New Roman" w:eastAsia="仿宋_GB2312" w:hAnsi="Times New Roman"/>
          <w:bCs/>
          <w:color w:val="auto"/>
        </w:rPr>
        <w:t>。</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（五）健全现代农业经营体系</w:t>
      </w:r>
    </w:p>
    <w:p w:rsidR="00DC2F14" w:rsidRDefault="00DC2F14" w:rsidP="00DC2F14">
      <w:pPr>
        <w:widowControl w:val="0"/>
        <w:snapToGrid w:val="0"/>
        <w:spacing w:line="600" w:lineRule="exact"/>
        <w:ind w:firstLineChars="200" w:firstLine="640"/>
        <w:rPr>
          <w:rFonts w:ascii="Times New Roman" w:eastAsia="仿宋_GB2312" w:hAnsi="Times New Roman"/>
          <w:bCs/>
          <w:color w:val="auto"/>
        </w:rPr>
      </w:pPr>
      <w:r>
        <w:rPr>
          <w:rFonts w:ascii="Times New Roman" w:eastAsia="仿宋_GB2312" w:hAnsi="Times New Roman"/>
          <w:bCs/>
          <w:color w:val="auto"/>
        </w:rPr>
        <w:t>加强新型农业经营主体辅导员队伍建设，鼓励县级建立新型农业经营主体服务中心。引导</w:t>
      </w:r>
      <w:r>
        <w:rPr>
          <w:rFonts w:ascii="仿宋_GB2312" w:eastAsia="仿宋_GB2312" w:hAnsi="仿宋_GB2312" w:cs="仿宋_GB2312" w:hint="eastAsia"/>
          <w:bCs/>
          <w:color w:val="auto"/>
        </w:rPr>
        <w:t>发展“</w:t>
      </w:r>
      <w:r>
        <w:rPr>
          <w:rFonts w:ascii="Times New Roman" w:eastAsia="仿宋_GB2312" w:hAnsi="Times New Roman"/>
          <w:bCs/>
          <w:color w:val="auto"/>
        </w:rPr>
        <w:t>211</w:t>
      </w:r>
      <w:r>
        <w:rPr>
          <w:rFonts w:ascii="仿宋_GB2312" w:eastAsia="仿宋_GB2312" w:hAnsi="仿宋_GB2312" w:cs="仿宋_GB2312" w:hint="eastAsia"/>
          <w:bCs/>
          <w:color w:val="auto"/>
        </w:rPr>
        <w:t>”等农</w:t>
      </w:r>
      <w:r>
        <w:rPr>
          <w:rFonts w:ascii="Times New Roman" w:eastAsia="仿宋_GB2312" w:hAnsi="Times New Roman"/>
          <w:bCs/>
          <w:color w:val="auto"/>
        </w:rPr>
        <w:t>业适度规模经营模式，推</w:t>
      </w:r>
      <w:r>
        <w:rPr>
          <w:rFonts w:ascii="仿宋_GB2312" w:eastAsia="仿宋_GB2312" w:hAnsi="仿宋_GB2312" w:cs="仿宋_GB2312" w:hint="eastAsia"/>
          <w:bCs/>
          <w:color w:val="auto"/>
        </w:rPr>
        <w:t>行“一码通”赋码增信。规范农民合作社管理，支持联合社发展。分区域、分专业梯次建设现代农事综合服务中心，引导各类涉农主体、供销合作社拓展社会化服务领域，发展具备全链条托管能力的社会化服务组织，稳步提高农业劳动生产率。建设省级农业社会化服务综合信息平台，打造一批“农服超市”</w:t>
      </w:r>
      <w:r>
        <w:rPr>
          <w:rFonts w:ascii="Times New Roman" w:eastAsia="仿宋_GB2312" w:hAnsi="Times New Roman"/>
          <w:bCs/>
          <w:color w:val="auto"/>
        </w:rPr>
        <w:t>。</w:t>
      </w:r>
    </w:p>
    <w:p w:rsidR="00DC2F14" w:rsidRDefault="00DC2F14" w:rsidP="00DC2F14">
      <w:pPr>
        <w:pStyle w:val="20"/>
        <w:keepNext w:val="0"/>
        <w:keepLines w:val="0"/>
        <w:adjustRightInd w:val="0"/>
        <w:snapToGrid w:val="0"/>
        <w:spacing w:line="600" w:lineRule="exact"/>
        <w:ind w:firstLineChars="200" w:firstLine="640"/>
        <w:jc w:val="left"/>
        <w:rPr>
          <w:rFonts w:ascii="Times New Roman" w:hAnsi="Times New Roman"/>
          <w:b w:val="0"/>
          <w:bCs/>
          <w:sz w:val="32"/>
          <w:szCs w:val="32"/>
        </w:rPr>
      </w:pPr>
      <w:r>
        <w:rPr>
          <w:rFonts w:ascii="Times New Roman" w:hAnsi="Times New Roman"/>
          <w:b w:val="0"/>
          <w:bCs/>
          <w:sz w:val="32"/>
          <w:szCs w:val="32"/>
        </w:rPr>
        <w:t>（六）提升农业农村防灾减灾救灾能力</w:t>
      </w:r>
    </w:p>
    <w:p w:rsidR="00DC2F14" w:rsidRDefault="00DC2F14" w:rsidP="00DC2F14">
      <w:pPr>
        <w:widowControl w:val="0"/>
        <w:snapToGrid w:val="0"/>
        <w:spacing w:line="600" w:lineRule="exact"/>
        <w:ind w:firstLineChars="200" w:firstLine="640"/>
        <w:rPr>
          <w:rFonts w:ascii="Times New Roman" w:eastAsia="仿宋_GB2312" w:hAnsi="Times New Roman"/>
          <w:bCs/>
          <w:color w:val="auto"/>
        </w:rPr>
      </w:pPr>
      <w:r>
        <w:rPr>
          <w:rFonts w:ascii="Times New Roman" w:eastAsia="仿宋_GB2312" w:hAnsi="Times New Roman" w:hint="eastAsia"/>
          <w:bCs/>
          <w:color w:val="auto"/>
        </w:rPr>
        <w:t>发展韧性农业，</w:t>
      </w:r>
      <w:r>
        <w:rPr>
          <w:rFonts w:ascii="Times New Roman" w:eastAsia="仿宋_GB2312" w:hAnsi="Times New Roman"/>
          <w:bCs/>
          <w:color w:val="auto"/>
        </w:rPr>
        <w:t>整合农业气象服务平台资源，建设区域农业应急救</w:t>
      </w:r>
      <w:r>
        <w:rPr>
          <w:rFonts w:ascii="仿宋_GB2312" w:eastAsia="仿宋_GB2312" w:hAnsi="仿宋_GB2312" w:cs="仿宋_GB2312" w:hint="eastAsia"/>
          <w:bCs/>
          <w:color w:val="auto"/>
        </w:rPr>
        <w:t>灾中心，统筹做好应急救灾种子、防汛抗旱机具、重要农资等储备和共享调度。推广“流动供销”服务模式。健全灾毁农田及灌排设施快速修复机制。加强农作物病虫害统防统治，推进重大动物疫病联防联控。推广省级巨灾大棚设施、巨灾高标准农田保险，发展地方特色农产品保险，健全预赔付和理赔直付机制。排查整治农村沼气、农业机械等重点领域安全隐</w:t>
      </w:r>
      <w:r>
        <w:rPr>
          <w:rFonts w:ascii="Times New Roman" w:eastAsia="仿宋_GB2312" w:hAnsi="Times New Roman"/>
          <w:bCs/>
          <w:color w:val="auto"/>
        </w:rPr>
        <w:t>患。</w:t>
      </w:r>
    </w:p>
    <w:tbl>
      <w:tblPr>
        <w:tblStyle w:val="12"/>
        <w:tblW w:w="0" w:type="auto"/>
        <w:jc w:val="center"/>
        <w:tblLayout w:type="fixed"/>
        <w:tblLook w:val="0000"/>
      </w:tblPr>
      <w:tblGrid>
        <w:gridCol w:w="9106"/>
      </w:tblGrid>
      <w:tr w:rsidR="00DC2F14" w:rsidTr="00320244">
        <w:trPr>
          <w:trHeight w:val="500"/>
          <w:jc w:val="center"/>
        </w:trPr>
        <w:tc>
          <w:tcPr>
            <w:tcW w:w="9106"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360" w:lineRule="exact"/>
              <w:contextualSpacing/>
              <w:jc w:val="center"/>
              <w:rPr>
                <w:rFonts w:ascii="Times New Roman" w:eastAsia="黑体" w:hAnsi="Times New Roman"/>
                <w:bCs/>
                <w:color w:val="auto"/>
                <w:sz w:val="24"/>
                <w:szCs w:val="24"/>
              </w:rPr>
            </w:pPr>
            <w:r>
              <w:rPr>
                <w:rFonts w:ascii="Times New Roman" w:eastAsia="黑体" w:hAnsi="Times New Roman"/>
                <w:bCs/>
                <w:color w:val="auto"/>
                <w:sz w:val="24"/>
                <w:szCs w:val="24"/>
              </w:rPr>
              <w:t>专栏</w:t>
            </w:r>
            <w:r>
              <w:rPr>
                <w:rFonts w:ascii="Times New Roman" w:eastAsia="黑体" w:hAnsi="Times New Roman"/>
                <w:bCs/>
                <w:color w:val="auto"/>
                <w:sz w:val="24"/>
                <w:szCs w:val="24"/>
              </w:rPr>
              <w:t xml:space="preserve">8  </w:t>
            </w:r>
            <w:r>
              <w:rPr>
                <w:rFonts w:ascii="Times New Roman" w:eastAsia="黑体" w:hAnsi="Times New Roman"/>
                <w:bCs/>
                <w:color w:val="auto"/>
                <w:sz w:val="24"/>
                <w:szCs w:val="24"/>
              </w:rPr>
              <w:t>强农惠农富农政策效能提升</w:t>
            </w:r>
          </w:p>
        </w:tc>
      </w:tr>
      <w:tr w:rsidR="00DC2F14" w:rsidTr="00320244">
        <w:trPr>
          <w:trHeight w:val="3833"/>
          <w:jc w:val="center"/>
        </w:trPr>
        <w:tc>
          <w:tcPr>
            <w:tcW w:w="9106" w:type="dxa"/>
            <w:tcBorders>
              <w:top w:val="single" w:sz="4" w:space="0" w:color="auto"/>
              <w:left w:val="single" w:sz="4" w:space="0" w:color="auto"/>
              <w:bottom w:val="single" w:sz="4" w:space="0" w:color="auto"/>
              <w:right w:val="single" w:sz="4" w:space="0" w:color="auto"/>
            </w:tcBorders>
            <w:vAlign w:val="center"/>
          </w:tcPr>
          <w:p w:rsidR="00DC2F14" w:rsidRDefault="00DC2F14" w:rsidP="00320244">
            <w:pPr>
              <w:spacing w:line="36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lastRenderedPageBreak/>
              <w:t>1</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新型农业经营主体能力提升行动。</w:t>
            </w:r>
            <w:r>
              <w:rPr>
                <w:rFonts w:ascii="Times New Roman" w:eastAsia="仿宋_GB2312" w:hAnsi="Times New Roman"/>
                <w:bCs/>
                <w:color w:val="auto"/>
                <w:sz w:val="24"/>
                <w:szCs w:val="24"/>
              </w:rPr>
              <w:t>2026</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2027</w:t>
            </w:r>
            <w:r>
              <w:rPr>
                <w:rFonts w:ascii="Times New Roman" w:eastAsia="仿宋_GB2312" w:hAnsi="Times New Roman"/>
                <w:bCs/>
                <w:color w:val="auto"/>
                <w:sz w:val="24"/>
                <w:szCs w:val="24"/>
              </w:rPr>
              <w:t>年，省级每年重点支持</w:t>
            </w:r>
            <w:r>
              <w:rPr>
                <w:rFonts w:ascii="Times New Roman" w:eastAsia="仿宋_GB2312" w:hAnsi="Times New Roman"/>
                <w:bCs/>
                <w:color w:val="auto"/>
                <w:sz w:val="24"/>
                <w:szCs w:val="24"/>
              </w:rPr>
              <w:t>200</w:t>
            </w:r>
            <w:r>
              <w:rPr>
                <w:rFonts w:ascii="Times New Roman" w:eastAsia="仿宋_GB2312" w:hAnsi="Times New Roman"/>
                <w:bCs/>
                <w:color w:val="auto"/>
                <w:sz w:val="24"/>
                <w:szCs w:val="24"/>
              </w:rPr>
              <w:t>个农民合作社、</w:t>
            </w:r>
            <w:r>
              <w:rPr>
                <w:rFonts w:ascii="Times New Roman" w:eastAsia="仿宋_GB2312" w:hAnsi="Times New Roman"/>
                <w:bCs/>
                <w:color w:val="auto"/>
                <w:sz w:val="24"/>
                <w:szCs w:val="24"/>
              </w:rPr>
              <w:t>200</w:t>
            </w:r>
            <w:r>
              <w:rPr>
                <w:rFonts w:ascii="Times New Roman" w:eastAsia="仿宋_GB2312" w:hAnsi="Times New Roman"/>
                <w:bCs/>
                <w:color w:val="auto"/>
                <w:sz w:val="24"/>
                <w:szCs w:val="24"/>
              </w:rPr>
              <w:t>个家庭农场提升联农带农和市场竞争能力。</w:t>
            </w:r>
          </w:p>
          <w:p w:rsidR="00DC2F14" w:rsidRDefault="00DC2F14" w:rsidP="00320244">
            <w:pPr>
              <w:spacing w:line="36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2</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区域服务体系培育行动。</w:t>
            </w:r>
            <w:r>
              <w:rPr>
                <w:rFonts w:ascii="Times New Roman" w:eastAsia="仿宋_GB2312" w:hAnsi="Times New Roman"/>
                <w:bCs/>
                <w:color w:val="auto"/>
                <w:sz w:val="24"/>
                <w:szCs w:val="24"/>
              </w:rPr>
              <w:t>2026</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2027</w:t>
            </w:r>
            <w:r>
              <w:rPr>
                <w:rFonts w:ascii="Times New Roman" w:eastAsia="仿宋_GB2312" w:hAnsi="Times New Roman"/>
                <w:bCs/>
                <w:color w:val="auto"/>
                <w:sz w:val="24"/>
                <w:szCs w:val="24"/>
              </w:rPr>
              <w:t>年，每年支持建设小、中、大型现代农事综合服务中心各</w:t>
            </w:r>
            <w:r>
              <w:rPr>
                <w:rFonts w:ascii="Times New Roman" w:eastAsia="仿宋_GB2312" w:hAnsi="Times New Roman"/>
                <w:bCs/>
                <w:color w:val="auto"/>
                <w:sz w:val="24"/>
                <w:szCs w:val="24"/>
              </w:rPr>
              <w:t>30</w:t>
            </w:r>
            <w:r>
              <w:rPr>
                <w:rFonts w:ascii="Times New Roman" w:eastAsia="仿宋_GB2312" w:hAnsi="Times New Roman"/>
                <w:bCs/>
                <w:color w:val="auto"/>
                <w:sz w:val="24"/>
                <w:szCs w:val="24"/>
              </w:rPr>
              <w:t>个、</w:t>
            </w:r>
            <w:r>
              <w:rPr>
                <w:rFonts w:ascii="Times New Roman" w:eastAsia="仿宋_GB2312" w:hAnsi="Times New Roman"/>
                <w:bCs/>
                <w:color w:val="auto"/>
                <w:sz w:val="24"/>
                <w:szCs w:val="24"/>
              </w:rPr>
              <w:t>10</w:t>
            </w:r>
            <w:r>
              <w:rPr>
                <w:rFonts w:ascii="Times New Roman" w:eastAsia="仿宋_GB2312" w:hAnsi="Times New Roman"/>
                <w:bCs/>
                <w:color w:val="auto"/>
                <w:sz w:val="24"/>
                <w:szCs w:val="24"/>
              </w:rPr>
              <w:t>个、</w:t>
            </w:r>
            <w:r>
              <w:rPr>
                <w:rFonts w:ascii="Times New Roman" w:eastAsia="仿宋_GB2312" w:hAnsi="Times New Roman"/>
                <w:bCs/>
                <w:color w:val="auto"/>
                <w:sz w:val="24"/>
                <w:szCs w:val="24"/>
              </w:rPr>
              <w:t>5</w:t>
            </w:r>
            <w:r>
              <w:rPr>
                <w:rFonts w:ascii="Times New Roman" w:eastAsia="仿宋_GB2312" w:hAnsi="Times New Roman"/>
                <w:bCs/>
                <w:color w:val="auto"/>
                <w:sz w:val="24"/>
                <w:szCs w:val="24"/>
              </w:rPr>
              <w:t>个。支持水稻集中育秧、机插机抛等薄弱环节社会化服务，探索经济作物、畜禽水产养殖社会化服务。</w:t>
            </w:r>
          </w:p>
          <w:p w:rsidR="00DC2F14" w:rsidRDefault="00DC2F14" w:rsidP="00320244">
            <w:pPr>
              <w:spacing w:line="360" w:lineRule="exact"/>
              <w:ind w:firstLineChars="200" w:firstLine="480"/>
              <w:contextualSpacing/>
              <w:rPr>
                <w:rFonts w:ascii="Times New Roman" w:eastAsia="仿宋_GB2312" w:hAnsi="Times New Roman"/>
                <w:bCs/>
                <w:color w:val="auto"/>
                <w:sz w:val="24"/>
                <w:szCs w:val="24"/>
              </w:rPr>
            </w:pPr>
            <w:r>
              <w:rPr>
                <w:rFonts w:ascii="Times New Roman" w:eastAsia="仿宋_GB2312" w:hAnsi="Times New Roman"/>
                <w:bCs/>
                <w:color w:val="auto"/>
                <w:sz w:val="24"/>
                <w:szCs w:val="24"/>
              </w:rPr>
              <w:t>3</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动植物保护能力提升行动。提质改造病死畜禽无害化处理中心</w:t>
            </w:r>
            <w:r>
              <w:rPr>
                <w:rFonts w:ascii="Times New Roman" w:eastAsia="仿宋_GB2312" w:hAnsi="Times New Roman"/>
                <w:bCs/>
                <w:color w:val="auto"/>
                <w:sz w:val="24"/>
                <w:szCs w:val="24"/>
              </w:rPr>
              <w:t>30</w:t>
            </w:r>
            <w:r>
              <w:rPr>
                <w:rFonts w:ascii="Times New Roman" w:eastAsia="仿宋_GB2312" w:hAnsi="Times New Roman"/>
                <w:bCs/>
                <w:color w:val="auto"/>
                <w:sz w:val="24"/>
                <w:szCs w:val="24"/>
              </w:rPr>
              <w:t>个，升级改造</w:t>
            </w:r>
            <w:r>
              <w:rPr>
                <w:rFonts w:ascii="Times New Roman" w:eastAsia="仿宋_GB2312" w:hAnsi="Times New Roman"/>
                <w:bCs/>
                <w:color w:val="auto"/>
                <w:sz w:val="24"/>
                <w:szCs w:val="24"/>
              </w:rPr>
              <w:t>1</w:t>
            </w:r>
            <w:r>
              <w:rPr>
                <w:rFonts w:ascii="Times New Roman" w:eastAsia="仿宋_GB2312" w:hAnsi="Times New Roman"/>
                <w:bCs/>
                <w:color w:val="auto"/>
                <w:sz w:val="24"/>
                <w:szCs w:val="24"/>
              </w:rPr>
              <w:t>个省级、</w:t>
            </w:r>
            <w:r>
              <w:rPr>
                <w:rFonts w:ascii="Times New Roman" w:eastAsia="仿宋_GB2312" w:hAnsi="Times New Roman"/>
                <w:bCs/>
                <w:color w:val="auto"/>
                <w:sz w:val="24"/>
                <w:szCs w:val="24"/>
              </w:rPr>
              <w:t>97</w:t>
            </w:r>
            <w:r>
              <w:rPr>
                <w:rFonts w:ascii="Times New Roman" w:eastAsia="仿宋_GB2312" w:hAnsi="Times New Roman"/>
                <w:bCs/>
                <w:color w:val="auto"/>
                <w:sz w:val="24"/>
                <w:szCs w:val="24"/>
              </w:rPr>
              <w:t>个县级动物疫病区域实验室，提升农作物重大病虫草害监测预警、植物病虫草害防控能力。建设全省农作物生物安全科学中心。</w:t>
            </w:r>
          </w:p>
          <w:p w:rsidR="00DC2F14" w:rsidRDefault="00DC2F14" w:rsidP="00320244">
            <w:pPr>
              <w:spacing w:line="360" w:lineRule="exact"/>
              <w:ind w:firstLineChars="200" w:firstLine="480"/>
              <w:contextualSpacing/>
              <w:rPr>
                <w:rFonts w:ascii="Times New Roman" w:eastAsia="方正仿宋_GB2312" w:hAnsi="Times New Roman"/>
                <w:bCs/>
                <w:color w:val="auto"/>
                <w:sz w:val="24"/>
                <w:szCs w:val="24"/>
              </w:rPr>
            </w:pPr>
            <w:r>
              <w:rPr>
                <w:rFonts w:ascii="Times New Roman" w:eastAsia="仿宋_GB2312" w:hAnsi="Times New Roman"/>
                <w:bCs/>
                <w:color w:val="auto"/>
                <w:sz w:val="24"/>
                <w:szCs w:val="24"/>
              </w:rPr>
              <w:t>4</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农资仓储物流设施建设。支持农资企业建设</w:t>
            </w:r>
            <w:r>
              <w:rPr>
                <w:rFonts w:ascii="Times New Roman" w:eastAsia="仿宋_GB2312" w:hAnsi="Times New Roman"/>
                <w:bCs/>
                <w:color w:val="auto"/>
                <w:sz w:val="24"/>
                <w:szCs w:val="24"/>
              </w:rPr>
              <w:t>1</w:t>
            </w:r>
            <w:r>
              <w:rPr>
                <w:rFonts w:ascii="Times New Roman" w:eastAsia="仿宋_GB2312" w:hAnsi="Times New Roman" w:hint="eastAsia"/>
                <w:bCs/>
                <w:color w:val="auto"/>
                <w:sz w:val="24"/>
                <w:szCs w:val="24"/>
              </w:rPr>
              <w:t>—</w:t>
            </w:r>
            <w:r>
              <w:rPr>
                <w:rFonts w:ascii="Times New Roman" w:eastAsia="仿宋_GB2312" w:hAnsi="Times New Roman"/>
                <w:bCs/>
                <w:color w:val="auto"/>
                <w:sz w:val="24"/>
                <w:szCs w:val="24"/>
              </w:rPr>
              <w:t>2</w:t>
            </w:r>
            <w:r>
              <w:rPr>
                <w:rFonts w:ascii="Times New Roman" w:eastAsia="仿宋_GB2312" w:hAnsi="Times New Roman"/>
                <w:bCs/>
                <w:color w:val="auto"/>
                <w:sz w:val="24"/>
                <w:szCs w:val="24"/>
              </w:rPr>
              <w:t>个国家战略性农资储备库。建设</w:t>
            </w:r>
            <w:r>
              <w:rPr>
                <w:rFonts w:ascii="Times New Roman" w:eastAsia="仿宋_GB2312" w:hAnsi="Times New Roman"/>
                <w:bCs/>
                <w:color w:val="auto"/>
                <w:sz w:val="24"/>
                <w:szCs w:val="24"/>
              </w:rPr>
              <w:t>3</w:t>
            </w:r>
            <w:r>
              <w:rPr>
                <w:rFonts w:ascii="Times New Roman" w:eastAsia="仿宋_GB2312" w:hAnsi="Times New Roman"/>
                <w:bCs/>
                <w:color w:val="auto"/>
                <w:sz w:val="24"/>
                <w:szCs w:val="24"/>
              </w:rPr>
              <w:t>个以上省域大型农资配送平台，搭建县域农资配送网络。</w:t>
            </w:r>
          </w:p>
        </w:tc>
      </w:tr>
    </w:tbl>
    <w:p w:rsidR="00DC2F14" w:rsidRDefault="00DC2F14" w:rsidP="00DC2F14">
      <w:pPr>
        <w:pStyle w:val="1"/>
        <w:keepNext w:val="0"/>
        <w:keepLines w:val="0"/>
        <w:widowControl w:val="0"/>
        <w:snapToGrid w:val="0"/>
        <w:spacing w:before="0" w:after="0" w:line="600" w:lineRule="exact"/>
        <w:ind w:firstLineChars="200" w:firstLine="640"/>
        <w:rPr>
          <w:rFonts w:ascii="Times New Roman" w:eastAsia="黑体" w:hAnsi="Times New Roman"/>
          <w:b w:val="0"/>
          <w:color w:val="auto"/>
          <w:sz w:val="32"/>
          <w:szCs w:val="32"/>
        </w:rPr>
      </w:pPr>
      <w:r>
        <w:rPr>
          <w:rFonts w:ascii="Times New Roman" w:eastAsia="黑体" w:hAnsi="Times New Roman"/>
          <w:b w:val="0"/>
          <w:color w:val="auto"/>
          <w:sz w:val="32"/>
          <w:szCs w:val="32"/>
        </w:rPr>
        <w:t>十、健全规划实施保障机制</w:t>
      </w:r>
    </w:p>
    <w:p w:rsidR="00846587" w:rsidRPr="00E670F4" w:rsidRDefault="00DC2F14" w:rsidP="00DC2F14">
      <w:pPr>
        <w:overflowPunct w:val="0"/>
        <w:snapToGrid w:val="0"/>
        <w:spacing w:line="600" w:lineRule="exact"/>
        <w:jc w:val="center"/>
        <w:rPr>
          <w:rFonts w:ascii="Times New Roman" w:eastAsia="仿宋" w:hAnsi="Times New Roman"/>
        </w:rPr>
      </w:pPr>
      <w:r>
        <w:rPr>
          <w:rFonts w:ascii="Times New Roman" w:eastAsia="仿宋_GB2312" w:hAnsi="Times New Roman"/>
          <w:bCs/>
          <w:color w:val="auto"/>
        </w:rPr>
        <w:t>坚持</w:t>
      </w:r>
      <w:r>
        <w:rPr>
          <w:rFonts w:ascii="仿宋_GB2312" w:eastAsia="仿宋_GB2312" w:hAnsi="仿宋_GB2312" w:cs="仿宋_GB2312" w:hint="eastAsia"/>
          <w:bCs/>
          <w:color w:val="auto"/>
        </w:rPr>
        <w:t>和加强党对“三农”工作的全面领导，夯实五级书记抓乡村振兴政治责任，充分发挥党委农村工作领导小组牵头抓总、统筹协调作用。健全规划实施监测评价体系，合理确定年度工作重点，做好规划实施情况年度监测、中期评估、总结评估及动态调整，开展乡村振兴战略实绩考核，推动规划落地</w:t>
      </w:r>
      <w:r>
        <w:rPr>
          <w:rFonts w:ascii="Times New Roman" w:eastAsia="仿宋_GB2312" w:hAnsi="Times New Roman"/>
          <w:bCs/>
          <w:color w:val="auto"/>
        </w:rPr>
        <w:t>见效。</w:t>
      </w:r>
    </w:p>
    <w:sectPr w:rsidR="00846587" w:rsidRPr="00E670F4" w:rsidSect="00450928">
      <w:headerReference w:type="default" r:id="rId10"/>
      <w:footerReference w:type="default" r:id="rId11"/>
      <w:pgSz w:w="11906" w:h="16838"/>
      <w:pgMar w:top="1701" w:right="1417" w:bottom="1417" w:left="1417" w:header="992"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09A" w:rsidRDefault="006D209A" w:rsidP="00846587">
      <w:r>
        <w:separator/>
      </w:r>
    </w:p>
  </w:endnote>
  <w:endnote w:type="continuationSeparator" w:id="1">
    <w:p w:rsidR="006D209A" w:rsidRDefault="006D209A" w:rsidP="008465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NEU-BZ">
    <w:panose1 w:val="02010600010101010101"/>
    <w:charset w:val="86"/>
    <w:family w:val="auto"/>
    <w:pitch w:val="variable"/>
    <w:sig w:usb0="E00002FF" w:usb1="58CFECFF" w:usb2="05000016" w:usb3="00000000" w:csb0="00040001" w:csb1="00000000"/>
  </w:font>
  <w:font w:name="方正仿宋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altName w:val="Times New Roman"/>
    <w:charset w:val="00"/>
    <w:family w:val="auto"/>
    <w:pitch w:val="default"/>
    <w:sig w:usb0="00000000" w:usb1="0000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书宋_GBK">
    <w:panose1 w:val="03000509000000000000"/>
    <w:charset w:val="86"/>
    <w:family w:val="script"/>
    <w:pitch w:val="fixed"/>
    <w:sig w:usb0="00000001" w:usb1="080E0000" w:usb2="00000010" w:usb3="00000000" w:csb0="00040000" w:csb1="00000000"/>
  </w:font>
  <w:font w:name="方正书宋简体">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仿宋_GB2312">
    <w:altName w:val="方正仿宋_GBK"/>
    <w:charset w:val="00"/>
    <w:family w:val="auto"/>
    <w:pitch w:val="default"/>
    <w:sig w:usb0="00000000" w:usb1="00000000" w:usb2="00000012"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2C" w:rsidRDefault="006D209A">
    <w:pPr>
      <w:pStyle w:val="a8"/>
    </w:pPr>
    <w:r>
      <w:pict>
        <v:shapetype id="_x0000_t202" coordsize="21600,21600" o:spt="202" path="m,l,21600r21600,l21600,xe">
          <v:stroke joinstyle="miter"/>
          <v:path gradientshapeok="t" o:connecttype="rect"/>
        </v:shapetype>
        <v:shape id="文本框 5" o:spid="_x0000_s1028" type="#_x0000_t202" style="position:absolute;margin-left:832pt;margin-top:0;width:2in;height:2in;z-index:251661312;mso-wrap-style:none;mso-position-horizontal:outside;mso-position-horizontal-relative:margin" filled="f" stroked="f">
          <v:fill o:detectmouseclick="t"/>
          <v:textbox style="mso-fit-shape-to-text:t" inset="0,0,0,0">
            <w:txbxContent>
              <w:p w:rsidR="00C9162C" w:rsidRDefault="00C9162C" w:rsidP="00C9162C">
                <w:pPr>
                  <w:widowControl w:val="0"/>
                  <w:snapToGrid w:val="0"/>
                  <w:ind w:leftChars="100" w:left="320" w:rightChars="100" w:right="320"/>
                  <w:rPr>
                    <w:rFonts w:ascii="Times New Roman" w:eastAsia="宋体" w:hAnsi="Times New Roman"/>
                    <w:sz w:val="28"/>
                    <w:szCs w:val="28"/>
                  </w:rPr>
                </w:pPr>
                <w:r>
                  <w:rPr>
                    <w:rFonts w:ascii="宋体" w:eastAsia="宋体" w:hAnsi="宋体" w:cs="宋体" w:hint="eastAsia"/>
                    <w:sz w:val="28"/>
                    <w:szCs w:val="28"/>
                  </w:rPr>
                  <w:t>－</w:t>
                </w:r>
                <w:r>
                  <w:rPr>
                    <w:rFonts w:ascii="宋体" w:hAnsi="宋体" w:cs="宋体" w:hint="eastAsia"/>
                    <w:sz w:val="28"/>
                    <w:szCs w:val="28"/>
                  </w:rPr>
                  <w:t xml:space="preserve"> </w:t>
                </w:r>
                <w:r w:rsidR="006D209A">
                  <w:rPr>
                    <w:rFonts w:ascii="Times New Roman" w:hAnsi="Times New Roman"/>
                    <w:sz w:val="28"/>
                    <w:szCs w:val="28"/>
                  </w:rPr>
                  <w:fldChar w:fldCharType="begin"/>
                </w:r>
                <w:r>
                  <w:rPr>
                    <w:rFonts w:ascii="Times New Roman" w:hAnsi="Times New Roman"/>
                    <w:sz w:val="28"/>
                    <w:szCs w:val="28"/>
                  </w:rPr>
                  <w:instrText xml:space="preserve"> PAGE  \* MERGEFORMAT </w:instrText>
                </w:r>
                <w:r w:rsidR="006D209A">
                  <w:rPr>
                    <w:rFonts w:ascii="Times New Roman" w:hAnsi="Times New Roman"/>
                    <w:sz w:val="28"/>
                    <w:szCs w:val="28"/>
                  </w:rPr>
                  <w:fldChar w:fldCharType="separate"/>
                </w:r>
                <w:r w:rsidR="008512BF">
                  <w:rPr>
                    <w:rFonts w:ascii="Times New Roman" w:hAnsi="Times New Roman"/>
                    <w:noProof/>
                    <w:sz w:val="28"/>
                    <w:szCs w:val="28"/>
                  </w:rPr>
                  <w:t>3</w:t>
                </w:r>
                <w:r w:rsidR="006D209A">
                  <w:rPr>
                    <w:rFonts w:ascii="Times New Roman" w:hAnsi="Times New Roman"/>
                    <w:sz w:val="28"/>
                    <w:szCs w:val="28"/>
                  </w:rPr>
                  <w:fldChar w:fldCharType="end"/>
                </w:r>
                <w:r>
                  <w:rPr>
                    <w:rFonts w:ascii="Times New Roman" w:hAnsi="Times New Roman" w:hint="eastAsia"/>
                    <w:sz w:val="28"/>
                    <w:szCs w:val="28"/>
                  </w:rPr>
                  <w:t xml:space="preserve"> </w:t>
                </w:r>
                <w:r>
                  <w:rPr>
                    <w:rFonts w:ascii="宋体" w:eastAsia="宋体" w:hAnsi="宋体" w:cs="宋体" w:hint="eastAsia"/>
                    <w:sz w:val="28"/>
                    <w:szCs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09A" w:rsidRDefault="006D209A" w:rsidP="00846587">
      <w:r>
        <w:separator/>
      </w:r>
    </w:p>
  </w:footnote>
  <w:footnote w:type="continuationSeparator" w:id="1">
    <w:p w:rsidR="006D209A" w:rsidRDefault="006D209A" w:rsidP="008465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2C" w:rsidRDefault="00C9162C">
    <w:pPr>
      <w:pStyle w:val="a9"/>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5DF7202"/>
    <w:multiLevelType w:val="singleLevel"/>
    <w:tmpl w:val="F5DF7202"/>
    <w:lvl w:ilvl="0">
      <w:start w:val="4"/>
      <w:numFmt w:val="chineseCounting"/>
      <w:suff w:val="nothing"/>
      <w:lvlText w:val="（%1）"/>
      <w:lvlJc w:val="left"/>
      <w:rPr>
        <w:rFonts w:hint="eastAsia"/>
      </w:rPr>
    </w:lvl>
  </w:abstractNum>
  <w:abstractNum w:abstractNumId="1">
    <w:nsid w:val="6FD616C0"/>
    <w:multiLevelType w:val="singleLevel"/>
    <w:tmpl w:val="6FD616C0"/>
    <w:lvl w:ilvl="0">
      <w:start w:val="1"/>
      <w:numFmt w:val="decimal"/>
      <w:lvlText w:val="%1"/>
      <w:lvlJc w:val="left"/>
      <w:pPr>
        <w:tabs>
          <w:tab w:val="num" w:pos="420"/>
        </w:tabs>
        <w:ind w:left="425" w:hanging="425"/>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noPunctuationKerning/>
  <w:characterSpacingControl w:val="compressPunctuation"/>
  <w:hdrShapeDefaults>
    <o:shapedefaults v:ext="edit" spidmax="1229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7FFFBBE2"/>
    <w:rsid w:val="00851086"/>
    <w:rsid w:val="7FFFBBE2"/>
    <w:rsid w:val="87E71E6C"/>
    <w:rsid w:val="8B5BA478"/>
    <w:rsid w:val="95E711BA"/>
    <w:rsid w:val="97BF6F62"/>
    <w:rsid w:val="97E879F0"/>
    <w:rsid w:val="98FD5CE1"/>
    <w:rsid w:val="9C6F9270"/>
    <w:rsid w:val="9D5E92C4"/>
    <w:rsid w:val="9DE9E43A"/>
    <w:rsid w:val="9EDC1B95"/>
    <w:rsid w:val="9FBF003A"/>
    <w:rsid w:val="9FD603F7"/>
    <w:rsid w:val="9FFBA51E"/>
    <w:rsid w:val="A46D5B28"/>
    <w:rsid w:val="A7FB6F76"/>
    <w:rsid w:val="AB5D21F8"/>
    <w:rsid w:val="AD79D28D"/>
    <w:rsid w:val="AFCF4EFC"/>
    <w:rsid w:val="B27EC4BA"/>
    <w:rsid w:val="B37FE4E4"/>
    <w:rsid w:val="B3B7564B"/>
    <w:rsid w:val="B55F75B9"/>
    <w:rsid w:val="B59ECAB3"/>
    <w:rsid w:val="B5F6EB35"/>
    <w:rsid w:val="B67D8AD6"/>
    <w:rsid w:val="B6B2CE58"/>
    <w:rsid w:val="B77C4659"/>
    <w:rsid w:val="B7FF4760"/>
    <w:rsid w:val="BA7D9D94"/>
    <w:rsid w:val="BAFBA78C"/>
    <w:rsid w:val="BBA136C1"/>
    <w:rsid w:val="BBFFAD21"/>
    <w:rsid w:val="BC17E9F6"/>
    <w:rsid w:val="BD7300D4"/>
    <w:rsid w:val="BDCFD1EF"/>
    <w:rsid w:val="BDE3702E"/>
    <w:rsid w:val="BDF6D479"/>
    <w:rsid w:val="BDFB931D"/>
    <w:rsid w:val="BE7022EF"/>
    <w:rsid w:val="BE7F40CC"/>
    <w:rsid w:val="BE96B2CC"/>
    <w:rsid w:val="BEDD986F"/>
    <w:rsid w:val="BEDE3878"/>
    <w:rsid w:val="BEDFC4F0"/>
    <w:rsid w:val="BEF6DC41"/>
    <w:rsid w:val="BEFEAD87"/>
    <w:rsid w:val="BEFFA757"/>
    <w:rsid w:val="BF6F595F"/>
    <w:rsid w:val="BF7BDCE0"/>
    <w:rsid w:val="BF7F8105"/>
    <w:rsid w:val="BFCC70CE"/>
    <w:rsid w:val="BFE68025"/>
    <w:rsid w:val="BFE7DAB3"/>
    <w:rsid w:val="BFEFFE75"/>
    <w:rsid w:val="BFF9E9EC"/>
    <w:rsid w:val="BFFA0757"/>
    <w:rsid w:val="BFFEFD6D"/>
    <w:rsid w:val="BFFF4CB8"/>
    <w:rsid w:val="C3EB8ADB"/>
    <w:rsid w:val="C6F789FD"/>
    <w:rsid w:val="C7FB42C5"/>
    <w:rsid w:val="CAF491C9"/>
    <w:rsid w:val="CF5FA792"/>
    <w:rsid w:val="CFAF4D21"/>
    <w:rsid w:val="D1FF51D6"/>
    <w:rsid w:val="D2377A32"/>
    <w:rsid w:val="D35F6222"/>
    <w:rsid w:val="D3FBD374"/>
    <w:rsid w:val="D57BDB36"/>
    <w:rsid w:val="D6E52E10"/>
    <w:rsid w:val="D7776C1F"/>
    <w:rsid w:val="D7DB2D07"/>
    <w:rsid w:val="D7DDED86"/>
    <w:rsid w:val="D7FA7830"/>
    <w:rsid w:val="D7FBA1C5"/>
    <w:rsid w:val="D7FE7FA7"/>
    <w:rsid w:val="D8FD61D7"/>
    <w:rsid w:val="D9BF2D3F"/>
    <w:rsid w:val="DBB991F7"/>
    <w:rsid w:val="DBCF186C"/>
    <w:rsid w:val="DD775DCD"/>
    <w:rsid w:val="DDAC81DF"/>
    <w:rsid w:val="DDFBEC58"/>
    <w:rsid w:val="DE1F7CF9"/>
    <w:rsid w:val="DE7767C6"/>
    <w:rsid w:val="DEEED209"/>
    <w:rsid w:val="DEFEAFA2"/>
    <w:rsid w:val="DF2D7869"/>
    <w:rsid w:val="DF2E9964"/>
    <w:rsid w:val="DF6E4C35"/>
    <w:rsid w:val="DF773526"/>
    <w:rsid w:val="DF7C9269"/>
    <w:rsid w:val="DF92715B"/>
    <w:rsid w:val="DFCF6D02"/>
    <w:rsid w:val="DFE671E1"/>
    <w:rsid w:val="DFFDC41C"/>
    <w:rsid w:val="DFFF61DB"/>
    <w:rsid w:val="DFFFB8CC"/>
    <w:rsid w:val="DFFFD4DE"/>
    <w:rsid w:val="E09F49FD"/>
    <w:rsid w:val="E3CF768A"/>
    <w:rsid w:val="E6DD9E87"/>
    <w:rsid w:val="E6E95F27"/>
    <w:rsid w:val="E7DFEA03"/>
    <w:rsid w:val="E9DFA3A5"/>
    <w:rsid w:val="E9F6B2D8"/>
    <w:rsid w:val="E9FF3B7D"/>
    <w:rsid w:val="EB1F88F6"/>
    <w:rsid w:val="EB5EB83F"/>
    <w:rsid w:val="EBBBA269"/>
    <w:rsid w:val="EBDD09A1"/>
    <w:rsid w:val="EBDFC376"/>
    <w:rsid w:val="EBF7A01D"/>
    <w:rsid w:val="EBFF4593"/>
    <w:rsid w:val="ECAC7512"/>
    <w:rsid w:val="EE3B0A6C"/>
    <w:rsid w:val="EE5E09CD"/>
    <w:rsid w:val="EE9922AA"/>
    <w:rsid w:val="EE9EB4CF"/>
    <w:rsid w:val="EEB731BB"/>
    <w:rsid w:val="EEBCD84F"/>
    <w:rsid w:val="EEED5EBD"/>
    <w:rsid w:val="EF695D81"/>
    <w:rsid w:val="EF8FECC9"/>
    <w:rsid w:val="EF9FAAB7"/>
    <w:rsid w:val="EFCF6CFF"/>
    <w:rsid w:val="EFEF2ED6"/>
    <w:rsid w:val="EFEF82B9"/>
    <w:rsid w:val="EFF55506"/>
    <w:rsid w:val="EFFB1409"/>
    <w:rsid w:val="EFFD3273"/>
    <w:rsid w:val="EFFFB7CD"/>
    <w:rsid w:val="F0FFD506"/>
    <w:rsid w:val="F1EF0EE2"/>
    <w:rsid w:val="F23ECB2F"/>
    <w:rsid w:val="F2FF000A"/>
    <w:rsid w:val="F2FF10E8"/>
    <w:rsid w:val="F33B0BE3"/>
    <w:rsid w:val="F3DD3ED2"/>
    <w:rsid w:val="F3ECEB8B"/>
    <w:rsid w:val="F67FAE25"/>
    <w:rsid w:val="F6BB69A6"/>
    <w:rsid w:val="F6D964B2"/>
    <w:rsid w:val="F6FB2BA6"/>
    <w:rsid w:val="F73F9DF7"/>
    <w:rsid w:val="F75F0360"/>
    <w:rsid w:val="F79786C5"/>
    <w:rsid w:val="F7BF0491"/>
    <w:rsid w:val="F7DE0789"/>
    <w:rsid w:val="F7ED2139"/>
    <w:rsid w:val="F7F57C4D"/>
    <w:rsid w:val="F7FD17B2"/>
    <w:rsid w:val="F7FECBA8"/>
    <w:rsid w:val="F8AD78B8"/>
    <w:rsid w:val="F8F67153"/>
    <w:rsid w:val="F98AA812"/>
    <w:rsid w:val="F9EF9A69"/>
    <w:rsid w:val="FA7DB380"/>
    <w:rsid w:val="FAED206E"/>
    <w:rsid w:val="FAFB7637"/>
    <w:rsid w:val="FB3F6FCA"/>
    <w:rsid w:val="FB75053C"/>
    <w:rsid w:val="FB7E9DAA"/>
    <w:rsid w:val="FB7F7F0D"/>
    <w:rsid w:val="FBB6C83C"/>
    <w:rsid w:val="FBCD136E"/>
    <w:rsid w:val="FBCFB79B"/>
    <w:rsid w:val="FBDFAD41"/>
    <w:rsid w:val="FD75299F"/>
    <w:rsid w:val="FDBF174C"/>
    <w:rsid w:val="FDFC77DD"/>
    <w:rsid w:val="FDFC8BD5"/>
    <w:rsid w:val="FDFDEDE5"/>
    <w:rsid w:val="FDFE445F"/>
    <w:rsid w:val="FDFF0A75"/>
    <w:rsid w:val="FDFFC4BA"/>
    <w:rsid w:val="FEBB03CA"/>
    <w:rsid w:val="FECEA0D1"/>
    <w:rsid w:val="FEF18E79"/>
    <w:rsid w:val="FEF7D7F1"/>
    <w:rsid w:val="FF1F80E6"/>
    <w:rsid w:val="FF6F2A51"/>
    <w:rsid w:val="FF7B1AB8"/>
    <w:rsid w:val="FF7FEA38"/>
    <w:rsid w:val="FF9FA3BC"/>
    <w:rsid w:val="FFAD70A7"/>
    <w:rsid w:val="FFBD08DF"/>
    <w:rsid w:val="FFBD8F2F"/>
    <w:rsid w:val="FFBDD3F2"/>
    <w:rsid w:val="FFBF3578"/>
    <w:rsid w:val="FFD7FFA0"/>
    <w:rsid w:val="FFDBD28B"/>
    <w:rsid w:val="FFDEF3A7"/>
    <w:rsid w:val="FFEB9852"/>
    <w:rsid w:val="FFEF4BAF"/>
    <w:rsid w:val="FFF1D3E2"/>
    <w:rsid w:val="FFF4F9CC"/>
    <w:rsid w:val="FFF5898F"/>
    <w:rsid w:val="FFF59716"/>
    <w:rsid w:val="FFF70B89"/>
    <w:rsid w:val="FFF7C2CD"/>
    <w:rsid w:val="FFFB86F5"/>
    <w:rsid w:val="FFFB9FF8"/>
    <w:rsid w:val="FFFCE594"/>
    <w:rsid w:val="FFFDBBD2"/>
    <w:rsid w:val="FFFE46AA"/>
    <w:rsid w:val="FFFFC0FA"/>
    <w:rsid w:val="FFFFD498"/>
    <w:rsid w:val="00000493"/>
    <w:rsid w:val="00033228"/>
    <w:rsid w:val="00044384"/>
    <w:rsid w:val="00084C0C"/>
    <w:rsid w:val="00090C59"/>
    <w:rsid w:val="0009212D"/>
    <w:rsid w:val="000B1F8F"/>
    <w:rsid w:val="000E6402"/>
    <w:rsid w:val="000F6F87"/>
    <w:rsid w:val="00105951"/>
    <w:rsid w:val="001349F0"/>
    <w:rsid w:val="0014251F"/>
    <w:rsid w:val="00144F5B"/>
    <w:rsid w:val="00196B82"/>
    <w:rsid w:val="001B1B58"/>
    <w:rsid w:val="001C2462"/>
    <w:rsid w:val="002031CB"/>
    <w:rsid w:val="00205515"/>
    <w:rsid w:val="00221F4B"/>
    <w:rsid w:val="00234F40"/>
    <w:rsid w:val="002478BE"/>
    <w:rsid w:val="00257151"/>
    <w:rsid w:val="002931B1"/>
    <w:rsid w:val="00294ECE"/>
    <w:rsid w:val="002A1D4C"/>
    <w:rsid w:val="002A1EE1"/>
    <w:rsid w:val="002A63F1"/>
    <w:rsid w:val="002A73E0"/>
    <w:rsid w:val="002D105D"/>
    <w:rsid w:val="002D2754"/>
    <w:rsid w:val="002D5813"/>
    <w:rsid w:val="002E7BBF"/>
    <w:rsid w:val="002F4CD5"/>
    <w:rsid w:val="00314225"/>
    <w:rsid w:val="003142BE"/>
    <w:rsid w:val="0031664F"/>
    <w:rsid w:val="00325510"/>
    <w:rsid w:val="00361482"/>
    <w:rsid w:val="00367E77"/>
    <w:rsid w:val="003717C5"/>
    <w:rsid w:val="003B122F"/>
    <w:rsid w:val="003D0DF5"/>
    <w:rsid w:val="003D6B60"/>
    <w:rsid w:val="00421601"/>
    <w:rsid w:val="00423FB3"/>
    <w:rsid w:val="004334C2"/>
    <w:rsid w:val="0043498C"/>
    <w:rsid w:val="00435CC0"/>
    <w:rsid w:val="0043667D"/>
    <w:rsid w:val="00450928"/>
    <w:rsid w:val="004512F0"/>
    <w:rsid w:val="0046263B"/>
    <w:rsid w:val="004C24E2"/>
    <w:rsid w:val="004C3378"/>
    <w:rsid w:val="004C4C7F"/>
    <w:rsid w:val="004E7404"/>
    <w:rsid w:val="00505527"/>
    <w:rsid w:val="00505691"/>
    <w:rsid w:val="005100D9"/>
    <w:rsid w:val="00544528"/>
    <w:rsid w:val="00545787"/>
    <w:rsid w:val="00551FF2"/>
    <w:rsid w:val="0057603F"/>
    <w:rsid w:val="0057704C"/>
    <w:rsid w:val="0058529E"/>
    <w:rsid w:val="00587062"/>
    <w:rsid w:val="005B44F2"/>
    <w:rsid w:val="005C6B95"/>
    <w:rsid w:val="005D3C97"/>
    <w:rsid w:val="005D5050"/>
    <w:rsid w:val="005E3D03"/>
    <w:rsid w:val="005E45BE"/>
    <w:rsid w:val="00602D8B"/>
    <w:rsid w:val="00610E5E"/>
    <w:rsid w:val="00613811"/>
    <w:rsid w:val="006216A9"/>
    <w:rsid w:val="0062200D"/>
    <w:rsid w:val="006309EF"/>
    <w:rsid w:val="00644FEC"/>
    <w:rsid w:val="006457BE"/>
    <w:rsid w:val="00645B8B"/>
    <w:rsid w:val="00647115"/>
    <w:rsid w:val="00667786"/>
    <w:rsid w:val="00674DFD"/>
    <w:rsid w:val="006B329C"/>
    <w:rsid w:val="006B4E49"/>
    <w:rsid w:val="006B54A8"/>
    <w:rsid w:val="006B62FB"/>
    <w:rsid w:val="006D209A"/>
    <w:rsid w:val="006D6635"/>
    <w:rsid w:val="006E6E19"/>
    <w:rsid w:val="00712739"/>
    <w:rsid w:val="00743CE2"/>
    <w:rsid w:val="00787336"/>
    <w:rsid w:val="007924F2"/>
    <w:rsid w:val="007C3071"/>
    <w:rsid w:val="007C588A"/>
    <w:rsid w:val="007E3413"/>
    <w:rsid w:val="007E38B0"/>
    <w:rsid w:val="008006EB"/>
    <w:rsid w:val="00810CCB"/>
    <w:rsid w:val="00813BFA"/>
    <w:rsid w:val="00846587"/>
    <w:rsid w:val="008512BF"/>
    <w:rsid w:val="00861C21"/>
    <w:rsid w:val="00884921"/>
    <w:rsid w:val="008933AB"/>
    <w:rsid w:val="008C509D"/>
    <w:rsid w:val="008C77A2"/>
    <w:rsid w:val="008F243D"/>
    <w:rsid w:val="009018BC"/>
    <w:rsid w:val="00926889"/>
    <w:rsid w:val="009449F1"/>
    <w:rsid w:val="00951EF2"/>
    <w:rsid w:val="009562AB"/>
    <w:rsid w:val="00962273"/>
    <w:rsid w:val="00965D28"/>
    <w:rsid w:val="009A6CA1"/>
    <w:rsid w:val="009C4DB3"/>
    <w:rsid w:val="009C57BF"/>
    <w:rsid w:val="009E5CFD"/>
    <w:rsid w:val="009F111B"/>
    <w:rsid w:val="009F2A16"/>
    <w:rsid w:val="009F2BD9"/>
    <w:rsid w:val="00A12F9D"/>
    <w:rsid w:val="00A14BB5"/>
    <w:rsid w:val="00A33719"/>
    <w:rsid w:val="00A5092F"/>
    <w:rsid w:val="00A5142F"/>
    <w:rsid w:val="00A73E25"/>
    <w:rsid w:val="00A85E0B"/>
    <w:rsid w:val="00A86A5F"/>
    <w:rsid w:val="00A92195"/>
    <w:rsid w:val="00AB3256"/>
    <w:rsid w:val="00AC6442"/>
    <w:rsid w:val="00B10ABD"/>
    <w:rsid w:val="00B219DA"/>
    <w:rsid w:val="00B531C2"/>
    <w:rsid w:val="00B53FA5"/>
    <w:rsid w:val="00B724F9"/>
    <w:rsid w:val="00B908A0"/>
    <w:rsid w:val="00B96524"/>
    <w:rsid w:val="00BC09BE"/>
    <w:rsid w:val="00BC246D"/>
    <w:rsid w:val="00BD7D2D"/>
    <w:rsid w:val="00BE229B"/>
    <w:rsid w:val="00BF2F7F"/>
    <w:rsid w:val="00BF5325"/>
    <w:rsid w:val="00C06EFC"/>
    <w:rsid w:val="00C13655"/>
    <w:rsid w:val="00C233DD"/>
    <w:rsid w:val="00C25916"/>
    <w:rsid w:val="00C40EA2"/>
    <w:rsid w:val="00C41488"/>
    <w:rsid w:val="00C631BE"/>
    <w:rsid w:val="00C9162C"/>
    <w:rsid w:val="00CB2C34"/>
    <w:rsid w:val="00CC1218"/>
    <w:rsid w:val="00CE1959"/>
    <w:rsid w:val="00D046D2"/>
    <w:rsid w:val="00D062C7"/>
    <w:rsid w:val="00D2172A"/>
    <w:rsid w:val="00D2487B"/>
    <w:rsid w:val="00D312BC"/>
    <w:rsid w:val="00D41ABE"/>
    <w:rsid w:val="00D4218F"/>
    <w:rsid w:val="00D46FBF"/>
    <w:rsid w:val="00D56343"/>
    <w:rsid w:val="00D66551"/>
    <w:rsid w:val="00D8241B"/>
    <w:rsid w:val="00D83E5E"/>
    <w:rsid w:val="00D949B9"/>
    <w:rsid w:val="00DB2ABE"/>
    <w:rsid w:val="00DC2F14"/>
    <w:rsid w:val="00DD44E9"/>
    <w:rsid w:val="00DE63F2"/>
    <w:rsid w:val="00E048DF"/>
    <w:rsid w:val="00E10DB5"/>
    <w:rsid w:val="00E177E4"/>
    <w:rsid w:val="00E31B1A"/>
    <w:rsid w:val="00E35671"/>
    <w:rsid w:val="00E5585D"/>
    <w:rsid w:val="00E5604E"/>
    <w:rsid w:val="00E600A4"/>
    <w:rsid w:val="00E670F4"/>
    <w:rsid w:val="00E70FE5"/>
    <w:rsid w:val="00E731EA"/>
    <w:rsid w:val="00E756C2"/>
    <w:rsid w:val="00EA6466"/>
    <w:rsid w:val="00EC5EC0"/>
    <w:rsid w:val="00EE4816"/>
    <w:rsid w:val="00EE7991"/>
    <w:rsid w:val="00EF49C6"/>
    <w:rsid w:val="00EF799C"/>
    <w:rsid w:val="00F05F2B"/>
    <w:rsid w:val="00F14516"/>
    <w:rsid w:val="00F21BF0"/>
    <w:rsid w:val="00F24D1F"/>
    <w:rsid w:val="00F2713E"/>
    <w:rsid w:val="00F4043C"/>
    <w:rsid w:val="00F46B7E"/>
    <w:rsid w:val="00F46BF0"/>
    <w:rsid w:val="00F67651"/>
    <w:rsid w:val="00F70977"/>
    <w:rsid w:val="00FC7A06"/>
    <w:rsid w:val="00FD4FEF"/>
    <w:rsid w:val="00FD6AF7"/>
    <w:rsid w:val="00FD6C24"/>
    <w:rsid w:val="00FF090E"/>
    <w:rsid w:val="00FF6B20"/>
    <w:rsid w:val="01B15B4D"/>
    <w:rsid w:val="01EF7F5D"/>
    <w:rsid w:val="025B3559"/>
    <w:rsid w:val="02EFB9FC"/>
    <w:rsid w:val="052B4CCF"/>
    <w:rsid w:val="07217FF4"/>
    <w:rsid w:val="0782344C"/>
    <w:rsid w:val="079351B4"/>
    <w:rsid w:val="07F37302"/>
    <w:rsid w:val="0CC06DF7"/>
    <w:rsid w:val="0E2A1BC1"/>
    <w:rsid w:val="0E3FB076"/>
    <w:rsid w:val="11021FDB"/>
    <w:rsid w:val="110475CA"/>
    <w:rsid w:val="1107547A"/>
    <w:rsid w:val="126E344F"/>
    <w:rsid w:val="12797FD5"/>
    <w:rsid w:val="1306594A"/>
    <w:rsid w:val="151825AD"/>
    <w:rsid w:val="153A5555"/>
    <w:rsid w:val="169F518F"/>
    <w:rsid w:val="16B709A9"/>
    <w:rsid w:val="17DDFAA4"/>
    <w:rsid w:val="17F5FB63"/>
    <w:rsid w:val="19D556E8"/>
    <w:rsid w:val="1BFBB1A3"/>
    <w:rsid w:val="1DEE9A67"/>
    <w:rsid w:val="1E5034F7"/>
    <w:rsid w:val="1FF24910"/>
    <w:rsid w:val="1FFD16A3"/>
    <w:rsid w:val="1FFFF949"/>
    <w:rsid w:val="20091C6F"/>
    <w:rsid w:val="23AF308A"/>
    <w:rsid w:val="24555046"/>
    <w:rsid w:val="24854469"/>
    <w:rsid w:val="24C36A38"/>
    <w:rsid w:val="26076C2A"/>
    <w:rsid w:val="279D6C0C"/>
    <w:rsid w:val="27AA2204"/>
    <w:rsid w:val="29600856"/>
    <w:rsid w:val="29B53305"/>
    <w:rsid w:val="2AEFAC6E"/>
    <w:rsid w:val="2B1051BA"/>
    <w:rsid w:val="2CF4C194"/>
    <w:rsid w:val="2D122F01"/>
    <w:rsid w:val="2DDA661D"/>
    <w:rsid w:val="2E313517"/>
    <w:rsid w:val="2EBEEAEA"/>
    <w:rsid w:val="2ED651A0"/>
    <w:rsid w:val="2EEA519E"/>
    <w:rsid w:val="2F357A6C"/>
    <w:rsid w:val="2F5938AA"/>
    <w:rsid w:val="2FDB8944"/>
    <w:rsid w:val="2FFD91D0"/>
    <w:rsid w:val="319765C6"/>
    <w:rsid w:val="31B7140D"/>
    <w:rsid w:val="328C350C"/>
    <w:rsid w:val="32F77E16"/>
    <w:rsid w:val="337FA012"/>
    <w:rsid w:val="33B754E9"/>
    <w:rsid w:val="33FBD685"/>
    <w:rsid w:val="35FFA293"/>
    <w:rsid w:val="36474A62"/>
    <w:rsid w:val="36DFB403"/>
    <w:rsid w:val="36F37335"/>
    <w:rsid w:val="37235FDA"/>
    <w:rsid w:val="37E6B629"/>
    <w:rsid w:val="380D2365"/>
    <w:rsid w:val="3883477D"/>
    <w:rsid w:val="39B773B8"/>
    <w:rsid w:val="39DDEA69"/>
    <w:rsid w:val="39DFD989"/>
    <w:rsid w:val="39E924B5"/>
    <w:rsid w:val="3A23590D"/>
    <w:rsid w:val="3A490593"/>
    <w:rsid w:val="3A922C79"/>
    <w:rsid w:val="3AC71D0D"/>
    <w:rsid w:val="3AD43D2E"/>
    <w:rsid w:val="3AF7BE3C"/>
    <w:rsid w:val="3AFE0202"/>
    <w:rsid w:val="3B293089"/>
    <w:rsid w:val="3CDE6FFB"/>
    <w:rsid w:val="3D7B0865"/>
    <w:rsid w:val="3DBC9491"/>
    <w:rsid w:val="3DDFFD5A"/>
    <w:rsid w:val="3E8FC356"/>
    <w:rsid w:val="3EFE9A66"/>
    <w:rsid w:val="3EFF4BB1"/>
    <w:rsid w:val="3F3F3BCE"/>
    <w:rsid w:val="3F6C93DA"/>
    <w:rsid w:val="3F7F1C78"/>
    <w:rsid w:val="3FBD42B2"/>
    <w:rsid w:val="3FDBEC6D"/>
    <w:rsid w:val="3FE7E0FE"/>
    <w:rsid w:val="3FF04D5F"/>
    <w:rsid w:val="3FFF8D02"/>
    <w:rsid w:val="40825255"/>
    <w:rsid w:val="44EA532F"/>
    <w:rsid w:val="45D25AD5"/>
    <w:rsid w:val="47273D2D"/>
    <w:rsid w:val="476C06F6"/>
    <w:rsid w:val="47CC5858"/>
    <w:rsid w:val="48A00EA8"/>
    <w:rsid w:val="49437147"/>
    <w:rsid w:val="49736F77"/>
    <w:rsid w:val="4AF955A5"/>
    <w:rsid w:val="4C854D2F"/>
    <w:rsid w:val="4DDFB840"/>
    <w:rsid w:val="4DFFEEFB"/>
    <w:rsid w:val="4E6D1F21"/>
    <w:rsid w:val="4F790B2D"/>
    <w:rsid w:val="4F7DF468"/>
    <w:rsid w:val="4FF3F324"/>
    <w:rsid w:val="4FF90EE3"/>
    <w:rsid w:val="4FF9F023"/>
    <w:rsid w:val="4FFD35D0"/>
    <w:rsid w:val="50C045A8"/>
    <w:rsid w:val="510056CE"/>
    <w:rsid w:val="51671904"/>
    <w:rsid w:val="51FB324F"/>
    <w:rsid w:val="51FD587D"/>
    <w:rsid w:val="53DBD184"/>
    <w:rsid w:val="545985EA"/>
    <w:rsid w:val="553E0F19"/>
    <w:rsid w:val="55B562BE"/>
    <w:rsid w:val="55FF4D0F"/>
    <w:rsid w:val="56606E02"/>
    <w:rsid w:val="573B136A"/>
    <w:rsid w:val="573BD7D0"/>
    <w:rsid w:val="577AD310"/>
    <w:rsid w:val="57872559"/>
    <w:rsid w:val="57ABB1D0"/>
    <w:rsid w:val="57CD0549"/>
    <w:rsid w:val="57DA42CE"/>
    <w:rsid w:val="57E7F241"/>
    <w:rsid w:val="58CA5830"/>
    <w:rsid w:val="59BB8323"/>
    <w:rsid w:val="5A6D217B"/>
    <w:rsid w:val="5BF7861C"/>
    <w:rsid w:val="5C400BD1"/>
    <w:rsid w:val="5CAA3EA2"/>
    <w:rsid w:val="5D39F800"/>
    <w:rsid w:val="5D3C2EDA"/>
    <w:rsid w:val="5E70527F"/>
    <w:rsid w:val="5E76DD5A"/>
    <w:rsid w:val="5E99B6EF"/>
    <w:rsid w:val="5EBF79C1"/>
    <w:rsid w:val="5F157F00"/>
    <w:rsid w:val="5F5ECBC8"/>
    <w:rsid w:val="5F6D4B1A"/>
    <w:rsid w:val="5F7F27E7"/>
    <w:rsid w:val="5FBF3D24"/>
    <w:rsid w:val="5FC5FA54"/>
    <w:rsid w:val="5FFDC766"/>
    <w:rsid w:val="5FFDDA81"/>
    <w:rsid w:val="604D4D70"/>
    <w:rsid w:val="60B30D8A"/>
    <w:rsid w:val="636B88C4"/>
    <w:rsid w:val="63CBB0FF"/>
    <w:rsid w:val="63FEFC1E"/>
    <w:rsid w:val="64DD0EC5"/>
    <w:rsid w:val="65F244E6"/>
    <w:rsid w:val="666539E9"/>
    <w:rsid w:val="66DD7D9A"/>
    <w:rsid w:val="67FD9031"/>
    <w:rsid w:val="69B33D9B"/>
    <w:rsid w:val="6AB73A5A"/>
    <w:rsid w:val="6AFE85DC"/>
    <w:rsid w:val="6B0016D2"/>
    <w:rsid w:val="6BD88439"/>
    <w:rsid w:val="6C7C2F99"/>
    <w:rsid w:val="6CEC129F"/>
    <w:rsid w:val="6D2D5AFA"/>
    <w:rsid w:val="6D7F7D64"/>
    <w:rsid w:val="6DDB3A2E"/>
    <w:rsid w:val="6DDD0050"/>
    <w:rsid w:val="6DE908ED"/>
    <w:rsid w:val="6DF5F78F"/>
    <w:rsid w:val="6DF7E291"/>
    <w:rsid w:val="6DFAB9CF"/>
    <w:rsid w:val="6DFD6938"/>
    <w:rsid w:val="6EBED7A9"/>
    <w:rsid w:val="6EDB4463"/>
    <w:rsid w:val="6EFA251D"/>
    <w:rsid w:val="6EFDE55D"/>
    <w:rsid w:val="6F5F8D96"/>
    <w:rsid w:val="6F64D36E"/>
    <w:rsid w:val="6F7E70DF"/>
    <w:rsid w:val="6F9AFA39"/>
    <w:rsid w:val="6FA7161C"/>
    <w:rsid w:val="6FD71FB3"/>
    <w:rsid w:val="6FDF2638"/>
    <w:rsid w:val="6FE31410"/>
    <w:rsid w:val="6FED30C9"/>
    <w:rsid w:val="6FF7BE82"/>
    <w:rsid w:val="6FFF2603"/>
    <w:rsid w:val="6FFF5A50"/>
    <w:rsid w:val="6FFFA19A"/>
    <w:rsid w:val="71A165C4"/>
    <w:rsid w:val="729E0E83"/>
    <w:rsid w:val="72EB4FC2"/>
    <w:rsid w:val="72FDED79"/>
    <w:rsid w:val="737A93D1"/>
    <w:rsid w:val="737AC7C4"/>
    <w:rsid w:val="73B5BC0A"/>
    <w:rsid w:val="73B7FB7C"/>
    <w:rsid w:val="73BEBF65"/>
    <w:rsid w:val="73DB6981"/>
    <w:rsid w:val="74CB28C6"/>
    <w:rsid w:val="74DF2277"/>
    <w:rsid w:val="74FA1CE7"/>
    <w:rsid w:val="75030F6B"/>
    <w:rsid w:val="757181C5"/>
    <w:rsid w:val="759FE7BC"/>
    <w:rsid w:val="75DF9961"/>
    <w:rsid w:val="75F704B0"/>
    <w:rsid w:val="75FE12E7"/>
    <w:rsid w:val="75FE2A64"/>
    <w:rsid w:val="774D25F9"/>
    <w:rsid w:val="775E7535"/>
    <w:rsid w:val="776B19ED"/>
    <w:rsid w:val="776FAF28"/>
    <w:rsid w:val="777F7B8D"/>
    <w:rsid w:val="77CC44DC"/>
    <w:rsid w:val="77DE19D7"/>
    <w:rsid w:val="77EA40B6"/>
    <w:rsid w:val="77FE3436"/>
    <w:rsid w:val="77FF2823"/>
    <w:rsid w:val="78E49FAC"/>
    <w:rsid w:val="79266057"/>
    <w:rsid w:val="795F5EA9"/>
    <w:rsid w:val="7977B36A"/>
    <w:rsid w:val="79C638D9"/>
    <w:rsid w:val="79EED4E5"/>
    <w:rsid w:val="79FABD05"/>
    <w:rsid w:val="7A164415"/>
    <w:rsid w:val="7A7E9D24"/>
    <w:rsid w:val="7AF02F6F"/>
    <w:rsid w:val="7AFBF9C7"/>
    <w:rsid w:val="7B2D4F24"/>
    <w:rsid w:val="7B7EF32C"/>
    <w:rsid w:val="7B92A3EA"/>
    <w:rsid w:val="7BD7A836"/>
    <w:rsid w:val="7BDA4434"/>
    <w:rsid w:val="7BED5D96"/>
    <w:rsid w:val="7BFE112B"/>
    <w:rsid w:val="7BFFD4CB"/>
    <w:rsid w:val="7C131B75"/>
    <w:rsid w:val="7C313F72"/>
    <w:rsid w:val="7C5FD56B"/>
    <w:rsid w:val="7C621008"/>
    <w:rsid w:val="7C9D84B8"/>
    <w:rsid w:val="7CA54516"/>
    <w:rsid w:val="7CDA1F3B"/>
    <w:rsid w:val="7CDFDCF4"/>
    <w:rsid w:val="7CEF63ED"/>
    <w:rsid w:val="7CFAFCA5"/>
    <w:rsid w:val="7CFB67E9"/>
    <w:rsid w:val="7CFFA8BD"/>
    <w:rsid w:val="7D3C1A7C"/>
    <w:rsid w:val="7D5F3019"/>
    <w:rsid w:val="7D95C59D"/>
    <w:rsid w:val="7DB30B79"/>
    <w:rsid w:val="7DBA72F5"/>
    <w:rsid w:val="7DC653FD"/>
    <w:rsid w:val="7DD702FC"/>
    <w:rsid w:val="7DEF87E0"/>
    <w:rsid w:val="7DF77517"/>
    <w:rsid w:val="7DFF39AC"/>
    <w:rsid w:val="7E9C0575"/>
    <w:rsid w:val="7EF15C18"/>
    <w:rsid w:val="7EF32189"/>
    <w:rsid w:val="7EF379DD"/>
    <w:rsid w:val="7EF6D240"/>
    <w:rsid w:val="7EF7987D"/>
    <w:rsid w:val="7EFA6B6B"/>
    <w:rsid w:val="7EFB0CBF"/>
    <w:rsid w:val="7EFE5E0B"/>
    <w:rsid w:val="7EFF19D3"/>
    <w:rsid w:val="7F3E1DC3"/>
    <w:rsid w:val="7F4C54ED"/>
    <w:rsid w:val="7F709B62"/>
    <w:rsid w:val="7F762181"/>
    <w:rsid w:val="7F77E6D8"/>
    <w:rsid w:val="7F7B79BF"/>
    <w:rsid w:val="7F7E2B62"/>
    <w:rsid w:val="7F7ECF9F"/>
    <w:rsid w:val="7F93E342"/>
    <w:rsid w:val="7F9B02ED"/>
    <w:rsid w:val="7F9F5FB7"/>
    <w:rsid w:val="7F9F6545"/>
    <w:rsid w:val="7F9FBE7A"/>
    <w:rsid w:val="7FA9070F"/>
    <w:rsid w:val="7FAD5462"/>
    <w:rsid w:val="7FB2AC8A"/>
    <w:rsid w:val="7FBD6A1C"/>
    <w:rsid w:val="7FBE49E2"/>
    <w:rsid w:val="7FCF5909"/>
    <w:rsid w:val="7FDD77E3"/>
    <w:rsid w:val="7FDDA3CD"/>
    <w:rsid w:val="7FDEFD0D"/>
    <w:rsid w:val="7FDF1887"/>
    <w:rsid w:val="7FE53297"/>
    <w:rsid w:val="7FE71D59"/>
    <w:rsid w:val="7FE74009"/>
    <w:rsid w:val="7FE75E1B"/>
    <w:rsid w:val="7FEE8CC4"/>
    <w:rsid w:val="7FEF41B5"/>
    <w:rsid w:val="7FF6B180"/>
    <w:rsid w:val="7FF7A8B1"/>
    <w:rsid w:val="7FFB5096"/>
    <w:rsid w:val="7FFE2A80"/>
    <w:rsid w:val="7FFF5A62"/>
    <w:rsid w:val="7FFF79B4"/>
    <w:rsid w:val="7FFFAEBD"/>
    <w:rsid w:val="7FFFBBE2"/>
    <w:rsid w:val="7FFFDA0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toc 2" w:uiPriority="39" w:qFormat="1"/>
    <w:lsdException w:name="footnote text" w:qFormat="1"/>
    <w:lsdException w:name="annotation text" w:qFormat="1"/>
    <w:lsdException w:name="header" w:unhideWhenUsed="1" w:qFormat="1"/>
    <w:lsdException w:name="footer" w:qFormat="1"/>
    <w:lsdException w:name="caption" w:semiHidden="1" w:unhideWhenUsed="1" w:qFormat="1"/>
    <w:lsdException w:name="envelope return"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w:uiPriority="99" w:unhideWhenUsed="1"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846587"/>
    <w:rPr>
      <w:rFonts w:ascii="NEU-BZ" w:eastAsia="方正仿宋_GBK" w:hAnsi="NEU-BZ"/>
      <w:color w:val="000000"/>
      <w:sz w:val="32"/>
      <w:szCs w:val="32"/>
    </w:rPr>
  </w:style>
  <w:style w:type="paragraph" w:styleId="1">
    <w:name w:val="heading 1"/>
    <w:basedOn w:val="a"/>
    <w:next w:val="a"/>
    <w:link w:val="1Char"/>
    <w:qFormat/>
    <w:rsid w:val="00DC2F14"/>
    <w:pPr>
      <w:keepNext/>
      <w:keepLines/>
      <w:spacing w:before="340" w:after="330" w:line="578" w:lineRule="auto"/>
      <w:outlineLvl w:val="0"/>
    </w:pPr>
    <w:rPr>
      <w:b/>
      <w:bCs/>
      <w:kern w:val="44"/>
      <w:sz w:val="44"/>
      <w:szCs w:val="44"/>
    </w:rPr>
  </w:style>
  <w:style w:type="paragraph" w:styleId="20">
    <w:name w:val="heading 2"/>
    <w:basedOn w:val="a"/>
    <w:next w:val="a"/>
    <w:link w:val="2Char"/>
    <w:qFormat/>
    <w:rsid w:val="00C9162C"/>
    <w:pPr>
      <w:keepNext/>
      <w:keepLines/>
      <w:widowControl w:val="0"/>
      <w:jc w:val="both"/>
      <w:outlineLvl w:val="1"/>
    </w:pPr>
    <w:rPr>
      <w:rFonts w:ascii="Calibri" w:eastAsia="楷体" w:hAnsi="Calibri"/>
      <w:b/>
      <w:color w:val="auto"/>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rsid w:val="00846587"/>
    <w:pPr>
      <w:ind w:firstLineChars="200" w:firstLine="420"/>
    </w:pPr>
  </w:style>
  <w:style w:type="paragraph" w:styleId="a3">
    <w:name w:val="Body Text Indent"/>
    <w:basedOn w:val="a"/>
    <w:next w:val="a4"/>
    <w:qFormat/>
    <w:rsid w:val="00846587"/>
    <w:pPr>
      <w:spacing w:after="120"/>
      <w:ind w:leftChars="200" w:left="420"/>
    </w:pPr>
  </w:style>
  <w:style w:type="paragraph" w:styleId="a4">
    <w:name w:val="envelope return"/>
    <w:basedOn w:val="a"/>
    <w:qFormat/>
    <w:rsid w:val="00846587"/>
    <w:pPr>
      <w:snapToGrid w:val="0"/>
    </w:pPr>
    <w:rPr>
      <w:rFonts w:ascii="Arial" w:hAnsi="Arial"/>
    </w:rPr>
  </w:style>
  <w:style w:type="paragraph" w:styleId="5">
    <w:name w:val="index 5"/>
    <w:basedOn w:val="a"/>
    <w:next w:val="a"/>
    <w:qFormat/>
    <w:rsid w:val="00846587"/>
    <w:pPr>
      <w:ind w:left="1680"/>
    </w:pPr>
  </w:style>
  <w:style w:type="paragraph" w:styleId="a5">
    <w:name w:val="Body Text"/>
    <w:basedOn w:val="a"/>
    <w:next w:val="a6"/>
    <w:qFormat/>
    <w:rsid w:val="00846587"/>
    <w:pPr>
      <w:spacing w:after="120"/>
    </w:pPr>
  </w:style>
  <w:style w:type="paragraph" w:styleId="a6">
    <w:name w:val="Body Text First Indent"/>
    <w:basedOn w:val="a5"/>
    <w:uiPriority w:val="99"/>
    <w:unhideWhenUsed/>
    <w:qFormat/>
    <w:rsid w:val="00846587"/>
    <w:pPr>
      <w:ind w:firstLineChars="100" w:firstLine="420"/>
    </w:pPr>
  </w:style>
  <w:style w:type="paragraph" w:styleId="a7">
    <w:name w:val="Plain Text"/>
    <w:basedOn w:val="a"/>
    <w:qFormat/>
    <w:rsid w:val="00846587"/>
    <w:pPr>
      <w:jc w:val="both"/>
    </w:pPr>
    <w:rPr>
      <w:rFonts w:ascii="宋体" w:eastAsia="宋体" w:hAnsi="Courier New"/>
      <w:sz w:val="21"/>
      <w:szCs w:val="21"/>
    </w:rPr>
  </w:style>
  <w:style w:type="paragraph" w:styleId="a8">
    <w:name w:val="footer"/>
    <w:basedOn w:val="a"/>
    <w:next w:val="5"/>
    <w:qFormat/>
    <w:rsid w:val="00846587"/>
    <w:pPr>
      <w:tabs>
        <w:tab w:val="center" w:pos="4153"/>
        <w:tab w:val="right" w:pos="8306"/>
      </w:tabs>
      <w:snapToGrid w:val="0"/>
    </w:pPr>
    <w:rPr>
      <w:sz w:val="18"/>
    </w:rPr>
  </w:style>
  <w:style w:type="paragraph" w:styleId="a9">
    <w:name w:val="header"/>
    <w:basedOn w:val="a"/>
    <w:unhideWhenUsed/>
    <w:qFormat/>
    <w:rsid w:val="00846587"/>
    <w:pPr>
      <w:tabs>
        <w:tab w:val="center" w:pos="4153"/>
        <w:tab w:val="right" w:pos="8306"/>
      </w:tabs>
      <w:snapToGrid w:val="0"/>
      <w:jc w:val="center"/>
    </w:pPr>
    <w:rPr>
      <w:sz w:val="18"/>
      <w:szCs w:val="18"/>
    </w:rPr>
  </w:style>
  <w:style w:type="paragraph" w:styleId="aa">
    <w:name w:val="footnote text"/>
    <w:basedOn w:val="a"/>
    <w:next w:val="a"/>
    <w:qFormat/>
    <w:rsid w:val="00846587"/>
    <w:pPr>
      <w:snapToGrid w:val="0"/>
    </w:pPr>
    <w:rPr>
      <w:rFonts w:ascii="Times New Roman" w:eastAsia="宋体" w:hAnsi="Times New Roman" w:cs="”“Times New Roman”“"/>
      <w:sz w:val="18"/>
      <w:szCs w:val="18"/>
    </w:rPr>
  </w:style>
  <w:style w:type="character" w:customStyle="1" w:styleId="NormalCharacter">
    <w:name w:val="NormalCharacter"/>
    <w:link w:val="UserStyle4"/>
    <w:qFormat/>
    <w:rsid w:val="00846587"/>
    <w:rPr>
      <w:rFonts w:ascii="Verdana" w:eastAsia="仿宋_GB2312" w:hAnsi="Verdana" w:cs="Times New Roman"/>
      <w:kern w:val="0"/>
      <w:sz w:val="30"/>
      <w:szCs w:val="30"/>
      <w:lang w:val="en-US" w:eastAsia="en-US" w:bidi="ar-SA"/>
    </w:rPr>
  </w:style>
  <w:style w:type="paragraph" w:customStyle="1" w:styleId="UserStyle4">
    <w:name w:val="UserStyle_4"/>
    <w:basedOn w:val="New"/>
    <w:next w:val="a"/>
    <w:link w:val="NormalCharacter"/>
    <w:qFormat/>
    <w:rsid w:val="00846587"/>
    <w:pPr>
      <w:widowControl/>
      <w:spacing w:after="160" w:line="240" w:lineRule="exact"/>
      <w:jc w:val="left"/>
      <w:textAlignment w:val="baseline"/>
    </w:pPr>
    <w:rPr>
      <w:rFonts w:ascii="Verdana" w:eastAsia="仿宋_GB2312" w:hAnsi="Verdana"/>
      <w:kern w:val="0"/>
      <w:sz w:val="30"/>
      <w:szCs w:val="30"/>
      <w:lang w:eastAsia="en-US"/>
    </w:rPr>
  </w:style>
  <w:style w:type="paragraph" w:customStyle="1" w:styleId="New">
    <w:name w:val="正文 New"/>
    <w:qFormat/>
    <w:rsid w:val="00846587"/>
    <w:pPr>
      <w:widowControl w:val="0"/>
      <w:spacing w:line="640" w:lineRule="exact"/>
      <w:ind w:firstLineChars="200" w:firstLine="200"/>
      <w:jc w:val="both"/>
    </w:pPr>
    <w:rPr>
      <w:rFonts w:eastAsia="仿宋"/>
      <w:kern w:val="2"/>
      <w:sz w:val="44"/>
      <w:szCs w:val="24"/>
    </w:rPr>
  </w:style>
  <w:style w:type="paragraph" w:customStyle="1" w:styleId="NewNewNewNewNewNewNewNew">
    <w:name w:val="正文 New New New New New New New New"/>
    <w:qFormat/>
    <w:rsid w:val="00846587"/>
    <w:pPr>
      <w:widowControl w:val="0"/>
      <w:jc w:val="both"/>
    </w:pPr>
    <w:rPr>
      <w:rFonts w:ascii="Calibri" w:eastAsia="方正仿宋_GBK" w:hAnsi="Calibri" w:cs="方正仿宋_GBK"/>
      <w:kern w:val="2"/>
      <w:sz w:val="44"/>
      <w:szCs w:val="44"/>
    </w:rPr>
  </w:style>
  <w:style w:type="paragraph" w:customStyle="1" w:styleId="10">
    <w:name w:val="普通(网站)1"/>
    <w:basedOn w:val="NewNewNewNewNewNewNewNewNewNewNewNewNewNewNewNewNewNewNewNewNewNewNewNewNewNewNewNewNewNewNewNewNewNewNewNewNewNewNewNewNewNewNewNewNewNewNewNewNewNewNewNewNewNewNewNewNewNewNewNewNewNewNe"/>
    <w:qFormat/>
    <w:rsid w:val="00846587"/>
    <w:pPr>
      <w:jc w:val="left"/>
    </w:pPr>
    <w:rPr>
      <w:kern w:val="0"/>
      <w:sz w:val="24"/>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qFormat/>
    <w:rsid w:val="00846587"/>
    <w:pPr>
      <w:widowControl w:val="0"/>
      <w:jc w:val="both"/>
    </w:pPr>
    <w:rPr>
      <w:rFonts w:ascii="Calibri" w:hAnsi="Calibri" w:cs="黑体"/>
      <w:kern w:val="2"/>
      <w:sz w:val="21"/>
      <w:szCs w:val="24"/>
    </w:rPr>
  </w:style>
  <w:style w:type="paragraph" w:customStyle="1" w:styleId="17">
    <w:name w:val="正文17号"/>
    <w:basedOn w:val="a"/>
    <w:qFormat/>
    <w:rsid w:val="00846587"/>
    <w:pPr>
      <w:ind w:firstLineChars="200" w:firstLine="200"/>
    </w:pPr>
    <w:rPr>
      <w:b/>
      <w:bCs/>
      <w:sz w:val="34"/>
      <w:szCs w:val="34"/>
    </w:rPr>
  </w:style>
  <w:style w:type="paragraph" w:customStyle="1" w:styleId="ab">
    <w:name w:val="正文小二号"/>
    <w:basedOn w:val="ac"/>
    <w:qFormat/>
    <w:rsid w:val="00846587"/>
    <w:pPr>
      <w:ind w:firstLineChars="200" w:firstLine="200"/>
    </w:pPr>
    <w:rPr>
      <w:rFonts w:ascii="Times New Roman" w:eastAsia="方正仿宋_GBK" w:hAnsi="Times New Roman"/>
      <w:sz w:val="36"/>
      <w:szCs w:val="36"/>
    </w:rPr>
  </w:style>
  <w:style w:type="paragraph" w:customStyle="1" w:styleId="ac">
    <w:name w:val="[系统文字]"/>
    <w:qFormat/>
    <w:rsid w:val="00846587"/>
    <w:rPr>
      <w:rFonts w:ascii="NEU-BZ" w:eastAsia="方正书宋_GBK" w:hAnsi="NEU-BZ" w:cstheme="minorBidi"/>
      <w:sz w:val="21"/>
      <w:szCs w:val="21"/>
    </w:rPr>
  </w:style>
  <w:style w:type="character" w:customStyle="1" w:styleId="50">
    <w:name w:val="小二号仿宋加粗5级"/>
    <w:qFormat/>
    <w:rsid w:val="00846587"/>
    <w:rPr>
      <w:rFonts w:ascii="方正书宋简体" w:eastAsia="方正仿宋_GBK" w:hAnsi="方正书宋简体" w:hint="default"/>
      <w:b/>
      <w:sz w:val="36"/>
      <w:szCs w:val="36"/>
    </w:rPr>
  </w:style>
  <w:style w:type="paragraph" w:styleId="ad">
    <w:name w:val="Balloon Text"/>
    <w:basedOn w:val="a"/>
    <w:link w:val="Char"/>
    <w:rsid w:val="0046263B"/>
    <w:rPr>
      <w:sz w:val="18"/>
      <w:szCs w:val="18"/>
    </w:rPr>
  </w:style>
  <w:style w:type="character" w:customStyle="1" w:styleId="Char">
    <w:name w:val="批注框文本 Char"/>
    <w:basedOn w:val="a0"/>
    <w:link w:val="ad"/>
    <w:rsid w:val="0046263B"/>
    <w:rPr>
      <w:rFonts w:ascii="NEU-BZ" w:eastAsia="方正仿宋_GBK" w:hAnsi="NEU-BZ"/>
      <w:color w:val="000000"/>
      <w:sz w:val="18"/>
      <w:szCs w:val="18"/>
    </w:rPr>
  </w:style>
  <w:style w:type="table" w:styleId="ae">
    <w:name w:val="Table Grid"/>
    <w:basedOn w:val="a1"/>
    <w:qFormat/>
    <w:rsid w:val="00DE63F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0"/>
    <w:rsid w:val="00C9162C"/>
    <w:rPr>
      <w:rFonts w:ascii="Calibri" w:eastAsia="楷体" w:hAnsi="Calibri"/>
      <w:b/>
      <w:kern w:val="2"/>
      <w:sz w:val="21"/>
      <w:szCs w:val="24"/>
    </w:rPr>
  </w:style>
  <w:style w:type="paragraph" w:styleId="7">
    <w:name w:val="index 7"/>
    <w:basedOn w:val="a"/>
    <w:next w:val="a"/>
    <w:autoRedefine/>
    <w:rsid w:val="00450928"/>
    <w:pPr>
      <w:ind w:leftChars="1200" w:left="1200"/>
    </w:pPr>
  </w:style>
  <w:style w:type="paragraph" w:styleId="21">
    <w:name w:val="toc 2"/>
    <w:basedOn w:val="a"/>
    <w:next w:val="a"/>
    <w:uiPriority w:val="39"/>
    <w:unhideWhenUsed/>
    <w:qFormat/>
    <w:rsid w:val="00450928"/>
    <w:pPr>
      <w:widowControl w:val="0"/>
      <w:ind w:leftChars="200" w:left="420"/>
      <w:jc w:val="both"/>
    </w:pPr>
    <w:rPr>
      <w:rFonts w:ascii="Times New Roman" w:eastAsia="宋体" w:hAnsi="Times New Roman"/>
      <w:color w:val="auto"/>
      <w:kern w:val="2"/>
      <w:sz w:val="21"/>
      <w:szCs w:val="24"/>
    </w:rPr>
  </w:style>
  <w:style w:type="paragraph" w:styleId="af">
    <w:name w:val="Normal (Web)"/>
    <w:basedOn w:val="a"/>
    <w:qFormat/>
    <w:rsid w:val="00450928"/>
    <w:pPr>
      <w:widowControl w:val="0"/>
      <w:spacing w:before="100" w:beforeAutospacing="1" w:after="100" w:afterAutospacing="1"/>
    </w:pPr>
    <w:rPr>
      <w:rFonts w:ascii="Times New Roman" w:eastAsia="宋体" w:hAnsi="Times New Roman"/>
      <w:color w:val="auto"/>
      <w:sz w:val="24"/>
      <w:szCs w:val="24"/>
    </w:rPr>
  </w:style>
  <w:style w:type="paragraph" w:customStyle="1" w:styleId="11">
    <w:name w:val="正文缩进1"/>
    <w:basedOn w:val="a"/>
    <w:qFormat/>
    <w:rsid w:val="00450928"/>
    <w:pPr>
      <w:widowControl w:val="0"/>
      <w:ind w:firstLineChars="200" w:firstLine="420"/>
      <w:jc w:val="both"/>
    </w:pPr>
    <w:rPr>
      <w:rFonts w:ascii="Calibri" w:eastAsia="仿宋" w:hAnsi="Calibri"/>
      <w:color w:val="auto"/>
      <w:kern w:val="2"/>
      <w:szCs w:val="24"/>
    </w:rPr>
  </w:style>
  <w:style w:type="paragraph" w:styleId="af0">
    <w:name w:val="annotation text"/>
    <w:basedOn w:val="a"/>
    <w:link w:val="Char0"/>
    <w:qFormat/>
    <w:rsid w:val="00E670F4"/>
    <w:pPr>
      <w:widowControl w:val="0"/>
    </w:pPr>
    <w:rPr>
      <w:rFonts w:ascii="Calibri" w:eastAsia="宋体" w:hAnsi="Calibri"/>
      <w:color w:val="auto"/>
      <w:kern w:val="2"/>
      <w:sz w:val="21"/>
      <w:szCs w:val="21"/>
    </w:rPr>
  </w:style>
  <w:style w:type="character" w:customStyle="1" w:styleId="Char0">
    <w:name w:val="批注文字 Char"/>
    <w:basedOn w:val="a0"/>
    <w:link w:val="af0"/>
    <w:rsid w:val="00E670F4"/>
    <w:rPr>
      <w:rFonts w:ascii="Calibri" w:hAnsi="Calibri"/>
      <w:kern w:val="2"/>
      <w:sz w:val="21"/>
      <w:szCs w:val="21"/>
    </w:rPr>
  </w:style>
  <w:style w:type="character" w:styleId="af1">
    <w:name w:val="Strong"/>
    <w:qFormat/>
    <w:rsid w:val="00E670F4"/>
    <w:rPr>
      <w:b/>
    </w:rPr>
  </w:style>
  <w:style w:type="paragraph" w:customStyle="1" w:styleId="22">
    <w:name w:val="正文缩进2"/>
    <w:basedOn w:val="a"/>
    <w:qFormat/>
    <w:rsid w:val="00E670F4"/>
    <w:pPr>
      <w:widowControl w:val="0"/>
      <w:ind w:firstLineChars="200" w:firstLine="420"/>
      <w:jc w:val="both"/>
    </w:pPr>
    <w:rPr>
      <w:rFonts w:ascii="Calibri" w:eastAsia="宋体" w:hAnsi="Calibri"/>
      <w:color w:val="auto"/>
      <w:kern w:val="2"/>
      <w:sz w:val="21"/>
      <w:szCs w:val="21"/>
    </w:rPr>
  </w:style>
  <w:style w:type="character" w:customStyle="1" w:styleId="1Char">
    <w:name w:val="标题 1 Char"/>
    <w:basedOn w:val="a0"/>
    <w:link w:val="1"/>
    <w:rsid w:val="00DC2F14"/>
    <w:rPr>
      <w:rFonts w:ascii="NEU-BZ" w:eastAsia="方正仿宋_GBK" w:hAnsi="NEU-BZ"/>
      <w:b/>
      <w:bCs/>
      <w:color w:val="000000"/>
      <w:kern w:val="44"/>
      <w:sz w:val="44"/>
      <w:szCs w:val="44"/>
    </w:rPr>
  </w:style>
  <w:style w:type="paragraph" w:styleId="23">
    <w:name w:val="Body Text Indent 2"/>
    <w:basedOn w:val="a"/>
    <w:link w:val="2Char0"/>
    <w:rsid w:val="00DC2F14"/>
    <w:pPr>
      <w:spacing w:after="120" w:line="480" w:lineRule="auto"/>
      <w:ind w:leftChars="200" w:left="420"/>
    </w:pPr>
  </w:style>
  <w:style w:type="character" w:customStyle="1" w:styleId="2Char0">
    <w:name w:val="正文文本缩进 2 Char"/>
    <w:basedOn w:val="a0"/>
    <w:link w:val="23"/>
    <w:rsid w:val="00DC2F14"/>
    <w:rPr>
      <w:rFonts w:ascii="NEU-BZ" w:eastAsia="方正仿宋_GBK" w:hAnsi="NEU-BZ"/>
      <w:color w:val="000000"/>
      <w:sz w:val="32"/>
      <w:szCs w:val="32"/>
    </w:rPr>
  </w:style>
  <w:style w:type="table" w:customStyle="1" w:styleId="12">
    <w:name w:val="网格型1"/>
    <w:basedOn w:val="a1"/>
    <w:uiPriority w:val="99"/>
    <w:qFormat/>
    <w:rsid w:val="00DC2F1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23EACE-B7D1-4A6C-9C06-61D9B9400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24</Pages>
  <Words>1862</Words>
  <Characters>10620</Characters>
  <Application>Microsoft Office Word</Application>
  <DocSecurity>0</DocSecurity>
  <Lines>88</Lines>
  <Paragraphs>24</Paragraphs>
  <ScaleCrop>false</ScaleCrop>
  <Company>Microsoft</Company>
  <LinksUpToDate>false</LinksUpToDate>
  <CharactersWithSpaces>12458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walkinnet</cp:lastModifiedBy>
  <cp:revision>36</cp:revision>
  <cp:lastPrinted>2026-02-07T02:03:00Z</cp:lastPrinted>
  <dcterms:created xsi:type="dcterms:W3CDTF">2026-02-06T16:28:00Z</dcterms:created>
  <dcterms:modified xsi:type="dcterms:W3CDTF">2026-10-15T07:00:00Z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eyJoZGlkIjoiMGJkMjFhNmFhOWUzZGVlYzQ0NmNmYmVmZDk5ZmMyMTIiLCJ1c2VySWQiOiIzMzU4NjM5NTkifQ==</vt:lpwstr>
  </property>
  <property fmtid="{D5CDD505-2E9C-101B-9397-08002B2CF9AE}" pid="4" name="ICV">
    <vt:lpwstr>D67C3E483A8A89D864C88569A560047D_43</vt:lpwstr>
  </property>
</Properties>
</file>