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2D654B">
      <w:pPr>
        <w:keepNext w:val="0"/>
        <w:keepLines w:val="0"/>
        <w:pageBreakBefore w:val="0"/>
        <w:kinsoku/>
        <w:wordWrap/>
        <w:overflowPunct/>
        <w:topLinePunct w:val="0"/>
        <w:autoSpaceDN/>
        <w:bidi w:val="0"/>
        <w:adjustRightInd/>
        <w:snapToGrid/>
        <w:spacing w:line="600" w:lineRule="exact"/>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附件3-3</w:t>
      </w:r>
    </w:p>
    <w:p w14:paraId="749E94AC">
      <w:pPr>
        <w:keepNext w:val="0"/>
        <w:keepLines w:val="0"/>
        <w:pageBreakBefore w:val="0"/>
        <w:kinsoku/>
        <w:wordWrap/>
        <w:overflowPunct/>
        <w:topLinePunct w:val="0"/>
        <w:autoSpaceDN/>
        <w:bidi w:val="0"/>
        <w:adjustRightInd/>
        <w:snapToGrid/>
        <w:spacing w:line="600" w:lineRule="exact"/>
        <w:jc w:val="center"/>
        <w:textAlignment w:val="auto"/>
        <w:rPr>
          <w:rFonts w:hint="eastAsia" w:ascii="方正公文小标宋" w:hAnsi="方正公文小标宋" w:eastAsia="方正公文小标宋" w:cs="方正公文小标宋"/>
          <w:b w:val="0"/>
          <w:bCs w:val="0"/>
          <w:color w:val="auto"/>
          <w:sz w:val="44"/>
          <w:szCs w:val="44"/>
          <w:lang w:val="en-US" w:eastAsia="zh-CN"/>
        </w:rPr>
      </w:pPr>
      <w:r>
        <w:rPr>
          <w:rFonts w:hint="eastAsia" w:ascii="方正公文小标宋" w:hAnsi="方正公文小标宋" w:eastAsia="方正公文小标宋" w:cs="方正公文小标宋"/>
          <w:b w:val="0"/>
          <w:bCs w:val="0"/>
          <w:color w:val="auto"/>
          <w:sz w:val="44"/>
          <w:szCs w:val="44"/>
          <w:lang w:val="en-US" w:eastAsia="zh-CN"/>
        </w:rPr>
        <w:t>关于祁阳市国家现代农业产业园</w:t>
      </w:r>
    </w:p>
    <w:p w14:paraId="19605742">
      <w:pPr>
        <w:keepNext w:val="0"/>
        <w:keepLines w:val="0"/>
        <w:pageBreakBefore w:val="0"/>
        <w:kinsoku/>
        <w:wordWrap/>
        <w:overflowPunct/>
        <w:topLinePunct w:val="0"/>
        <w:autoSpaceDN/>
        <w:bidi w:val="0"/>
        <w:adjustRightInd/>
        <w:snapToGrid/>
        <w:spacing w:line="600" w:lineRule="exact"/>
        <w:jc w:val="center"/>
        <w:textAlignment w:val="auto"/>
        <w:rPr>
          <w:rFonts w:hint="eastAsia" w:ascii="方正公文小标宋" w:hAnsi="方正公文小标宋" w:eastAsia="方正公文小标宋" w:cs="方正公文小标宋"/>
          <w:b w:val="0"/>
          <w:bCs w:val="0"/>
          <w:color w:val="auto"/>
          <w:sz w:val="44"/>
          <w:szCs w:val="44"/>
          <w:lang w:val="en-US" w:eastAsia="zh-CN"/>
        </w:rPr>
      </w:pPr>
      <w:r>
        <w:rPr>
          <w:rFonts w:hint="eastAsia" w:ascii="方正公文小标宋" w:hAnsi="方正公文小标宋" w:eastAsia="方正公文小标宋" w:cs="方正公文小标宋"/>
          <w:b w:val="0"/>
          <w:bCs w:val="0"/>
          <w:color w:val="auto"/>
          <w:sz w:val="44"/>
          <w:szCs w:val="44"/>
          <w:lang w:val="en-US" w:eastAsia="zh-CN"/>
        </w:rPr>
        <w:t>建设方案的修改说明</w:t>
      </w:r>
    </w:p>
    <w:p w14:paraId="1F474C18">
      <w:pPr>
        <w:keepNext w:val="0"/>
        <w:keepLines w:val="0"/>
        <w:pageBreakBefore w:val="0"/>
        <w:kinsoku/>
        <w:wordWrap/>
        <w:overflowPunct/>
        <w:topLinePunct w:val="0"/>
        <w:autoSpaceDN/>
        <w:bidi w:val="0"/>
        <w:adjustRightInd/>
        <w:snapToGrid/>
        <w:spacing w:line="600" w:lineRule="exact"/>
        <w:textAlignment w:val="auto"/>
        <w:rPr>
          <w:rFonts w:ascii="仿宋_GB2312" w:hAnsi="Times New Roman" w:eastAsia="仿宋_GB2312"/>
          <w:color w:val="auto"/>
          <w:sz w:val="32"/>
        </w:rPr>
      </w:pPr>
    </w:p>
    <w:p w14:paraId="50F9BBD7">
      <w:pPr>
        <w:keepNext w:val="0"/>
        <w:keepLines w:val="0"/>
        <w:pageBreakBefore w:val="0"/>
        <w:kinsoku/>
        <w:wordWrap/>
        <w:overflowPunct/>
        <w:topLinePunct w:val="0"/>
        <w:autoSpaceDN/>
        <w:bidi w:val="0"/>
        <w:adjustRightInd/>
        <w:snapToGrid/>
        <w:spacing w:line="600" w:lineRule="exact"/>
        <w:ind w:firstLine="602" w:firstLineChars="200"/>
        <w:textAlignment w:val="auto"/>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一、农业农村部评审意见修改说明</w:t>
      </w:r>
    </w:p>
    <w:p w14:paraId="36675118">
      <w:pPr>
        <w:keepNext w:val="0"/>
        <w:keepLines w:val="0"/>
        <w:pageBreakBefore w:val="0"/>
        <w:kinsoku/>
        <w:wordWrap/>
        <w:overflowPunct/>
        <w:topLinePunct w:val="0"/>
        <w:autoSpaceDN/>
        <w:bidi w:val="0"/>
        <w:adjustRightInd/>
        <w:snapToGrid/>
        <w:spacing w:line="600" w:lineRule="exact"/>
        <w:ind w:firstLine="643" w:firstLineChars="200"/>
        <w:textAlignment w:val="auto"/>
        <w:rPr>
          <w:rFonts w:ascii="仿宋_GB2312" w:hAnsi="Times New Roman" w:eastAsia="仿宋_GB2312"/>
          <w:color w:val="auto"/>
          <w:sz w:val="32"/>
        </w:rPr>
      </w:pPr>
      <w:r>
        <w:rPr>
          <w:rFonts w:hint="eastAsia" w:ascii="楷体_GB2312" w:hAnsi="Times New Roman" w:eastAsia="楷体_GB2312"/>
          <w:b/>
          <w:bCs/>
          <w:color w:val="auto"/>
          <w:sz w:val="32"/>
        </w:rPr>
        <w:t>（一）中央财政奖补资金使用不合理。</w:t>
      </w:r>
      <w:r>
        <w:rPr>
          <w:rFonts w:hint="eastAsia" w:ascii="仿宋_GB2312" w:hAnsi="Times New Roman" w:eastAsia="仿宋_GB2312"/>
          <w:color w:val="auto"/>
          <w:sz w:val="32"/>
        </w:rPr>
        <w:t>“智慧农业服务项目”拟安排中央财政奖补资金850万元，建设智慧农业服务平台硬件和软件。</w:t>
      </w:r>
    </w:p>
    <w:p w14:paraId="03F54BBF">
      <w:pPr>
        <w:keepNext w:val="0"/>
        <w:keepLines w:val="0"/>
        <w:pageBreakBefore w:val="0"/>
        <w:kinsoku/>
        <w:wordWrap/>
        <w:overflowPunct/>
        <w:topLinePunct w:val="0"/>
        <w:autoSpaceDN/>
        <w:bidi w:val="0"/>
        <w:adjustRightInd/>
        <w:snapToGrid/>
        <w:spacing w:line="600" w:lineRule="exact"/>
        <w:ind w:firstLine="643" w:firstLineChars="200"/>
        <w:textAlignment w:val="auto"/>
        <w:rPr>
          <w:rFonts w:hint="eastAsia" w:ascii="Times New Roman" w:hAnsi="Times New Roman" w:eastAsia="仿宋_GB2312"/>
          <w:color w:val="auto"/>
          <w:sz w:val="32"/>
        </w:rPr>
      </w:pPr>
      <w:r>
        <w:rPr>
          <w:rFonts w:hint="eastAsia" w:ascii="楷体_GB2312" w:hAnsi="Times New Roman" w:eastAsia="楷体_GB2312"/>
          <w:b/>
          <w:bCs/>
          <w:color w:val="auto"/>
          <w:sz w:val="32"/>
        </w:rPr>
        <w:t>修改说明：</w:t>
      </w:r>
      <w:r>
        <w:rPr>
          <w:rFonts w:hint="eastAsia" w:ascii="Times New Roman" w:hAnsi="Times New Roman" w:eastAsia="仿宋_GB2312"/>
          <w:color w:val="auto"/>
          <w:sz w:val="32"/>
        </w:rPr>
        <w:t>将智慧农业服务项目中央资金额度降为200万元，建设内容调整为建设充电桩及智能机具库、5G新基建和物联网等基础类设施。</w:t>
      </w:r>
    </w:p>
    <w:p w14:paraId="37459017">
      <w:pPr>
        <w:keepNext w:val="0"/>
        <w:keepLines w:val="0"/>
        <w:pageBreakBefore w:val="0"/>
        <w:kinsoku/>
        <w:wordWrap/>
        <w:overflowPunct/>
        <w:topLinePunct w:val="0"/>
        <w:autoSpaceDN/>
        <w:bidi w:val="0"/>
        <w:adjustRightInd/>
        <w:snapToGrid/>
        <w:spacing w:line="600" w:lineRule="exact"/>
        <w:ind w:firstLine="643" w:firstLineChars="200"/>
        <w:textAlignment w:val="auto"/>
        <w:rPr>
          <w:rFonts w:hint="eastAsia" w:ascii="Times New Roman" w:hAnsi="Times New Roman" w:eastAsia="仿宋_GB2312"/>
          <w:color w:val="auto"/>
          <w:sz w:val="32"/>
        </w:rPr>
      </w:pPr>
      <w:r>
        <w:rPr>
          <w:rFonts w:hint="eastAsia" w:ascii="楷体_GB2312" w:hAnsi="Times New Roman" w:eastAsia="楷体_GB2312"/>
          <w:b/>
          <w:bCs/>
          <w:color w:val="auto"/>
          <w:sz w:val="32"/>
        </w:rPr>
        <w:t>（二）文本质量。</w:t>
      </w:r>
      <w:r>
        <w:rPr>
          <w:rFonts w:hint="eastAsia" w:ascii="Times New Roman" w:hAnsi="Times New Roman" w:eastAsia="仿宋_GB2312"/>
          <w:color w:val="auto"/>
          <w:sz w:val="32"/>
        </w:rPr>
        <w:t>第 76 页“名优新品种示范推广项目” 缺少资金来源和总投资额，建议补充完善。</w:t>
      </w:r>
    </w:p>
    <w:p w14:paraId="69011126">
      <w:pPr>
        <w:keepNext w:val="0"/>
        <w:keepLines w:val="0"/>
        <w:pageBreakBefore w:val="0"/>
        <w:kinsoku/>
        <w:wordWrap/>
        <w:overflowPunct/>
        <w:topLinePunct w:val="0"/>
        <w:autoSpaceDN/>
        <w:bidi w:val="0"/>
        <w:adjustRightInd/>
        <w:snapToGrid/>
        <w:spacing w:line="600" w:lineRule="exact"/>
        <w:ind w:firstLine="643" w:firstLineChars="200"/>
        <w:textAlignment w:val="auto"/>
        <w:rPr>
          <w:rFonts w:hint="eastAsia" w:ascii="仿宋_GB2312" w:hAnsi="Times New Roman" w:eastAsia="仿宋_GB2312"/>
          <w:color w:val="auto"/>
          <w:sz w:val="32"/>
        </w:rPr>
      </w:pPr>
      <w:r>
        <w:rPr>
          <w:rFonts w:hint="eastAsia" w:ascii="楷体_GB2312" w:hAnsi="Times New Roman" w:eastAsia="楷体_GB2312"/>
          <w:b/>
          <w:bCs/>
          <w:color w:val="auto"/>
          <w:sz w:val="32"/>
        </w:rPr>
        <w:t>修改说明：</w:t>
      </w:r>
      <w:r>
        <w:rPr>
          <w:rFonts w:hint="eastAsia" w:ascii="仿宋_GB2312" w:hAnsi="Times New Roman" w:eastAsia="仿宋_GB2312"/>
          <w:color w:val="auto"/>
          <w:sz w:val="32"/>
        </w:rPr>
        <w:t>已补充。</w:t>
      </w:r>
    </w:p>
    <w:p w14:paraId="5F2161B6">
      <w:pPr>
        <w:keepNext w:val="0"/>
        <w:keepLines w:val="0"/>
        <w:pageBreakBefore w:val="0"/>
        <w:kinsoku/>
        <w:wordWrap/>
        <w:overflowPunct/>
        <w:topLinePunct w:val="0"/>
        <w:autoSpaceDN/>
        <w:bidi w:val="0"/>
        <w:adjustRightInd/>
        <w:snapToGrid/>
        <w:spacing w:line="600" w:lineRule="exact"/>
        <w:ind w:firstLine="640" w:firstLineChars="200"/>
        <w:textAlignment w:val="auto"/>
        <w:rPr>
          <w:rFonts w:hint="eastAsia" w:ascii="仿宋_GB2312" w:hAnsi="Times New Roman" w:eastAsia="仿宋_GB2312"/>
          <w:color w:val="auto"/>
          <w:sz w:val="32"/>
        </w:rPr>
      </w:pPr>
    </w:p>
    <w:p w14:paraId="0354868E">
      <w:pPr>
        <w:keepNext w:val="0"/>
        <w:keepLines w:val="0"/>
        <w:pageBreakBefore w:val="0"/>
        <w:kinsoku/>
        <w:wordWrap/>
        <w:overflowPunct/>
        <w:topLinePunct w:val="0"/>
        <w:autoSpaceDN/>
        <w:bidi w:val="0"/>
        <w:adjustRightInd/>
        <w:snapToGrid/>
        <w:spacing w:line="600" w:lineRule="exact"/>
        <w:ind w:firstLine="602" w:firstLineChars="200"/>
        <w:textAlignment w:val="auto"/>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二、湖南省农业农村厅核查意见修改说明</w:t>
      </w:r>
    </w:p>
    <w:p w14:paraId="32475087">
      <w:pPr>
        <w:keepNext w:val="0"/>
        <w:keepLines w:val="0"/>
        <w:pageBreakBefore w:val="0"/>
        <w:kinsoku/>
        <w:wordWrap/>
        <w:overflowPunct/>
        <w:topLinePunct w:val="0"/>
        <w:autoSpaceDN/>
        <w:bidi w:val="0"/>
        <w:adjustRightInd/>
        <w:snapToGrid/>
        <w:spacing w:line="600" w:lineRule="exact"/>
        <w:ind w:firstLine="643" w:firstLineChars="200"/>
        <w:textAlignment w:val="auto"/>
        <w:rPr>
          <w:rFonts w:hint="eastAsia" w:ascii="楷体_GB2312" w:hAnsi="Times New Roman" w:eastAsia="楷体_GB2312" w:cs="Times New Roman"/>
          <w:b/>
          <w:bCs/>
          <w:color w:val="auto"/>
          <w:sz w:val="32"/>
        </w:rPr>
      </w:pPr>
      <w:r>
        <w:rPr>
          <w:rFonts w:hint="eastAsia" w:ascii="楷体_GB2312" w:hAnsi="Times New Roman" w:eastAsia="楷体_GB2312" w:cs="Times New Roman"/>
          <w:b/>
          <w:bCs/>
          <w:color w:val="auto"/>
          <w:sz w:val="32"/>
        </w:rPr>
        <w:t>1.“产村融合项目”建设内容为建设“和美院落”8个、美丽乡村重点村10个，与中央财政奖补资金“不得用于中央财政已有（乡村振兴（和美乡村建设方向）中央预算内投资专项）专项支持内容”使用要求不符。建议调整。</w:t>
      </w:r>
    </w:p>
    <w:p w14:paraId="755CFB2A">
      <w:pPr>
        <w:keepNext w:val="0"/>
        <w:keepLines w:val="0"/>
        <w:pageBreakBefore w:val="0"/>
        <w:widowControl/>
        <w:kinsoku/>
        <w:wordWrap/>
        <w:overflowPunct/>
        <w:topLinePunct w:val="0"/>
        <w:autoSpaceDN/>
        <w:bidi w:val="0"/>
        <w:adjustRightInd/>
        <w:snapToGrid/>
        <w:spacing w:line="600" w:lineRule="exact"/>
        <w:ind w:firstLine="640" w:firstLineChars="200"/>
        <w:textAlignment w:val="auto"/>
        <w:rPr>
          <w:rFonts w:ascii="Times New Roman" w:hAnsi="Times New Roman" w:eastAsia="仿宋_GB2312" w:cs="宋体"/>
          <w:color w:val="auto"/>
          <w:kern w:val="0"/>
          <w:sz w:val="32"/>
          <w:szCs w:val="32"/>
        </w:rPr>
      </w:pPr>
      <w:r>
        <w:rPr>
          <w:rFonts w:hint="eastAsia" w:ascii="仿宋_GB2312" w:hAnsi="Times New Roman" w:eastAsia="仿宋_GB2312"/>
          <w:color w:val="auto"/>
          <w:kern w:val="0"/>
          <w:sz w:val="32"/>
          <w:szCs w:val="32"/>
        </w:rPr>
        <w:t>修改说明：已删除</w:t>
      </w:r>
      <w:r>
        <w:rPr>
          <w:rFonts w:ascii="Times New Roman" w:hAnsi="Times New Roman" w:eastAsia="仿宋_GB2312"/>
          <w:color w:val="auto"/>
          <w:kern w:val="0"/>
          <w:sz w:val="32"/>
          <w:szCs w:val="32"/>
        </w:rPr>
        <w:t>“</w:t>
      </w:r>
      <w:r>
        <w:rPr>
          <w:rFonts w:ascii="仿宋_GB2312" w:hAnsi="Times New Roman" w:eastAsia="仿宋_GB2312"/>
          <w:color w:val="auto"/>
          <w:kern w:val="0"/>
          <w:sz w:val="32"/>
          <w:szCs w:val="32"/>
        </w:rPr>
        <w:t>和美院落</w:t>
      </w:r>
      <w:r>
        <w:rPr>
          <w:rFonts w:hint="eastAsia" w:ascii="Times New Roman" w:hAnsi="Times New Roman" w:eastAsia="仿宋_GB2312"/>
          <w:color w:val="auto"/>
          <w:kern w:val="0"/>
          <w:sz w:val="32"/>
          <w:szCs w:val="32"/>
        </w:rPr>
        <w:t>8</w:t>
      </w:r>
      <w:r>
        <w:rPr>
          <w:rFonts w:hint="eastAsia" w:ascii="仿宋_GB2312" w:hAnsi="Times New Roman" w:eastAsia="仿宋_GB2312"/>
          <w:color w:val="auto"/>
          <w:kern w:val="0"/>
          <w:sz w:val="32"/>
          <w:szCs w:val="32"/>
        </w:rPr>
        <w:t>个、美丽乡村重点村</w:t>
      </w:r>
      <w:r>
        <w:rPr>
          <w:rFonts w:hint="eastAsia" w:ascii="Times New Roman" w:hAnsi="Times New Roman" w:eastAsia="仿宋_GB2312"/>
          <w:color w:val="auto"/>
          <w:kern w:val="0"/>
          <w:sz w:val="32"/>
          <w:szCs w:val="32"/>
        </w:rPr>
        <w:t>10</w:t>
      </w:r>
      <w:r>
        <w:rPr>
          <w:rFonts w:hint="eastAsia" w:ascii="仿宋_GB2312" w:hAnsi="Times New Roman" w:eastAsia="仿宋_GB2312"/>
          <w:color w:val="auto"/>
          <w:kern w:val="0"/>
          <w:sz w:val="32"/>
          <w:szCs w:val="32"/>
        </w:rPr>
        <w:t>个</w:t>
      </w:r>
      <w:r>
        <w:rPr>
          <w:rFonts w:ascii="Times New Roman" w:hAnsi="Times New Roman" w:eastAsia="仿宋_GB2312"/>
          <w:color w:val="auto"/>
          <w:kern w:val="0"/>
          <w:sz w:val="32"/>
          <w:szCs w:val="32"/>
        </w:rPr>
        <w:t>”</w:t>
      </w:r>
      <w:r>
        <w:rPr>
          <w:rFonts w:hint="eastAsia" w:ascii="仿宋_GB2312" w:hAnsi="Times New Roman" w:eastAsia="仿宋_GB2312"/>
          <w:color w:val="auto"/>
          <w:kern w:val="0"/>
          <w:sz w:val="32"/>
          <w:szCs w:val="32"/>
        </w:rPr>
        <w:t>内容。</w:t>
      </w:r>
    </w:p>
    <w:p w14:paraId="07D659EF">
      <w:pPr>
        <w:keepNext w:val="0"/>
        <w:keepLines w:val="0"/>
        <w:pageBreakBefore w:val="0"/>
        <w:kinsoku/>
        <w:wordWrap/>
        <w:overflowPunct/>
        <w:topLinePunct w:val="0"/>
        <w:autoSpaceDN/>
        <w:bidi w:val="0"/>
        <w:adjustRightInd/>
        <w:snapToGrid/>
        <w:spacing w:line="600" w:lineRule="exact"/>
        <w:ind w:firstLine="643" w:firstLineChars="200"/>
        <w:textAlignment w:val="auto"/>
        <w:rPr>
          <w:rFonts w:hint="eastAsia" w:ascii="楷体_GB2312" w:hAnsi="Times New Roman" w:eastAsia="楷体_GB2312" w:cs="Times New Roman"/>
          <w:b/>
          <w:bCs/>
          <w:color w:val="auto"/>
          <w:sz w:val="32"/>
        </w:rPr>
      </w:pPr>
      <w:r>
        <w:rPr>
          <w:rFonts w:hint="eastAsia" w:ascii="楷体_GB2312" w:hAnsi="Times New Roman" w:eastAsia="楷体_GB2312" w:cs="Times New Roman"/>
          <w:b/>
          <w:bCs/>
          <w:color w:val="auto"/>
          <w:sz w:val="32"/>
        </w:rPr>
        <w:t>2.“产村融合项目”建设内容中“建设园区产业道路约6200米”，所建设产业路是否涉及农村公路。且是否与主导产业发展相关联。建议核实或调整。</w:t>
      </w:r>
    </w:p>
    <w:p w14:paraId="79C28B99">
      <w:pPr>
        <w:keepNext w:val="0"/>
        <w:keepLines w:val="0"/>
        <w:pageBreakBefore w:val="0"/>
        <w:widowControl/>
        <w:kinsoku/>
        <w:wordWrap/>
        <w:overflowPunct/>
        <w:topLinePunct w:val="0"/>
        <w:autoSpaceDN/>
        <w:bidi w:val="0"/>
        <w:adjustRightInd/>
        <w:snapToGrid/>
        <w:spacing w:line="600" w:lineRule="exact"/>
        <w:ind w:firstLine="640" w:firstLineChars="200"/>
        <w:textAlignment w:val="auto"/>
        <w:rPr>
          <w:rFonts w:ascii="Times New Roman" w:hAnsi="Times New Roman" w:eastAsia="仿宋_GB2312" w:cs="宋体"/>
          <w:color w:val="auto"/>
          <w:kern w:val="0"/>
          <w:sz w:val="32"/>
          <w:szCs w:val="32"/>
        </w:rPr>
      </w:pPr>
      <w:r>
        <w:rPr>
          <w:rFonts w:hint="eastAsia" w:ascii="仿宋_GB2312" w:hAnsi="Times New Roman" w:eastAsia="仿宋_GB2312"/>
          <w:color w:val="auto"/>
          <w:kern w:val="0"/>
          <w:sz w:val="32"/>
          <w:szCs w:val="32"/>
        </w:rPr>
        <w:t>修改说明：已进一步核实为园区产业路，主要是为粮油生产需求服务的产业路，未涉及农村通组公路。</w:t>
      </w:r>
    </w:p>
    <w:p w14:paraId="2896331F">
      <w:pPr>
        <w:keepNext w:val="0"/>
        <w:keepLines w:val="0"/>
        <w:pageBreakBefore w:val="0"/>
        <w:kinsoku/>
        <w:wordWrap/>
        <w:overflowPunct/>
        <w:topLinePunct w:val="0"/>
        <w:autoSpaceDN/>
        <w:bidi w:val="0"/>
        <w:adjustRightInd/>
        <w:snapToGrid/>
        <w:spacing w:line="600" w:lineRule="exact"/>
        <w:ind w:firstLine="643" w:firstLineChars="200"/>
        <w:textAlignment w:val="auto"/>
        <w:rPr>
          <w:rFonts w:hint="eastAsia" w:ascii="楷体_GB2312" w:hAnsi="Times New Roman" w:eastAsia="楷体_GB2312" w:cs="Times New Roman"/>
          <w:b/>
          <w:bCs/>
          <w:color w:val="auto"/>
          <w:sz w:val="32"/>
        </w:rPr>
      </w:pPr>
      <w:r>
        <w:rPr>
          <w:rFonts w:hint="eastAsia" w:ascii="楷体_GB2312" w:hAnsi="Times New Roman" w:eastAsia="楷体_GB2312" w:cs="Times New Roman"/>
          <w:b/>
          <w:bCs/>
          <w:color w:val="auto"/>
          <w:sz w:val="32"/>
        </w:rPr>
        <w:t>3.“粮食烘干及精深加工中心”项目的子项目5.1建设主体为祁阳市现代农业产业园管委会，建设内容为“新建绿色低温平房仓2座（仓容1万吨稻谷）、1000平方米粮食加工车间1座、6000立方米恒温大米储存库1座、日产300吨精米生产一条”，中央资金投资1600万元，所建设资产确权至国有平台公司，是否以项目名义为国有经营主体采购设备和建设设施，且涉及生产设施投资，未见相关折股量化方案。建议核实、修改补充。</w:t>
      </w:r>
    </w:p>
    <w:p w14:paraId="6A7B38C1">
      <w:pPr>
        <w:keepNext w:val="0"/>
        <w:keepLines w:val="0"/>
        <w:pageBreakBefore w:val="0"/>
        <w:kinsoku/>
        <w:wordWrap/>
        <w:overflowPunct/>
        <w:topLinePunct w:val="0"/>
        <w:autoSpaceDE w:val="0"/>
        <w:autoSpaceDN/>
        <w:bidi w:val="0"/>
        <w:adjustRightInd/>
        <w:snapToGrid/>
        <w:spacing w:line="600" w:lineRule="exact"/>
        <w:ind w:firstLine="640" w:firstLineChars="200"/>
        <w:textAlignment w:val="auto"/>
        <w:rPr>
          <w:rFonts w:hint="eastAsia" w:ascii="Times New Roman" w:hAnsi="Times New Roman" w:eastAsia="仿宋_GB2312"/>
          <w:color w:val="auto"/>
          <w:kern w:val="0"/>
          <w:sz w:val="32"/>
          <w:szCs w:val="32"/>
        </w:rPr>
      </w:pPr>
      <w:r>
        <w:rPr>
          <w:rFonts w:hint="eastAsia" w:ascii="仿宋_GB2312" w:hAnsi="Times New Roman" w:eastAsia="仿宋_GB2312"/>
          <w:color w:val="auto"/>
          <w:kern w:val="0"/>
          <w:sz w:val="32"/>
          <w:szCs w:val="32"/>
        </w:rPr>
        <w:t>修改说明：</w:t>
      </w:r>
      <w:r>
        <w:rPr>
          <w:rFonts w:hint="eastAsia" w:ascii="Times New Roman" w:hAnsi="Times New Roman" w:eastAsia="仿宋_GB2312"/>
          <w:color w:val="auto"/>
          <w:kern w:val="0"/>
          <w:sz w:val="32"/>
          <w:szCs w:val="32"/>
        </w:rPr>
        <w:t>1.</w:t>
      </w:r>
      <w:r>
        <w:rPr>
          <w:rFonts w:hint="eastAsia" w:ascii="仿宋_GB2312" w:hAnsi="Times New Roman" w:eastAsia="仿宋_GB2312"/>
          <w:color w:val="auto"/>
          <w:kern w:val="0"/>
          <w:sz w:val="32"/>
          <w:szCs w:val="32"/>
        </w:rPr>
        <w:t>已核实厂房和仓储设施设备由国有平台公司承建后，租赁给市场</w:t>
      </w:r>
      <w:r>
        <w:rPr>
          <w:rFonts w:ascii="Times New Roman" w:hAnsi="Times New Roman" w:eastAsia="仿宋_GB2312"/>
          <w:color w:val="auto"/>
          <w:kern w:val="0"/>
          <w:sz w:val="32"/>
          <w:szCs w:val="32"/>
        </w:rPr>
        <w:t>主体，资产确权到国有平台公司。2.</w:t>
      </w:r>
      <w:r>
        <w:rPr>
          <w:rFonts w:ascii="Times New Roman" w:hAnsi="Times New Roman"/>
          <w:color w:val="auto"/>
        </w:rPr>
        <w:t xml:space="preserve"> </w:t>
      </w:r>
      <w:r>
        <w:rPr>
          <w:rFonts w:ascii="Times New Roman" w:hAnsi="Times New Roman" w:eastAsia="仿宋_GB2312"/>
          <w:color w:val="auto"/>
          <w:kern w:val="0"/>
          <w:sz w:val="32"/>
          <w:szCs w:val="32"/>
        </w:rPr>
        <w:t>日产300吨精米生产线由市场主体实施后奖补，资产确权到市场主体。3.“粮油大数据交易展示平台2300平方米”和“日产300吨精米生产线”调整到金融和社会资金建设内容。</w:t>
      </w:r>
    </w:p>
    <w:p w14:paraId="45BF214D">
      <w:pPr>
        <w:keepNext w:val="0"/>
        <w:keepLines w:val="0"/>
        <w:pageBreakBefore w:val="0"/>
        <w:kinsoku/>
        <w:wordWrap/>
        <w:overflowPunct/>
        <w:topLinePunct w:val="0"/>
        <w:autoSpaceDN/>
        <w:bidi w:val="0"/>
        <w:adjustRightInd/>
        <w:snapToGrid/>
        <w:spacing w:line="600" w:lineRule="exact"/>
        <w:ind w:firstLine="643" w:firstLineChars="200"/>
        <w:textAlignment w:val="auto"/>
        <w:rPr>
          <w:rFonts w:hint="eastAsia" w:ascii="楷体_GB2312" w:hAnsi="Times New Roman" w:eastAsia="楷体_GB2312" w:cs="Times New Roman"/>
          <w:b/>
          <w:bCs/>
          <w:color w:val="auto"/>
          <w:sz w:val="32"/>
        </w:rPr>
      </w:pPr>
      <w:r>
        <w:rPr>
          <w:rFonts w:hint="eastAsia" w:ascii="楷体_GB2312" w:hAnsi="Times New Roman" w:eastAsia="楷体_GB2312" w:cs="Times New Roman"/>
          <w:b/>
          <w:bCs/>
          <w:color w:val="auto"/>
          <w:sz w:val="32"/>
        </w:rPr>
        <w:t>4.“祁阳市农副产品加工区配套基础设施项目”建设主体为祁阳市现代农业产业园管委会，中央资金投资1000万元，所建设资产确权至国有平台公司；“粮食烘干及精深加工中心”项目的子项目5.1建设地点也在祁阳市农副产品加工园，中央资金投资1600万元，所建设资产也确权至国有平台公司，该2个项目中涉及确权的国有平台公司是否为同一国有企业，如为同一国有企业，则投入资金已超过中央奖补资金总额的20%，达到2600万元，建议补充或修改。</w:t>
      </w:r>
    </w:p>
    <w:p w14:paraId="5D34EA8F">
      <w:pPr>
        <w:keepNext w:val="0"/>
        <w:keepLines w:val="0"/>
        <w:pageBreakBefore w:val="0"/>
        <w:widowControl/>
        <w:kinsoku/>
        <w:wordWrap/>
        <w:overflowPunct/>
        <w:topLinePunct w:val="0"/>
        <w:autoSpaceDN/>
        <w:bidi w:val="0"/>
        <w:adjustRightInd/>
        <w:snapToGrid/>
        <w:spacing w:line="600" w:lineRule="exact"/>
        <w:ind w:firstLine="640" w:firstLineChars="200"/>
        <w:textAlignment w:val="auto"/>
        <w:rPr>
          <w:rFonts w:hint="eastAsia" w:ascii="Times New Roman" w:hAnsi="Times New Roman" w:eastAsia="仿宋_GB2312"/>
          <w:color w:val="auto"/>
          <w:kern w:val="0"/>
          <w:sz w:val="32"/>
          <w:szCs w:val="32"/>
        </w:rPr>
      </w:pPr>
      <w:r>
        <w:rPr>
          <w:rFonts w:hint="eastAsia" w:ascii="仿宋_GB2312" w:hAnsi="Times New Roman" w:eastAsia="仿宋_GB2312"/>
          <w:color w:val="auto"/>
          <w:kern w:val="0"/>
          <w:sz w:val="32"/>
          <w:szCs w:val="32"/>
        </w:rPr>
        <w:t>修改说明：</w:t>
      </w:r>
      <w:r>
        <w:rPr>
          <w:rFonts w:hint="eastAsia" w:ascii="Times New Roman" w:hAnsi="Times New Roman" w:eastAsia="仿宋_GB2312"/>
          <w:color w:val="auto"/>
          <w:kern w:val="0"/>
          <w:sz w:val="32"/>
          <w:szCs w:val="32"/>
        </w:rPr>
        <w:t>1.</w:t>
      </w:r>
      <w:r>
        <w:rPr>
          <w:rFonts w:hint="eastAsia" w:ascii="仿宋_GB2312" w:hAnsi="Times New Roman" w:eastAsia="仿宋_GB2312"/>
          <w:color w:val="auto"/>
          <w:kern w:val="0"/>
          <w:sz w:val="32"/>
          <w:szCs w:val="32"/>
        </w:rPr>
        <w:t>农副产品加工区配套基础设施项目为公益性资产，建成后确权至农业园区管委会。</w:t>
      </w:r>
      <w:r>
        <w:rPr>
          <w:rFonts w:hint="eastAsia" w:ascii="Times New Roman" w:hAnsi="Times New Roman" w:eastAsia="仿宋_GB2312"/>
          <w:color w:val="auto"/>
          <w:kern w:val="0"/>
          <w:sz w:val="32"/>
          <w:szCs w:val="32"/>
        </w:rPr>
        <w:t>2.</w:t>
      </w:r>
      <w:r>
        <w:rPr>
          <w:rFonts w:ascii="仿宋_GB2312" w:hAnsi="Times New Roman" w:eastAsia="仿宋_GB2312"/>
          <w:color w:val="auto"/>
          <w:kern w:val="0"/>
          <w:sz w:val="32"/>
          <w:szCs w:val="32"/>
        </w:rPr>
        <w:t>粮食烘干及精深加工中心</w:t>
      </w:r>
      <w:r>
        <w:rPr>
          <w:rFonts w:hint="eastAsia" w:ascii="仿宋_GB2312" w:hAnsi="Times New Roman" w:eastAsia="仿宋_GB2312"/>
          <w:color w:val="auto"/>
          <w:kern w:val="0"/>
          <w:sz w:val="32"/>
          <w:szCs w:val="32"/>
        </w:rPr>
        <w:t>项目的国有经营性资产，将确权至高新产投国有平台公司。</w:t>
      </w:r>
    </w:p>
    <w:p w14:paraId="0D8A7BD0">
      <w:pPr>
        <w:keepNext w:val="0"/>
        <w:keepLines w:val="0"/>
        <w:pageBreakBefore w:val="0"/>
        <w:kinsoku/>
        <w:wordWrap/>
        <w:overflowPunct/>
        <w:topLinePunct w:val="0"/>
        <w:autoSpaceDN/>
        <w:bidi w:val="0"/>
        <w:adjustRightInd/>
        <w:snapToGrid/>
        <w:spacing w:line="600" w:lineRule="exact"/>
        <w:ind w:firstLine="643" w:firstLineChars="200"/>
        <w:textAlignment w:val="auto"/>
        <w:rPr>
          <w:rFonts w:hint="eastAsia" w:ascii="楷体_GB2312" w:hAnsi="Times New Roman" w:eastAsia="楷体_GB2312" w:cs="Times New Roman"/>
          <w:b/>
          <w:bCs/>
          <w:color w:val="auto"/>
          <w:sz w:val="32"/>
        </w:rPr>
      </w:pPr>
      <w:r>
        <w:rPr>
          <w:rFonts w:hint="eastAsia" w:ascii="楷体_GB2312" w:hAnsi="Times New Roman" w:eastAsia="楷体_GB2312" w:cs="Times New Roman"/>
          <w:b/>
          <w:bCs/>
          <w:color w:val="auto"/>
          <w:sz w:val="32"/>
        </w:rPr>
        <w:t>5.部分子项目中购置了农机及运输车辆，如同创农机购置农机维修设备1套、秸秆运输车2辆；祁阳县润晖农业开发有限公司购置运粮车2台；湖南亿佳农业开发有限公司购置农资配送车1辆、转运车1辆等，请重点核对相关农机是否属于已纳入购置补贴范围；相关运输车辆是否符合中央奖补资金使用要求，原则上秸秆运输车、运粮车等无特殊功能的车辆不得用中央资金购置。</w:t>
      </w:r>
    </w:p>
    <w:p w14:paraId="1A884BE6">
      <w:pPr>
        <w:keepNext w:val="0"/>
        <w:keepLines w:val="0"/>
        <w:pageBreakBefore w:val="0"/>
        <w:widowControl/>
        <w:kinsoku/>
        <w:wordWrap/>
        <w:overflowPunct/>
        <w:topLinePunct w:val="0"/>
        <w:autoSpaceDN/>
        <w:bidi w:val="0"/>
        <w:adjustRightInd/>
        <w:snapToGrid/>
        <w:spacing w:line="600" w:lineRule="exact"/>
        <w:ind w:firstLine="640" w:firstLineChars="200"/>
        <w:textAlignment w:val="auto"/>
        <w:rPr>
          <w:rFonts w:hint="eastAsia" w:ascii="Times New Roman" w:hAnsi="Times New Roman" w:eastAsia="仿宋_GB2312"/>
          <w:color w:val="auto"/>
          <w:kern w:val="0"/>
          <w:sz w:val="32"/>
          <w:szCs w:val="32"/>
        </w:rPr>
      </w:pPr>
      <w:r>
        <w:rPr>
          <w:rFonts w:hint="eastAsia" w:ascii="仿宋_GB2312" w:hAnsi="Times New Roman" w:eastAsia="仿宋_GB2312"/>
          <w:color w:val="auto"/>
          <w:kern w:val="0"/>
          <w:sz w:val="32"/>
          <w:szCs w:val="32"/>
        </w:rPr>
        <w:t>修改说明：已核实使用中央资金奖补的设施设备未纳入农机购置补贴目录；同创秸秆运输车已删除；</w:t>
      </w:r>
      <w:r>
        <w:rPr>
          <w:rFonts w:hint="eastAsia" w:ascii="仿宋_GB2312" w:hAnsi="Times New Roman" w:eastAsia="仿宋_GB2312"/>
          <w:color w:val="auto"/>
          <w:kern w:val="0"/>
          <w:sz w:val="32"/>
          <w:szCs w:val="32"/>
          <w:lang w:eastAsia="zh-CN"/>
        </w:rPr>
        <w:t>其他</w:t>
      </w:r>
      <w:r>
        <w:rPr>
          <w:rFonts w:hint="eastAsia" w:ascii="仿宋_GB2312" w:hAnsi="Times New Roman" w:eastAsia="仿宋_GB2312"/>
          <w:color w:val="auto"/>
          <w:kern w:val="0"/>
          <w:sz w:val="32"/>
          <w:szCs w:val="32"/>
        </w:rPr>
        <w:t>主体运输车辆修改至社会资本建设内容。</w:t>
      </w:r>
    </w:p>
    <w:p w14:paraId="03AD3451">
      <w:pPr>
        <w:keepNext w:val="0"/>
        <w:keepLines w:val="0"/>
        <w:pageBreakBefore w:val="0"/>
        <w:kinsoku/>
        <w:wordWrap/>
        <w:overflowPunct/>
        <w:topLinePunct w:val="0"/>
        <w:autoSpaceDN/>
        <w:bidi w:val="0"/>
        <w:adjustRightInd/>
        <w:snapToGrid/>
        <w:spacing w:line="600" w:lineRule="exact"/>
        <w:ind w:firstLine="643" w:firstLineChars="200"/>
        <w:textAlignment w:val="auto"/>
        <w:rPr>
          <w:rFonts w:hint="eastAsia" w:ascii="楷体_GB2312" w:hAnsi="Times New Roman" w:eastAsia="楷体_GB2312" w:cs="Times New Roman"/>
          <w:b/>
          <w:bCs/>
          <w:color w:val="auto"/>
          <w:sz w:val="32"/>
        </w:rPr>
      </w:pPr>
      <w:r>
        <w:rPr>
          <w:rFonts w:hint="eastAsia" w:ascii="楷体_GB2312" w:hAnsi="Times New Roman" w:eastAsia="楷体_GB2312" w:cs="Times New Roman"/>
          <w:b/>
          <w:bCs/>
          <w:color w:val="auto"/>
          <w:sz w:val="32"/>
        </w:rPr>
        <w:t>6.请进一步核对，确保子项目金融和社会资金与建设内容匹配。以现代农事综合服务中心为例，3233万元资金建设内容远少于中央奖补资金建设内容。</w:t>
      </w:r>
    </w:p>
    <w:p w14:paraId="4908CB43">
      <w:pPr>
        <w:keepNext w:val="0"/>
        <w:keepLines w:val="0"/>
        <w:pageBreakBefore w:val="0"/>
        <w:widowControl/>
        <w:kinsoku/>
        <w:wordWrap/>
        <w:overflowPunct/>
        <w:topLinePunct w:val="0"/>
        <w:autoSpaceDN/>
        <w:bidi w:val="0"/>
        <w:adjustRightInd/>
        <w:snapToGrid/>
        <w:spacing w:line="600" w:lineRule="exact"/>
        <w:ind w:firstLine="640" w:firstLineChars="200"/>
        <w:textAlignment w:val="auto"/>
        <w:rPr>
          <w:rFonts w:hint="eastAsia" w:ascii="Times New Roman" w:hAnsi="Times New Roman" w:eastAsia="仿宋_GB2312"/>
          <w:color w:val="auto"/>
          <w:kern w:val="0"/>
          <w:sz w:val="32"/>
          <w:szCs w:val="32"/>
        </w:rPr>
      </w:pPr>
      <w:r>
        <w:rPr>
          <w:rFonts w:hint="eastAsia" w:ascii="仿宋_GB2312" w:hAnsi="Times New Roman" w:eastAsia="仿宋_GB2312"/>
          <w:color w:val="auto"/>
          <w:kern w:val="0"/>
          <w:sz w:val="32"/>
          <w:szCs w:val="32"/>
        </w:rPr>
        <w:t>修改说明：1.按照方案，</w:t>
      </w:r>
      <w:r>
        <w:rPr>
          <w:rFonts w:hint="eastAsia" w:ascii="Times New Roman" w:hAnsi="Times New Roman" w:eastAsia="仿宋_GB2312"/>
          <w:color w:val="auto"/>
          <w:kern w:val="0"/>
          <w:sz w:val="32"/>
          <w:szCs w:val="32"/>
        </w:rPr>
        <w:t>市场主体实施的项目支持方式为奖补，所建设内容（例如厂房、生产线）无法对其进行中央资金、社会资本分割，中央资金的资金额度约按申报奖补的建设内容实际投资45%计算，实际金额应为中央资金额度/0.45。2.金融和社会资本的建设内容不参加奖补申报</w:t>
      </w:r>
      <w:r>
        <w:rPr>
          <w:rFonts w:hint="eastAsia" w:ascii="仿宋_GB2312" w:hAnsi="Times New Roman" w:eastAsia="仿宋_GB2312"/>
          <w:color w:val="auto"/>
          <w:kern w:val="0"/>
          <w:sz w:val="32"/>
          <w:szCs w:val="32"/>
        </w:rPr>
        <w:t>。3.为与建设方案文本保持一致，重点工程项目表中的“工程”合计栏，金融和社会资本=金融和社会资本+中央资金实际投资-中央</w:t>
      </w:r>
      <w:r>
        <w:rPr>
          <w:rFonts w:hint="eastAsia" w:ascii="仿宋_GB2312" w:hAnsi="Times New Roman" w:eastAsia="仿宋_GB2312"/>
          <w:color w:val="auto"/>
          <w:kern w:val="0"/>
          <w:sz w:val="32"/>
          <w:szCs w:val="32"/>
          <w:lang w:eastAsia="zh-CN"/>
        </w:rPr>
        <w:t>资金</w:t>
      </w:r>
      <w:r>
        <w:rPr>
          <w:rFonts w:hint="eastAsia" w:ascii="仿宋_GB2312" w:hAnsi="Times New Roman" w:eastAsia="仿宋_GB2312"/>
          <w:color w:val="auto"/>
          <w:kern w:val="0"/>
          <w:sz w:val="32"/>
          <w:szCs w:val="32"/>
        </w:rPr>
        <w:t>额度。</w:t>
      </w:r>
    </w:p>
    <w:p w14:paraId="52DDF0B3">
      <w:pPr>
        <w:keepNext w:val="0"/>
        <w:keepLines w:val="0"/>
        <w:pageBreakBefore w:val="0"/>
        <w:kinsoku/>
        <w:wordWrap/>
        <w:overflowPunct/>
        <w:topLinePunct w:val="0"/>
        <w:autoSpaceDN/>
        <w:bidi w:val="0"/>
        <w:adjustRightInd/>
        <w:snapToGrid/>
        <w:spacing w:line="600" w:lineRule="exact"/>
        <w:ind w:firstLine="643" w:firstLineChars="200"/>
        <w:textAlignment w:val="auto"/>
        <w:rPr>
          <w:rFonts w:hint="eastAsia" w:ascii="楷体_GB2312" w:hAnsi="Times New Roman" w:eastAsia="楷体_GB2312" w:cs="Times New Roman"/>
          <w:b/>
          <w:bCs/>
          <w:color w:val="auto"/>
          <w:sz w:val="32"/>
        </w:rPr>
      </w:pPr>
      <w:r>
        <w:rPr>
          <w:rFonts w:hint="eastAsia" w:ascii="楷体_GB2312" w:hAnsi="Times New Roman" w:eastAsia="楷体_GB2312" w:cs="Times New Roman"/>
          <w:b/>
          <w:bCs/>
          <w:color w:val="auto"/>
          <w:sz w:val="32"/>
        </w:rPr>
        <w:t>7.部分子项目的中央奖补资金未用于主导产业发展，如育秧大棚综合利用对种植蔬菜进行奖补；祁阳市农副产品加工区配套基础设施项目对项目场地平整、消防、绿化及亮化等相关基础设施。请进一步核对。</w:t>
      </w:r>
    </w:p>
    <w:p w14:paraId="39708410">
      <w:pPr>
        <w:keepNext w:val="0"/>
        <w:keepLines w:val="0"/>
        <w:pageBreakBefore w:val="0"/>
        <w:widowControl/>
        <w:kinsoku/>
        <w:wordWrap/>
        <w:overflowPunct/>
        <w:topLinePunct w:val="0"/>
        <w:autoSpaceDN/>
        <w:bidi w:val="0"/>
        <w:adjustRightInd/>
        <w:snapToGrid/>
        <w:spacing w:line="600" w:lineRule="exact"/>
        <w:ind w:firstLine="640" w:firstLineChars="200"/>
        <w:textAlignment w:val="auto"/>
        <w:rPr>
          <w:rFonts w:hint="eastAsia" w:ascii="Times New Roman" w:hAnsi="Times New Roman" w:eastAsia="仿宋_GB2312"/>
          <w:color w:val="auto"/>
          <w:kern w:val="0"/>
          <w:sz w:val="32"/>
          <w:szCs w:val="32"/>
        </w:rPr>
      </w:pPr>
      <w:r>
        <w:rPr>
          <w:rFonts w:hint="eastAsia" w:ascii="仿宋_GB2312" w:hAnsi="Times New Roman" w:eastAsia="仿宋_GB2312"/>
          <w:color w:val="auto"/>
          <w:kern w:val="0"/>
          <w:sz w:val="32"/>
          <w:szCs w:val="32"/>
        </w:rPr>
        <w:t>修改说明：</w:t>
      </w:r>
      <w:r>
        <w:rPr>
          <w:rFonts w:hint="eastAsia" w:ascii="Times New Roman" w:hAnsi="Times New Roman" w:eastAsia="仿宋_GB2312"/>
          <w:color w:val="auto"/>
          <w:kern w:val="0"/>
          <w:sz w:val="32"/>
          <w:szCs w:val="32"/>
        </w:rPr>
        <w:t>1.</w:t>
      </w:r>
      <w:r>
        <w:rPr>
          <w:rFonts w:hint="eastAsia" w:ascii="仿宋_GB2312" w:hAnsi="Times New Roman" w:eastAsia="仿宋_GB2312"/>
          <w:color w:val="auto"/>
          <w:kern w:val="0"/>
          <w:sz w:val="32"/>
          <w:szCs w:val="32"/>
        </w:rPr>
        <w:t>通过育秧大棚综合利用来增加农民收入，同时通过种植来维护育秧大棚设施设备，延长大棚使用寿命；</w:t>
      </w:r>
      <w:r>
        <w:rPr>
          <w:rFonts w:hint="eastAsia" w:ascii="Times New Roman" w:hAnsi="Times New Roman" w:eastAsia="仿宋_GB2312"/>
          <w:color w:val="auto"/>
          <w:kern w:val="0"/>
          <w:sz w:val="32"/>
          <w:szCs w:val="32"/>
        </w:rPr>
        <w:t>2.</w:t>
      </w:r>
      <w:r>
        <w:rPr>
          <w:rFonts w:hint="eastAsia" w:ascii="仿宋_GB2312" w:hAnsi="Times New Roman" w:eastAsia="仿宋_GB2312"/>
          <w:color w:val="auto"/>
          <w:kern w:val="0"/>
          <w:sz w:val="32"/>
          <w:szCs w:val="32"/>
        </w:rPr>
        <w:t>祁阳市农副产品加工区配套基础设施项目是着力提升粮油主导产业加工能力，已将绿化亮化建设内容修改至地方资金。</w:t>
      </w:r>
    </w:p>
    <w:p w14:paraId="1CC524FB">
      <w:pPr>
        <w:keepNext w:val="0"/>
        <w:keepLines w:val="0"/>
        <w:pageBreakBefore w:val="0"/>
        <w:kinsoku/>
        <w:wordWrap/>
        <w:overflowPunct/>
        <w:topLinePunct w:val="0"/>
        <w:autoSpaceDN/>
        <w:bidi w:val="0"/>
        <w:adjustRightInd/>
        <w:snapToGrid/>
        <w:spacing w:line="600" w:lineRule="exact"/>
        <w:ind w:firstLine="643" w:firstLineChars="200"/>
        <w:textAlignment w:val="auto"/>
        <w:rPr>
          <w:rFonts w:hint="eastAsia" w:ascii="楷体_GB2312" w:hAnsi="Times New Roman" w:eastAsia="楷体_GB2312" w:cs="Times New Roman"/>
          <w:b/>
          <w:bCs/>
          <w:color w:val="auto"/>
          <w:sz w:val="32"/>
        </w:rPr>
      </w:pPr>
      <w:r>
        <w:rPr>
          <w:rFonts w:hint="eastAsia" w:ascii="楷体_GB2312" w:hAnsi="Times New Roman" w:eastAsia="楷体_GB2312" w:cs="Times New Roman"/>
          <w:b/>
          <w:bCs/>
          <w:color w:val="auto"/>
          <w:sz w:val="32"/>
        </w:rPr>
        <w:t>8.部分子项目涉及多个主体的，未进一步细化明确各主体的各类资金安排情况。如，现代农事综合服务中心等。请进一步核对。</w:t>
      </w:r>
    </w:p>
    <w:p w14:paraId="515C6C7C">
      <w:pPr>
        <w:keepNext w:val="0"/>
        <w:keepLines w:val="0"/>
        <w:pageBreakBefore w:val="0"/>
        <w:widowControl/>
        <w:kinsoku/>
        <w:wordWrap/>
        <w:overflowPunct/>
        <w:topLinePunct w:val="0"/>
        <w:autoSpaceDN/>
        <w:bidi w:val="0"/>
        <w:adjustRightInd/>
        <w:snapToGrid/>
        <w:spacing w:line="600" w:lineRule="exact"/>
        <w:ind w:firstLine="640" w:firstLineChars="200"/>
        <w:textAlignment w:val="auto"/>
        <w:rPr>
          <w:rFonts w:hint="eastAsia" w:ascii="Times New Roman" w:hAnsi="Times New Roman" w:eastAsia="仿宋_GB2312"/>
          <w:color w:val="auto"/>
          <w:kern w:val="0"/>
          <w:sz w:val="32"/>
          <w:szCs w:val="32"/>
        </w:rPr>
      </w:pPr>
      <w:r>
        <w:rPr>
          <w:rFonts w:hint="eastAsia" w:ascii="仿宋_GB2312" w:hAnsi="Times New Roman" w:eastAsia="仿宋_GB2312"/>
          <w:color w:val="auto"/>
          <w:kern w:val="0"/>
          <w:sz w:val="32"/>
          <w:szCs w:val="32"/>
        </w:rPr>
        <w:t>修改说明：已细化到子项目的各个主体。</w:t>
      </w:r>
    </w:p>
    <w:p w14:paraId="14EE4927">
      <w:pPr>
        <w:keepNext w:val="0"/>
        <w:keepLines w:val="0"/>
        <w:pageBreakBefore w:val="0"/>
        <w:kinsoku/>
        <w:wordWrap/>
        <w:overflowPunct/>
        <w:topLinePunct w:val="0"/>
        <w:autoSpaceDN/>
        <w:bidi w:val="0"/>
        <w:adjustRightInd/>
        <w:snapToGrid/>
        <w:spacing w:line="600" w:lineRule="exact"/>
        <w:ind w:firstLine="643" w:firstLineChars="200"/>
        <w:textAlignment w:val="auto"/>
        <w:rPr>
          <w:rFonts w:hint="eastAsia" w:ascii="楷体_GB2312" w:hAnsi="Times New Roman" w:eastAsia="楷体_GB2312" w:cs="Times New Roman"/>
          <w:b/>
          <w:bCs/>
          <w:color w:val="auto"/>
          <w:sz w:val="32"/>
        </w:rPr>
      </w:pPr>
      <w:r>
        <w:rPr>
          <w:rFonts w:hint="eastAsia" w:ascii="楷体_GB2312" w:hAnsi="Times New Roman" w:eastAsia="楷体_GB2312" w:cs="Times New Roman"/>
          <w:b/>
          <w:bCs/>
          <w:color w:val="auto"/>
          <w:sz w:val="32"/>
        </w:rPr>
        <w:t>9.部分子项目中央资金安排与联农带农要求不成比例，或明显不合理、不细化。如湖南省君祁农业开发有限公司，安排就业3</w:t>
      </w:r>
      <w:r>
        <w:rPr>
          <w:rFonts w:hint="eastAsia" w:ascii="楷体_GB2312" w:hAnsi="Times New Roman" w:eastAsia="楷体_GB2312" w:cs="Times New Roman"/>
          <w:b/>
          <w:bCs/>
          <w:color w:val="auto"/>
          <w:sz w:val="32"/>
          <w:lang w:eastAsia="zh-CN"/>
        </w:rPr>
        <w:t>人</w:t>
      </w:r>
      <w:r>
        <w:rPr>
          <w:rFonts w:hint="eastAsia" w:ascii="楷体_GB2312" w:hAnsi="Times New Roman" w:eastAsia="楷体_GB2312" w:cs="Times New Roman"/>
          <w:b/>
          <w:bCs/>
          <w:color w:val="auto"/>
          <w:sz w:val="32"/>
        </w:rPr>
        <w:t>、发放工资36万，人均高达12万/年，且该项目联农带农数量太少与其400多万奖补资金不符。此外，有的项目明确了务工就业人数却未明确发放工资量；有的项目明确了订单收购协议农户数和订单收购面积，有的只有面积。请重点核对。</w:t>
      </w:r>
    </w:p>
    <w:p w14:paraId="0FF8DE93">
      <w:pPr>
        <w:keepNext w:val="0"/>
        <w:keepLines w:val="0"/>
        <w:pageBreakBefore w:val="0"/>
        <w:widowControl/>
        <w:kinsoku/>
        <w:wordWrap/>
        <w:overflowPunct/>
        <w:topLinePunct w:val="0"/>
        <w:autoSpaceDN/>
        <w:bidi w:val="0"/>
        <w:adjustRightInd/>
        <w:snapToGrid/>
        <w:spacing w:line="600" w:lineRule="exact"/>
        <w:ind w:firstLine="640" w:firstLineChars="200"/>
        <w:textAlignment w:val="auto"/>
        <w:rPr>
          <w:rFonts w:hint="eastAsia" w:ascii="Times New Roman" w:hAnsi="Times New Roman" w:eastAsia="仿宋_GB2312"/>
          <w:color w:val="auto"/>
          <w:kern w:val="0"/>
          <w:sz w:val="32"/>
          <w:szCs w:val="32"/>
        </w:rPr>
      </w:pPr>
      <w:r>
        <w:rPr>
          <w:rFonts w:hint="eastAsia" w:ascii="仿宋_GB2312" w:hAnsi="Times New Roman" w:eastAsia="仿宋_GB2312"/>
          <w:color w:val="auto"/>
          <w:kern w:val="0"/>
          <w:sz w:val="32"/>
          <w:szCs w:val="32"/>
        </w:rPr>
        <w:t>修改说明：已按《关于进一步明确产业项目联农带农模式及要求的通知》要求修改。</w:t>
      </w:r>
    </w:p>
    <w:p w14:paraId="1056C3C9">
      <w:pPr>
        <w:keepNext w:val="0"/>
        <w:keepLines w:val="0"/>
        <w:pageBreakBefore w:val="0"/>
        <w:kinsoku/>
        <w:wordWrap/>
        <w:overflowPunct/>
        <w:topLinePunct w:val="0"/>
        <w:autoSpaceDN/>
        <w:bidi w:val="0"/>
        <w:adjustRightInd/>
        <w:snapToGrid/>
        <w:spacing w:line="600" w:lineRule="exact"/>
        <w:ind w:firstLine="643" w:firstLineChars="200"/>
        <w:textAlignment w:val="auto"/>
        <w:rPr>
          <w:rFonts w:hint="eastAsia" w:ascii="楷体_GB2312" w:hAnsi="Times New Roman" w:eastAsia="楷体_GB2312" w:cs="Times New Roman"/>
          <w:b/>
          <w:bCs/>
          <w:color w:val="auto"/>
          <w:sz w:val="32"/>
        </w:rPr>
      </w:pPr>
      <w:r>
        <w:rPr>
          <w:rFonts w:hint="eastAsia" w:ascii="楷体_GB2312" w:hAnsi="Times New Roman" w:eastAsia="楷体_GB2312" w:cs="Times New Roman"/>
          <w:b/>
          <w:bCs/>
          <w:color w:val="auto"/>
          <w:sz w:val="32"/>
        </w:rPr>
        <w:t>10.部分子项目中利用中央奖补资金建设各类数据平台，请核对资金总量不应超过400万元。如粮油大数据交易展示平台2300平方米、云仓WMS/TMS软件系统等。</w:t>
      </w:r>
    </w:p>
    <w:p w14:paraId="3507F9D6">
      <w:pPr>
        <w:keepNext w:val="0"/>
        <w:keepLines w:val="0"/>
        <w:pageBreakBefore w:val="0"/>
        <w:widowControl/>
        <w:kinsoku/>
        <w:wordWrap/>
        <w:overflowPunct/>
        <w:topLinePunct w:val="0"/>
        <w:autoSpaceDN/>
        <w:bidi w:val="0"/>
        <w:adjustRightInd/>
        <w:snapToGrid/>
        <w:spacing w:line="600" w:lineRule="exact"/>
        <w:ind w:firstLine="640" w:firstLineChars="200"/>
        <w:textAlignment w:val="auto"/>
        <w:rPr>
          <w:rFonts w:hint="eastAsia" w:ascii="Times New Roman" w:hAnsi="Times New Roman" w:eastAsia="仿宋_GB2312"/>
          <w:color w:val="auto"/>
          <w:kern w:val="0"/>
          <w:sz w:val="32"/>
          <w:szCs w:val="32"/>
        </w:rPr>
      </w:pPr>
      <w:r>
        <w:rPr>
          <w:rFonts w:hint="eastAsia" w:ascii="仿宋_GB2312" w:hAnsi="Times New Roman" w:eastAsia="仿宋_GB2312"/>
          <w:color w:val="auto"/>
          <w:kern w:val="0"/>
          <w:sz w:val="32"/>
          <w:szCs w:val="32"/>
        </w:rPr>
        <w:t>修改说明：“粮油大数据交易展示平台</w:t>
      </w:r>
      <w:r>
        <w:rPr>
          <w:rFonts w:hint="eastAsia" w:ascii="Times New Roman" w:hAnsi="Times New Roman" w:eastAsia="仿宋_GB2312"/>
          <w:color w:val="auto"/>
          <w:kern w:val="0"/>
          <w:sz w:val="32"/>
          <w:szCs w:val="32"/>
        </w:rPr>
        <w:t>2300</w:t>
      </w:r>
      <w:r>
        <w:rPr>
          <w:rFonts w:hint="eastAsia" w:ascii="仿宋_GB2312" w:hAnsi="Times New Roman" w:eastAsia="仿宋_GB2312"/>
          <w:color w:val="auto"/>
          <w:kern w:val="0"/>
          <w:sz w:val="32"/>
          <w:szCs w:val="32"/>
        </w:rPr>
        <w:t>平方米”已修改至社会资本；经核实“云仓</w:t>
      </w:r>
      <w:r>
        <w:rPr>
          <w:rFonts w:hint="eastAsia" w:ascii="Times New Roman" w:hAnsi="Times New Roman" w:eastAsia="仿宋_GB2312"/>
          <w:color w:val="auto"/>
          <w:kern w:val="0"/>
          <w:sz w:val="32"/>
          <w:szCs w:val="32"/>
        </w:rPr>
        <w:t>WMS/TMS</w:t>
      </w:r>
      <w:r>
        <w:rPr>
          <w:rFonts w:hint="eastAsia" w:ascii="仿宋_GB2312" w:hAnsi="Times New Roman" w:eastAsia="仿宋_GB2312"/>
          <w:color w:val="auto"/>
          <w:kern w:val="0"/>
          <w:sz w:val="32"/>
          <w:szCs w:val="32"/>
        </w:rPr>
        <w:t>软件系统”价格为</w:t>
      </w:r>
      <w:r>
        <w:rPr>
          <w:rFonts w:hint="eastAsia" w:ascii="Times New Roman" w:hAnsi="Times New Roman" w:eastAsia="仿宋_GB2312"/>
          <w:color w:val="auto"/>
          <w:kern w:val="0"/>
          <w:sz w:val="32"/>
          <w:szCs w:val="32"/>
        </w:rPr>
        <w:t>130</w:t>
      </w:r>
      <w:r>
        <w:rPr>
          <w:rFonts w:hint="eastAsia" w:ascii="仿宋_GB2312" w:hAnsi="Times New Roman" w:eastAsia="仿宋_GB2312"/>
          <w:color w:val="auto"/>
          <w:kern w:val="0"/>
          <w:sz w:val="32"/>
          <w:szCs w:val="32"/>
        </w:rPr>
        <w:t>万元，按照奖补比例计算中央资金不超过</w:t>
      </w:r>
      <w:r>
        <w:rPr>
          <w:rFonts w:hint="eastAsia" w:ascii="Times New Roman" w:hAnsi="Times New Roman" w:eastAsia="仿宋_GB2312"/>
          <w:color w:val="auto"/>
          <w:kern w:val="0"/>
          <w:sz w:val="32"/>
          <w:szCs w:val="32"/>
        </w:rPr>
        <w:t>65</w:t>
      </w:r>
      <w:r>
        <w:rPr>
          <w:rFonts w:hint="eastAsia" w:ascii="仿宋_GB2312" w:hAnsi="Times New Roman" w:eastAsia="仿宋_GB2312"/>
          <w:color w:val="auto"/>
          <w:kern w:val="0"/>
          <w:sz w:val="32"/>
          <w:szCs w:val="32"/>
        </w:rPr>
        <w:t>万元。</w:t>
      </w:r>
    </w:p>
    <w:p w14:paraId="600C1B0A">
      <w:pPr>
        <w:keepNext w:val="0"/>
        <w:keepLines w:val="0"/>
        <w:pageBreakBefore w:val="0"/>
        <w:kinsoku/>
        <w:wordWrap/>
        <w:overflowPunct/>
        <w:topLinePunct w:val="0"/>
        <w:autoSpaceDN/>
        <w:bidi w:val="0"/>
        <w:adjustRightInd/>
        <w:snapToGrid/>
        <w:spacing w:line="600" w:lineRule="exact"/>
        <w:ind w:firstLine="643" w:firstLineChars="200"/>
        <w:textAlignment w:val="auto"/>
        <w:rPr>
          <w:rFonts w:hint="eastAsia" w:ascii="楷体_GB2312" w:hAnsi="Times New Roman" w:eastAsia="楷体_GB2312" w:cs="Times New Roman"/>
          <w:b/>
          <w:bCs/>
          <w:color w:val="auto"/>
          <w:sz w:val="32"/>
        </w:rPr>
      </w:pPr>
      <w:r>
        <w:rPr>
          <w:rFonts w:hint="eastAsia" w:ascii="楷体_GB2312" w:hAnsi="Times New Roman" w:eastAsia="楷体_GB2312" w:cs="Times New Roman"/>
          <w:b/>
          <w:bCs/>
          <w:color w:val="auto"/>
          <w:sz w:val="32"/>
        </w:rPr>
        <w:t>11.请在建设方案中明确园区总项目预计带动农户的总数及相关成效，细化分类明确各类方式新带动的户数、成效。</w:t>
      </w:r>
    </w:p>
    <w:p w14:paraId="5AFBA8CE">
      <w:pPr>
        <w:keepNext w:val="0"/>
        <w:keepLines w:val="0"/>
        <w:pageBreakBefore w:val="0"/>
        <w:widowControl/>
        <w:kinsoku/>
        <w:wordWrap/>
        <w:overflowPunct/>
        <w:topLinePunct w:val="0"/>
        <w:autoSpaceDN/>
        <w:bidi w:val="0"/>
        <w:adjustRightInd/>
        <w:snapToGrid/>
        <w:spacing w:line="600" w:lineRule="exact"/>
        <w:ind w:firstLine="640" w:firstLineChars="200"/>
        <w:textAlignment w:val="auto"/>
        <w:rPr>
          <w:rFonts w:ascii="Times New Roman" w:hAnsi="Times New Roman" w:eastAsia="仿宋_GB2312"/>
          <w:color w:val="auto"/>
          <w:kern w:val="0"/>
          <w:sz w:val="32"/>
          <w:szCs w:val="32"/>
        </w:rPr>
      </w:pPr>
      <w:r>
        <w:rPr>
          <w:rFonts w:hint="eastAsia" w:ascii="仿宋_GB2312" w:hAnsi="Times New Roman" w:eastAsia="仿宋_GB2312"/>
          <w:color w:val="auto"/>
          <w:kern w:val="0"/>
          <w:sz w:val="32"/>
          <w:szCs w:val="32"/>
        </w:rPr>
        <w:t>修改说明：已在建设方</w:t>
      </w:r>
      <w:bookmarkStart w:id="0" w:name="_GoBack"/>
      <w:r>
        <w:rPr>
          <w:rFonts w:hint="eastAsia" w:ascii="仿宋_GB2312" w:hAnsi="Times New Roman" w:eastAsia="仿宋_GB2312"/>
          <w:color w:val="auto"/>
          <w:kern w:val="0"/>
          <w:sz w:val="32"/>
          <w:szCs w:val="32"/>
        </w:rPr>
        <w:t>案</w:t>
      </w:r>
      <w:bookmarkEnd w:id="0"/>
      <w:r>
        <w:rPr>
          <w:rFonts w:hint="eastAsia" w:ascii="仿宋_GB2312" w:hAnsi="Times New Roman" w:eastAsia="仿宋_GB2312"/>
          <w:color w:val="auto"/>
          <w:kern w:val="0"/>
          <w:sz w:val="32"/>
          <w:szCs w:val="32"/>
        </w:rPr>
        <w:t>充实细化了联农带农措施、户数和成效。</w:t>
      </w:r>
    </w:p>
    <w:p w14:paraId="0B968B79">
      <w:pPr>
        <w:keepNext w:val="0"/>
        <w:keepLines w:val="0"/>
        <w:pageBreakBefore w:val="0"/>
        <w:kinsoku/>
        <w:wordWrap/>
        <w:overflowPunct/>
        <w:topLinePunct w:val="0"/>
        <w:autoSpaceDN/>
        <w:bidi w:val="0"/>
        <w:adjustRightInd/>
        <w:snapToGrid/>
        <w:spacing w:line="600" w:lineRule="exact"/>
        <w:ind w:firstLine="643" w:firstLineChars="200"/>
        <w:textAlignment w:val="auto"/>
        <w:rPr>
          <w:rFonts w:hint="eastAsia" w:ascii="楷体_GB2312" w:hAnsi="Times New Roman" w:eastAsia="楷体_GB2312" w:cs="Times New Roman"/>
          <w:b/>
          <w:bCs/>
          <w:color w:val="auto"/>
          <w:sz w:val="32"/>
        </w:rPr>
      </w:pPr>
      <w:r>
        <w:rPr>
          <w:rFonts w:hint="eastAsia" w:ascii="楷体_GB2312" w:hAnsi="Times New Roman" w:eastAsia="楷体_GB2312" w:cs="Times New Roman"/>
          <w:b/>
          <w:bCs/>
          <w:color w:val="auto"/>
          <w:sz w:val="32"/>
        </w:rPr>
        <w:t>12.智慧农业服务平台项目支持方式为政府采购，实际建设内容为对购买的农机及其他设备设施进行补助，既然是对项目进行补助，仅有中央资金建设内容，无金融和社会资金投资建设内容，建议补充。</w:t>
      </w:r>
    </w:p>
    <w:p w14:paraId="33F812D3">
      <w:pPr>
        <w:keepNext w:val="0"/>
        <w:keepLines w:val="0"/>
        <w:pageBreakBefore w:val="0"/>
        <w:kinsoku/>
        <w:wordWrap/>
        <w:overflowPunct/>
        <w:topLinePunct w:val="0"/>
        <w:autoSpaceDN/>
        <w:bidi w:val="0"/>
        <w:adjustRightInd/>
        <w:snapToGrid/>
        <w:spacing w:line="600" w:lineRule="exact"/>
        <w:ind w:firstLine="640" w:firstLineChars="200"/>
        <w:textAlignment w:val="auto"/>
        <w:rPr>
          <w:rFonts w:ascii="黑体" w:hAnsi="黑体" w:eastAsia="黑体"/>
          <w:color w:val="auto"/>
          <w:sz w:val="32"/>
        </w:rPr>
      </w:pPr>
      <w:r>
        <w:rPr>
          <w:rFonts w:hint="eastAsia" w:ascii="仿宋_GB2312" w:hAnsi="Times New Roman" w:eastAsia="仿宋_GB2312"/>
          <w:color w:val="auto"/>
          <w:kern w:val="0"/>
          <w:sz w:val="32"/>
          <w:szCs w:val="32"/>
        </w:rPr>
        <w:t>修改说明：已按政府采购方式修改建设内容。</w:t>
      </w:r>
    </w:p>
    <w:sectPr>
      <w:footerReference r:id="rId5" w:type="default"/>
      <w:pgSz w:w="11906" w:h="16838"/>
      <w:pgMar w:top="2098" w:right="1474" w:bottom="1985" w:left="1588" w:header="851" w:footer="1418" w:gutter="0"/>
      <w:pgNumType w:fmt="numberInDash"/>
      <w:cols w:space="425" w:num="1"/>
      <w:docGrid w:type="lines" w:linePitch="5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A723795-AFC0-4EA3-A0CB-284C28D63BD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001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2" w:fontKey="{59C959D9-0C65-44A8-B9DD-6E3F9B97BEE4}"/>
  </w:font>
  <w:font w:name="方正公文小标宋">
    <w:altName w:val="方正小标宋_GBK"/>
    <w:panose1 w:val="02000500000000000000"/>
    <w:charset w:val="86"/>
    <w:family w:val="auto"/>
    <w:pitch w:val="default"/>
    <w:sig w:usb0="00000000" w:usb1="00000000" w:usb2="00000016" w:usb3="00000000" w:csb0="00040001" w:csb1="00000000"/>
    <w:embedRegular r:id="rId3" w:fontKey="{612A96F4-61DC-4987-98FE-A401D1050C27}"/>
  </w:font>
  <w:font w:name="方正小标宋_GBK">
    <w:panose1 w:val="02000000000000000000"/>
    <w:charset w:val="86"/>
    <w:family w:val="auto"/>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embedRegular r:id="rId4" w:fontKey="{39E7B107-F3FD-4F0C-B281-954B8A8CE88B}"/>
  </w:font>
  <w:font w:name="楷体_GB2312">
    <w:panose1 w:val="02010609030101010101"/>
    <w:charset w:val="86"/>
    <w:family w:val="modern"/>
    <w:pitch w:val="default"/>
    <w:sig w:usb0="00000001" w:usb1="080E0000" w:usb2="00000000" w:usb3="00000000" w:csb0="00040000" w:csb1="00000000"/>
    <w:embedRegular r:id="rId5" w:fontKey="{9610E4FB-E963-4EE0-A172-7AF890469F8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49880107"/>
      <w:docPartObj>
        <w:docPartGallery w:val="autotext"/>
      </w:docPartObj>
    </w:sdtPr>
    <w:sdtContent>
      <w:p w14:paraId="6CECE8AD">
        <w:pPr>
          <w:pStyle w:val="5"/>
          <w:jc w:val="right"/>
        </w:pPr>
        <w:r>
          <w:rPr>
            <w:rFonts w:ascii="Times New Roman" w:hAnsi="Times New Roman"/>
            <w:sz w:val="24"/>
            <w:szCs w:val="24"/>
          </w:rPr>
          <w:fldChar w:fldCharType="begin"/>
        </w:r>
        <w:r>
          <w:rPr>
            <w:rFonts w:ascii="Times New Roman" w:hAnsi="Times New Roman"/>
            <w:sz w:val="24"/>
            <w:szCs w:val="24"/>
          </w:rPr>
          <w:instrText xml:space="preserve"> PAGE  \* ArabicDash </w:instrText>
        </w:r>
        <w:r>
          <w:rPr>
            <w:rFonts w:ascii="Times New Roman" w:hAnsi="Times New Roman"/>
            <w:sz w:val="24"/>
            <w:szCs w:val="24"/>
          </w:rPr>
          <w:fldChar w:fldCharType="separate"/>
        </w:r>
        <w:r>
          <w:rPr>
            <w:rFonts w:ascii="Times New Roman" w:hAnsi="Times New Roman"/>
            <w:sz w:val="24"/>
            <w:szCs w:val="24"/>
          </w:rPr>
          <w:t>- 5 -</w:t>
        </w:r>
        <w:r>
          <w:rPr>
            <w:rFonts w:ascii="Times New Roman" w:hAnsi="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VerticalSpacing w:val="280"/>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F6C35"/>
    <w:rsid w:val="00220ACB"/>
    <w:rsid w:val="002B1F4E"/>
    <w:rsid w:val="00361128"/>
    <w:rsid w:val="003B398F"/>
    <w:rsid w:val="004C4C17"/>
    <w:rsid w:val="005B371C"/>
    <w:rsid w:val="007022CA"/>
    <w:rsid w:val="007F0589"/>
    <w:rsid w:val="00A97282"/>
    <w:rsid w:val="00F45D24"/>
    <w:rsid w:val="00F74AC4"/>
    <w:rsid w:val="3DA904E0"/>
    <w:rsid w:val="479901D0"/>
    <w:rsid w:val="66840BFB"/>
    <w:rsid w:val="E1EF3A01"/>
    <w:rsid w:val="FAFF91BB"/>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jc w:val="both"/>
    </w:pPr>
    <w:rPr>
      <w:rFonts w:ascii="Calibri" w:hAnsi="Calibri" w:eastAsia="宋体" w:cs="Times New Roman"/>
      <w:kern w:val="2"/>
      <w:sz w:val="21"/>
      <w:szCs w:val="24"/>
      <w:lang w:val="en-US" w:eastAsia="zh-CN" w:bidi="ar-SA"/>
    </w:rPr>
  </w:style>
  <w:style w:type="paragraph" w:styleId="2">
    <w:name w:val="heading 1"/>
    <w:basedOn w:val="1"/>
    <w:next w:val="1"/>
    <w:link w:val="13"/>
    <w:qFormat/>
    <w:uiPriority w:val="0"/>
    <w:pPr>
      <w:keepNext/>
      <w:keepLines/>
      <w:spacing w:line="760" w:lineRule="exact"/>
      <w:jc w:val="center"/>
      <w:outlineLvl w:val="0"/>
    </w:pPr>
    <w:rPr>
      <w:rFonts w:eastAsia="方正小标宋简体"/>
      <w:bCs/>
      <w:kern w:val="44"/>
      <w:sz w:val="44"/>
      <w:szCs w:val="44"/>
    </w:rPr>
  </w:style>
  <w:style w:type="paragraph" w:styleId="3">
    <w:name w:val="heading 2"/>
    <w:basedOn w:val="1"/>
    <w:next w:val="1"/>
    <w:link w:val="14"/>
    <w:qFormat/>
    <w:uiPriority w:val="0"/>
    <w:pPr>
      <w:keepNext/>
      <w:keepLines/>
      <w:outlineLvl w:val="1"/>
    </w:pPr>
    <w:rPr>
      <w:rFonts w:eastAsia="黑体"/>
      <w:bCs/>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ody Text Indent"/>
    <w:basedOn w:val="1"/>
    <w:link w:val="11"/>
    <w:qFormat/>
    <w:uiPriority w:val="99"/>
    <w:pPr>
      <w:spacing w:after="120"/>
      <w:ind w:left="420" w:leftChars="200"/>
    </w:pPr>
  </w:style>
  <w:style w:type="paragraph" w:styleId="5">
    <w:name w:val="footer"/>
    <w:basedOn w:val="1"/>
    <w:link w:val="16"/>
    <w:qFormat/>
    <w:uiPriority w:val="99"/>
    <w:pPr>
      <w:tabs>
        <w:tab w:val="center" w:pos="4153"/>
        <w:tab w:val="right" w:pos="8306"/>
      </w:tabs>
      <w:snapToGrid w:val="0"/>
      <w:spacing w:line="240" w:lineRule="atLeast"/>
      <w:jc w:val="left"/>
    </w:pPr>
    <w:rPr>
      <w:sz w:val="18"/>
      <w:szCs w:val="18"/>
      <w:lang w:bidi="mn-Mong-CN"/>
    </w:rPr>
  </w:style>
  <w:style w:type="paragraph" w:styleId="6">
    <w:name w:val="header"/>
    <w:basedOn w:val="1"/>
    <w:link w:val="15"/>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7">
    <w:name w:val="Body Text First Indent 2"/>
    <w:basedOn w:val="4"/>
    <w:link w:val="12"/>
    <w:qFormat/>
    <w:uiPriority w:val="99"/>
    <w:pPr>
      <w:ind w:firstLine="420" w:firstLineChars="200"/>
    </w:pPr>
  </w:style>
  <w:style w:type="character" w:styleId="10">
    <w:name w:val="page number"/>
    <w:basedOn w:val="9"/>
    <w:qFormat/>
    <w:uiPriority w:val="0"/>
  </w:style>
  <w:style w:type="character" w:customStyle="1" w:styleId="11">
    <w:name w:val="正文文本缩进 Char"/>
    <w:basedOn w:val="9"/>
    <w:link w:val="4"/>
    <w:qFormat/>
    <w:uiPriority w:val="99"/>
    <w:rPr>
      <w:rFonts w:ascii="Calibri" w:hAnsi="Calibri"/>
      <w:kern w:val="2"/>
      <w:sz w:val="21"/>
      <w:szCs w:val="24"/>
      <w:lang w:bidi="ar-SA"/>
    </w:rPr>
  </w:style>
  <w:style w:type="character" w:customStyle="1" w:styleId="12">
    <w:name w:val="正文首行缩进 2 Char"/>
    <w:basedOn w:val="11"/>
    <w:link w:val="7"/>
    <w:qFormat/>
    <w:uiPriority w:val="99"/>
  </w:style>
  <w:style w:type="character" w:customStyle="1" w:styleId="13">
    <w:name w:val="标题 1 Char"/>
    <w:basedOn w:val="9"/>
    <w:link w:val="2"/>
    <w:qFormat/>
    <w:uiPriority w:val="0"/>
    <w:rPr>
      <w:rFonts w:ascii="Calibri" w:hAnsi="Calibri" w:eastAsia="方正小标宋简体"/>
      <w:bCs/>
      <w:kern w:val="44"/>
      <w:sz w:val="44"/>
      <w:szCs w:val="44"/>
      <w:lang w:bidi="ar-SA"/>
    </w:rPr>
  </w:style>
  <w:style w:type="character" w:customStyle="1" w:styleId="14">
    <w:name w:val="标题 2 Char"/>
    <w:basedOn w:val="9"/>
    <w:link w:val="3"/>
    <w:qFormat/>
    <w:uiPriority w:val="0"/>
    <w:rPr>
      <w:rFonts w:ascii="Calibri" w:hAnsi="Calibri" w:eastAsia="黑体"/>
      <w:bCs/>
      <w:kern w:val="2"/>
      <w:sz w:val="21"/>
      <w:szCs w:val="32"/>
      <w:lang w:bidi="ar-SA"/>
    </w:rPr>
  </w:style>
  <w:style w:type="character" w:customStyle="1" w:styleId="15">
    <w:name w:val="页眉 Char"/>
    <w:basedOn w:val="9"/>
    <w:link w:val="6"/>
    <w:qFormat/>
    <w:uiPriority w:val="0"/>
    <w:rPr>
      <w:rFonts w:ascii="Calibri" w:hAnsi="Calibri"/>
      <w:kern w:val="2"/>
      <w:sz w:val="18"/>
      <w:szCs w:val="18"/>
      <w:lang w:bidi="ar-SA"/>
    </w:rPr>
  </w:style>
  <w:style w:type="character" w:customStyle="1" w:styleId="16">
    <w:name w:val="页脚 Char"/>
    <w:basedOn w:val="9"/>
    <w:link w:val="5"/>
    <w:qFormat/>
    <w:uiPriority w:val="99"/>
    <w:rPr>
      <w:rFonts w:ascii="Calibri" w:hAnsi="Calibri"/>
      <w:kern w:val="2"/>
      <w:sz w:val="18"/>
      <w:szCs w:val="18"/>
    </w:rPr>
  </w:style>
  <w:style w:type="paragraph" w:customStyle="1" w:styleId="17">
    <w:name w:val="正文1"/>
    <w:basedOn w:val="1"/>
    <w:qFormat/>
    <w:uiPriority w:val="0"/>
    <w:pPr>
      <w:widowControl/>
      <w:spacing w:line="360" w:lineRule="auto"/>
      <w:ind w:firstLine="200" w:firstLineChars="200"/>
      <w:jc w:val="left"/>
    </w:pPr>
    <w:rPr>
      <w:rFonts w:ascii="宋体" w:hAnsi="宋体"/>
      <w:sz w:val="24"/>
      <w:szCs w:val="28"/>
    </w:rPr>
  </w:style>
  <w:style w:type="character" w:customStyle="1" w:styleId="18">
    <w:name w:val="font01"/>
    <w:basedOn w:val="9"/>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e75bcc34-4882-4017-a832-e538d942f7f9</errorID>
      <errorWord>（</errorWord>
      <group>L1_Punc</group>
      <groupName>标点问题</groupName>
      <ability>L2_Punc_CN</ability>
      <abilityName>标点符号问题</abilityName>
      <candidateList/>
      <explain>同一形式括号套用。</explain>
      <paraID>32475087</paraID>
      <start>62</start>
      <end>63</end>
      <status>unmodified</status>
      <modifiedWord/>
      <trackRevisions>false</trackRevisions>
    </reviewItem>
    <reviewItem>
      <errorID>249c0056-eee1-4f7f-a83d-2c3ab132e9e8</errorID>
      <errorWord>）</errorWord>
      <group>L1_Punc</group>
      <groupName>标点问题</groupName>
      <ability>L2_Punc_CN</ability>
      <abilityName>标点符号问题</abilityName>
      <candidateList/>
      <explain>同一形式括号套用。</explain>
      <paraID>32475087</paraID>
      <start>71</start>
      <end>72</end>
      <status>unmodified</status>
      <modifiedWord/>
      <trackRevisions>false</trackRevisions>
    </reviewItem>
    <reviewItem>
      <errorID>46c2086d-ffbc-49f8-bb43-a6c75e636489</errorID>
      <errorWord>。</errorWord>
      <group>L1_Punc</group>
      <groupName>标点问题</groupName>
      <ability>L2_Punc_CN</ability>
      <abilityName>标点符号问题</abilityName>
      <candidateList>
        <item>，</item>
      </candidateList>
      <explain/>
      <paraID> 7D659EF</paraID>
      <start>46</start>
      <end>47</end>
      <status>unmodified</status>
      <modifiedWord/>
      <trackRevisions>false</trackRevisions>
    </reviewItem>
    <reviewItem>
      <errorID>eabe8052-423c-4cc1-b7e5-fe6dcb9cabd3</errorID>
      <errorWord>日产300吨精米生产一条</errorWord>
      <group>L1_Other</group>
      <groupName>其他问题</groupName>
      <ability>L2_Consistency</ability>
      <abilityName>一致性检查</abilityName>
      <candidateList>
        <item>日产300吨精米生产线</item>
      </candidateList>
      <explain>数字一致性错误，原文后续多处统一表述为“日产300吨精米生产线”，此处数字相关表述不一致</explain>
      <paraID>2896331F</paraID>
      <start>103</start>
      <end>115</end>
      <status>unmodified</status>
      <modifiedWord/>
      <trackRevisions>false</trackRevisions>
    </reviewItem>
    <reviewItem>
      <errorID>103a7d75-6e66-41fb-9580-afe81b2c14bd</errorID>
      <errorWord>其它</errorWord>
      <group>L1_Word</group>
      <groupName>字词问题</groupName>
      <ability>L2_Alias</ability>
      <abilityName>也作/曾用词</abilityName>
      <candidateList>
        <item>其他</item>
      </candidateList>
      <explain>词汇[其它]为不规范表述或旧称，其规范书面表述为[其他]。</explain>
      <paraID>1A884BE6</paraID>
      <start>44</start>
      <end>46</end>
      <status>modified</status>
      <modifiedWord>其他</modifiedWord>
      <trackRevisions>false</trackRevisions>
    </reviewItem>
    <reviewItem>
      <errorID>0c53e7d6-4279-4997-b462-b24fa7e57aa2</errorID>
      <errorWord>资金资金</errorWord>
      <group>L1_Word</group>
      <groupName>字词问题</groupName>
      <ability>L2_Typo</ability>
      <abilityName>字词错误</abilityName>
      <candidateList>
        <item>资金</item>
      </candidateList>
      <explain/>
      <paraID>4908CB43</paraID>
      <start>191</start>
      <end>193</end>
      <status>modified</status>
      <modifiedWord>资金</modifiedWord>
      <trackRevisions>false</trackRevisions>
    </reviewItem>
    <reviewItem>
      <errorID>d7813e9c-c319-4cc8-9bb0-824752c2a29a</errorID>
      <errorWord>。</errorWord>
      <group>L1_Grammar</group>
      <groupName>语法问题</groupName>
      <ability>L2_Grammar</ability>
      <abilityName>语法错误</abilityName>
      <candidateList>
        <item>进行建设。</item>
      </candidateList>
      <explain/>
      <paraID>52DDF0B3</paraID>
      <start>84</start>
      <end>85</end>
      <status>unmodified</status>
      <modifiedWord/>
      <trackRevisions>false</trackRevisions>
    </reviewItem>
    <reviewItem>
      <errorID>addbb9e3-c7af-4167-a278-4cf532ac1dfb</errorID>
      <errorWord>个</errorWord>
      <group>L1_Word</group>
      <groupName>字词问题</groupName>
      <ability>L2_Typo</ability>
      <abilityName>字词错误</abilityName>
      <candidateList>
        <item>人</item>
      </candidateList>
      <explain/>
      <paraID>14EE4927</paraID>
      <start>56</start>
      <end>57</end>
      <status>modified</status>
      <modifiedWord>人</modifiedWord>
      <trackRevisions>false</trackRevisions>
    </reviewItem>
    <reviewItem>
      <errorID>3922301c-2714-43aa-9f25-fbc12ccbd69c</errorID>
      <errorWord>与其</errorWord>
      <group>L1_Punc</group>
      <groupName>标点问题</groupName>
      <ability>L2_Punc_CN</ability>
      <abilityName>标点符号问题</abilityName>
      <candidateList>
        <item>，与其</item>
      </candidateList>
      <explain/>
      <paraID>14EE4927</paraID>
      <start>88</start>
      <end>90</end>
      <status>unmodified</status>
      <modifiedWord/>
      <trackRevisions>false</trackRevisions>
    </reviewItem>
    <reviewItem>
      <errorID>cb34fb4b-6314-4169-b292-850074015d48</errorID>
      <errorWord>明确</errorWord>
      <group>L1_Punc</group>
      <groupName>标点问题</groupName>
      <ability>L2_Punc_CN</ability>
      <abilityName>标点符号问题</abilityName>
      <candidateList>
        <item>，明确</item>
      </candidateList>
      <explain/>
      <paraID>600C1B0A</paraID>
      <start>36</start>
      <end>38</end>
      <status>unmodified</status>
      <modifiedWord/>
      <trackRevisions>false</trackRevisions>
    </reviewItem>
    <reviewItem>
      <errorID>b0933415-bcb9-423a-b8cd-0717c9a95dfd</errorID>
      <errorWord>案</errorWord>
      <group>L1_Word</group>
      <groupName>字词问题</groupName>
      <ability>L2_Typo</ability>
      <abilityName>字词错误</abilityName>
      <candidateList>
        <item>案中</item>
      </candidateList>
      <explain/>
      <paraID>5AFBA8CE</paraID>
      <start>10</start>
      <end>11</end>
      <status>unmodified</status>
      <modifiedWord/>
      <trackRevisions>false</trackRevisions>
    </reviewItem>
    <reviewItem>
      <errorID>6bebcee4-fd62-4f6a-b211-dbf7392777cb</errorID>
      <errorWord>，</errorWord>
      <group>L1_Punc</group>
      <groupName>标点问题</groupName>
      <ability>L2_Punc_CN</ability>
      <abilityName>标点符号问题</abilityName>
      <candidateList>
        <item>。</item>
      </candidateList>
      <explain/>
      <paraID> B968B79</paraID>
      <start>47</start>
      <end>48</end>
      <status>unmodified</status>
      <modifiedWord/>
      <trackRevisions>false</trackRevisions>
    </reviewItem>
  </reviewItems>
  <config/>
</contractReview>
</file>

<file path=customXml/itemProps1.xml><?xml version="1.0" encoding="utf-8"?>
<ds:datastoreItem xmlns:ds="http://schemas.openxmlformats.org/officeDocument/2006/customXml" ds:itemID="{22617489-a7bf-4831-a44b-30201857c503}">
  <ds:schemaRefs/>
</ds:datastoreItem>
</file>

<file path=docProps/app.xml><?xml version="1.0" encoding="utf-8"?>
<Properties xmlns="http://schemas.openxmlformats.org/officeDocument/2006/extended-properties" xmlns:vt="http://schemas.openxmlformats.org/officeDocument/2006/docPropsVTypes">
  <Template>Normal.dotm</Template>
  <Pages>5</Pages>
  <Words>2327</Words>
  <Characters>2435</Characters>
  <Lines>17</Lines>
  <Paragraphs>4</Paragraphs>
  <TotalTime>1</TotalTime>
  <ScaleCrop>false</ScaleCrop>
  <LinksUpToDate>false</LinksUpToDate>
  <CharactersWithSpaces>2439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2026-08-20T17:16:00Z</dcterms:created>
  <dc:creator>Administrator</dc:creator>
  <cp:lastModifiedBy>Rocy</cp:lastModifiedBy>
  <dcterms:modified xsi:type="dcterms:W3CDTF">2026-08-31T08:30:09Z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eyJoZGlkIjoiZjFhZmRjOGM0MGE5MDIyYzE2OTA3YmU0MjIwZjhkNGYiLCJ1c2VySWQiOiIzNzEwMTY1OTEifQ==</vt:lpwstr>
  </property>
  <property fmtid="{D5CDD505-2E9C-101B-9397-08002B2CF9AE}" pid="3" name="KSOProductBuildVer">
    <vt:lpwstr>2052-12.1.0.28043</vt:lpwstr>
  </property>
  <property fmtid="{D5CDD505-2E9C-101B-9397-08002B2CF9AE}" pid="4" name="ICV">
    <vt:lpwstr>B0B09515753E4ABCAFBE92FA28C2BD44_13</vt:lpwstr>
  </property>
</Properties>
</file>