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rPr>
      </w:pPr>
      <w:r>
        <w:rPr>
          <w:rFonts w:hint="eastAsia"/>
        </w:rPr>
        <w:t>HNPR-</w:t>
      </w:r>
      <w:bookmarkStart w:id="0" w:name="_GoBack"/>
      <w:bookmarkEnd w:id="0"/>
      <w:r>
        <w:rPr>
          <w:rFonts w:hint="eastAsia"/>
        </w:rPr>
        <w:t>2019-17002</w:t>
      </w:r>
    </w:p>
    <w:p>
      <w:pPr>
        <w:ind w:firstLine="640"/>
        <w:rPr>
          <w:rFonts w:hint="eastAsia"/>
        </w:rPr>
      </w:pPr>
    </w:p>
    <w:p>
      <w:pPr>
        <w:ind w:firstLine="640"/>
      </w:pPr>
    </w:p>
    <w:tbl>
      <w:tblPr>
        <w:tblStyle w:val="14"/>
        <w:tblW w:w="8845"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1"/>
        <w:gridCol w:w="1644"/>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PrEx>
        <w:trPr>
          <w:jc w:val="center"/>
        </w:trPr>
        <w:tc>
          <w:tcPr>
            <w:tcW w:w="7201" w:type="dxa"/>
          </w:tcPr>
          <w:p>
            <w:pPr>
              <w:pStyle w:val="8"/>
              <w:spacing w:line="1200" w:lineRule="exact"/>
              <w:ind w:firstLine="0" w:firstLineChars="0"/>
              <w:jc w:val="distribute"/>
              <w:rPr>
                <w:rFonts w:eastAsia="方正小标宋简体"/>
                <w:color w:val="FF0000"/>
                <w:w w:val="65"/>
                <w:sz w:val="100"/>
                <w:szCs w:val="100"/>
              </w:rPr>
            </w:pPr>
            <w:r>
              <w:rPr>
                <w:rFonts w:eastAsia="方正小标宋简体"/>
                <w:color w:val="FF0000"/>
                <w:w w:val="65"/>
                <w:sz w:val="100"/>
                <w:szCs w:val="100"/>
              </w:rPr>
              <w:t>湖南省农业农村厅</w:t>
            </w:r>
          </w:p>
        </w:tc>
        <w:tc>
          <w:tcPr>
            <w:tcW w:w="1644" w:type="dxa"/>
            <w:vMerge w:val="restart"/>
            <w:vAlign w:val="center"/>
          </w:tcPr>
          <w:p>
            <w:pPr>
              <w:pStyle w:val="8"/>
              <w:spacing w:line="1400" w:lineRule="exact"/>
              <w:ind w:firstLine="0" w:firstLineChars="0"/>
              <w:jc w:val="right"/>
              <w:rPr>
                <w:rFonts w:eastAsia="方正小标宋简体"/>
                <w:color w:val="FF0000"/>
                <w:w w:val="65"/>
                <w:sz w:val="100"/>
                <w:szCs w:val="100"/>
              </w:rPr>
            </w:pPr>
            <w:r>
              <w:rPr>
                <w:rFonts w:eastAsia="方正小标宋简体"/>
                <w:color w:val="FF0000"/>
                <w:w w:val="65"/>
                <w:sz w:val="100"/>
                <w:szCs w:val="100"/>
              </w:rPr>
              <w:t>文件</w:t>
            </w: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PrEx>
        <w:trPr>
          <w:trHeight w:val="1088" w:hRule="atLeast"/>
          <w:jc w:val="center"/>
        </w:trPr>
        <w:tc>
          <w:tcPr>
            <w:tcW w:w="7201" w:type="dxa"/>
          </w:tcPr>
          <w:p>
            <w:pPr>
              <w:pStyle w:val="8"/>
              <w:spacing w:line="1200" w:lineRule="exact"/>
              <w:ind w:firstLine="0" w:firstLineChars="0"/>
              <w:jc w:val="distribute"/>
              <w:rPr>
                <w:rFonts w:eastAsia="方正小标宋简体"/>
                <w:color w:val="FF0000"/>
                <w:w w:val="70"/>
                <w:sz w:val="100"/>
                <w:szCs w:val="100"/>
              </w:rPr>
            </w:pPr>
            <w:r>
              <w:rPr>
                <w:rFonts w:eastAsia="方正小标宋简体"/>
                <w:color w:val="FF0000"/>
                <w:w w:val="70"/>
                <w:sz w:val="100"/>
                <w:szCs w:val="100"/>
              </w:rPr>
              <w:t>湖南省财政厅</w:t>
            </w:r>
          </w:p>
        </w:tc>
        <w:tc>
          <w:tcPr>
            <w:tcW w:w="1644" w:type="dxa"/>
            <w:vMerge w:val="continue"/>
          </w:tcPr>
          <w:p>
            <w:pPr>
              <w:pStyle w:val="8"/>
              <w:spacing w:line="1400" w:lineRule="exact"/>
              <w:ind w:firstLine="0" w:firstLineChars="0"/>
              <w:jc w:val="distribute"/>
              <w:rPr>
                <w:rFonts w:eastAsia="方正小标宋简体"/>
                <w:color w:val="FF0000"/>
                <w:spacing w:val="20"/>
                <w:w w:val="65"/>
                <w:sz w:val="120"/>
                <w:szCs w:val="120"/>
              </w:rPr>
            </w:pP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PrEx>
        <w:trPr>
          <w:trHeight w:val="1536" w:hRule="atLeast"/>
          <w:jc w:val="center"/>
        </w:trPr>
        <w:tc>
          <w:tcPr>
            <w:tcW w:w="8845" w:type="dxa"/>
            <w:gridSpan w:val="2"/>
            <w:tcBorders>
              <w:bottom w:val="single" w:color="FF0000" w:sz="18" w:space="0"/>
            </w:tcBorders>
            <w:shd w:val="clear" w:color="auto" w:fill="auto"/>
          </w:tcPr>
          <w:p>
            <w:pPr>
              <w:pStyle w:val="8"/>
              <w:spacing w:line="400" w:lineRule="exact"/>
              <w:ind w:firstLine="0" w:firstLineChars="0"/>
              <w:rPr>
                <w:color w:val="FF0000"/>
                <w:szCs w:val="32"/>
              </w:rPr>
            </w:pPr>
          </w:p>
          <w:p>
            <w:pPr>
              <w:pStyle w:val="8"/>
              <w:spacing w:after="0" w:line="400" w:lineRule="exact"/>
              <w:ind w:firstLine="0" w:firstLineChars="0"/>
              <w:jc w:val="center"/>
              <w:rPr>
                <w:color w:val="FF0000"/>
                <w:szCs w:val="32"/>
              </w:rPr>
            </w:pPr>
          </w:p>
          <w:p>
            <w:pPr>
              <w:pStyle w:val="8"/>
              <w:spacing w:after="0" w:line="500" w:lineRule="exact"/>
              <w:ind w:firstLine="0" w:firstLineChars="0"/>
              <w:jc w:val="center"/>
              <w:rPr>
                <w:rFonts w:eastAsia="方正小标宋简体"/>
                <w:color w:val="000000"/>
                <w:sz w:val="32"/>
                <w:szCs w:val="32"/>
              </w:rPr>
            </w:pPr>
            <w:r>
              <w:rPr>
                <w:color w:val="000000"/>
                <w:sz w:val="32"/>
                <w:szCs w:val="32"/>
              </w:rPr>
              <w:t>湘农联〔2019〕70号</w:t>
            </w:r>
          </w:p>
        </w:tc>
      </w:tr>
    </w:tbl>
    <w:p>
      <w:pPr>
        <w:ind w:firstLine="640"/>
      </w:pPr>
    </w:p>
    <w:p>
      <w:pPr>
        <w:ind w:firstLine="600"/>
        <w:rPr>
          <w:rFonts w:eastAsia="宋体"/>
          <w:sz w:val="30"/>
          <w:szCs w:val="30"/>
        </w:rPr>
      </w:pPr>
    </w:p>
    <w:p>
      <w:pPr>
        <w:pStyle w:val="2"/>
      </w:pPr>
      <w:r>
        <w:t>湖南省农业农村厅  湖南省财政厅</w:t>
      </w:r>
    </w:p>
    <w:p>
      <w:pPr>
        <w:pStyle w:val="2"/>
      </w:pPr>
      <w:r>
        <w:t>关于进一步加强农机购置补贴管理工作的通知</w:t>
      </w:r>
    </w:p>
    <w:p>
      <w:pPr>
        <w:spacing w:line="550" w:lineRule="atLeast"/>
        <w:ind w:firstLine="640"/>
      </w:pPr>
    </w:p>
    <w:p>
      <w:pPr>
        <w:spacing w:line="550" w:lineRule="atLeast"/>
        <w:ind w:firstLine="0" w:firstLineChars="0"/>
      </w:pPr>
      <w:r>
        <w:t>各市州、县市区农业农村局、财政局、农机事务中心:</w:t>
      </w:r>
    </w:p>
    <w:p>
      <w:pPr>
        <w:spacing w:line="550" w:lineRule="atLeast"/>
        <w:ind w:firstLine="632"/>
        <w:rPr>
          <w:spacing w:val="-2"/>
        </w:rPr>
      </w:pPr>
      <w:r>
        <w:rPr>
          <w:spacing w:val="-2"/>
        </w:rPr>
        <w:t>为进一步规范农机购置补贴管理，根据农业农村部办公厅、 财政部办公厅《关于进一步加强农机购置补贴政策监管强化纪律约束的通知》（农办机〔2019〕6号）和农业农村部办公厅《关于进一步做好农机购置补贴机具投档与核验等工作的通知》（农办机〔2019〕7号）精神，结合我省实际，现就有关事项通知如下。</w:t>
      </w:r>
    </w:p>
    <w:p>
      <w:pPr>
        <w:spacing w:line="550" w:lineRule="atLeast"/>
        <w:ind w:firstLine="624"/>
        <w:rPr>
          <w:rStyle w:val="26"/>
          <w:rFonts w:hint="eastAsia"/>
          <w:spacing w:val="-4"/>
        </w:rPr>
      </w:pPr>
      <w:r>
        <w:rPr>
          <w:rStyle w:val="26"/>
          <w:spacing w:val="-4"/>
        </w:rPr>
        <w:t>一、不断完善补贴机具核验管理机制</w:t>
      </w:r>
    </w:p>
    <w:p>
      <w:pPr>
        <w:spacing w:line="550" w:lineRule="atLeast"/>
        <w:ind w:firstLine="624"/>
        <w:rPr>
          <w:rFonts w:hint="eastAsia"/>
          <w:spacing w:val="-4"/>
        </w:rPr>
      </w:pPr>
      <w:r>
        <w:rPr>
          <w:spacing w:val="-4"/>
        </w:rPr>
        <w:t>个人和农业经营组织（以下简称“购机者”）可在全省范围内自主选机购机，购机者户籍所在地（工商注册所在地）县级农机化主管部门应及时为购机者办理牌证。县级及以下农机化主管部门要认真核验购机者身份、税控发票、银行卡（折）等申办资料和机具铭牌信息。农业生产组织还需核实法人身份证件和工商营业执照。牌证管理机具凭行驶证办理补贴，不另现场核验。核验未通过的，应将其问题一次性告知购机者并说明完善方法。继续实施带机申请核验，鼓励探索补贴机具第三方独立抽查核验和运用信息化技术远程核验。要切实加强大中型机具核验和单人多台套、短期大批量、同人连续购置同类机具、购置地区机具适应性差等情形的监管。</w:t>
      </w:r>
    </w:p>
    <w:p>
      <w:pPr>
        <w:spacing w:line="550" w:lineRule="atLeast"/>
        <w:ind w:firstLine="624"/>
        <w:rPr>
          <w:rFonts w:eastAsia="黑体"/>
          <w:spacing w:val="-4"/>
        </w:rPr>
      </w:pPr>
      <w:r>
        <w:rPr>
          <w:spacing w:val="-4"/>
        </w:rPr>
        <w:t>各县市区农业农村局要根据《农业农村部农机购置补贴机具核验工作要点（试行）》（见附件1）的精神和要求，制定和完善补贴机具核验制度和内部控制流程，报市州农业农村局备案后公布实施。</w:t>
      </w:r>
    </w:p>
    <w:p>
      <w:pPr>
        <w:spacing w:line="550" w:lineRule="atLeast"/>
        <w:ind w:firstLine="640"/>
        <w:rPr>
          <w:rStyle w:val="26"/>
          <w:rFonts w:hint="eastAsia"/>
        </w:rPr>
      </w:pPr>
      <w:r>
        <w:rPr>
          <w:rStyle w:val="26"/>
        </w:rPr>
        <w:t>二、全面推行农机产销企业承诺制度</w:t>
      </w:r>
    </w:p>
    <w:p>
      <w:pPr>
        <w:spacing w:line="550" w:lineRule="atLeast"/>
        <w:ind w:firstLine="640"/>
      </w:pPr>
      <w:r>
        <w:t>进一步细化自愿参与补贴政策实施的农机生产企业的承诺事项，落实企业责任。一是承诺将本企业补贴机具销售、售后服务、退换机等管理系统互联互通；定期校核补贴辅助管理系统中本企业数据信息，并对信息的准确性、真实性负责</w:t>
      </w:r>
      <w:r>
        <w:rPr>
          <w:rFonts w:hint="eastAsia"/>
        </w:rPr>
        <w:t>。</w:t>
      </w:r>
      <w:r>
        <w:t>二是承诺通过非现金方式与经销商结算补贴机具购机款，确保资金往来全程留痕备查</w:t>
      </w:r>
      <w:r>
        <w:rPr>
          <w:rFonts w:hint="eastAsia"/>
        </w:rPr>
        <w:t>。</w:t>
      </w:r>
      <w:r>
        <w:t>三是承诺对经销商出具给购机者的发票、合格证等补贴申请材料和牌证申领资料进行核对，并对发票金额、机具信息的真实性和补贴比例的合规性负责</w:t>
      </w:r>
      <w:r>
        <w:rPr>
          <w:rFonts w:hint="eastAsia"/>
        </w:rPr>
        <w:t>。</w:t>
      </w:r>
      <w:r>
        <w:t>四是承诺加强经销商和内部人员管理，切实防范各种套取、骗补行为；发现异常情况后，主动自查自纠，并及时向省农业农村厅报告。</w:t>
      </w:r>
    </w:p>
    <w:p>
      <w:pPr>
        <w:spacing w:line="550" w:lineRule="atLeast"/>
        <w:ind w:firstLine="640"/>
        <w:rPr>
          <w:rFonts w:eastAsia="黑体"/>
        </w:rPr>
      </w:pPr>
      <w:r>
        <w:t>市县农业农村局要加强对当地农机产销企业的承诺、践诺情况的监管和失信违规行为的调查处理，维护良好的补贴机具产销秩序。</w:t>
      </w:r>
    </w:p>
    <w:p>
      <w:pPr>
        <w:spacing w:line="550" w:lineRule="atLeast"/>
        <w:ind w:firstLine="640"/>
        <w:rPr>
          <w:rStyle w:val="26"/>
          <w:rFonts w:hint="eastAsia"/>
        </w:rPr>
      </w:pPr>
      <w:r>
        <w:rPr>
          <w:rStyle w:val="26"/>
        </w:rPr>
        <w:t>三、及时全面公开公示补贴信息</w:t>
      </w:r>
    </w:p>
    <w:p>
      <w:pPr>
        <w:spacing w:line="550" w:lineRule="atLeast"/>
        <w:ind w:firstLine="640"/>
      </w:pPr>
      <w:r>
        <w:t>县级农机购置补贴信息公开专栏应及时全面公开本地近三年本地区补贴受益对象、资金兑付情况、补贴资金规模、使用进度、咨询投诉举报电话等信息，并与湖南省农机购置补贴信息网补贴信息专栏建立链接。运用各类媒体、村务公开等渠道，全方位开展补贴政策与实施工作宣传，切实保障广大农民群众的知情权、监督权。</w:t>
      </w:r>
    </w:p>
    <w:p>
      <w:pPr>
        <w:spacing w:line="550" w:lineRule="atLeast"/>
        <w:ind w:firstLine="640"/>
        <w:rPr>
          <w:rStyle w:val="26"/>
          <w:rFonts w:hint="eastAsia"/>
        </w:rPr>
      </w:pPr>
      <w:r>
        <w:rPr>
          <w:rStyle w:val="26"/>
        </w:rPr>
        <w:t>四、切实提高补贴工作效率</w:t>
      </w:r>
    </w:p>
    <w:p>
      <w:pPr>
        <w:spacing w:line="550" w:lineRule="atLeast"/>
        <w:ind w:firstLine="640"/>
      </w:pPr>
      <w:r>
        <w:t>补贴辅助管理系统常年连续开放，规范和优化补贴机具投档工作。全面运用补贴机具信息化自主投档平台，便利农机产销企业对参与购置补贴的机具信息实行网上投送，提高投档工作效率。县级及以下农机化主管部门在受理购机者补贴申请后，应及时对机具进行核验，核验通过的补贴申请信息要在县级农机购置补贴信息公开专栏公示，公示无异议后，向同级财政部门出具审批结算文件。受理购机者补贴申请到向同级财政部门出具结算文件应在20个工作日（不含公示时间）内完成。县级及以下财政部门应在20个工作日内完成结算申请资料审核和资金兑付，对不符合要求的应退回并由农机化主管部门通知购机者。</w:t>
      </w:r>
    </w:p>
    <w:p>
      <w:pPr>
        <w:spacing w:line="550" w:lineRule="atLeast"/>
        <w:ind w:firstLine="640"/>
        <w:rPr>
          <w:rFonts w:eastAsia="黑体"/>
        </w:rPr>
      </w:pPr>
      <w:r>
        <w:t>推广使用手机APP（含人脸识别）等信息化技术，开展非现场补贴申请、补贴机具核验预约和补贴办理“一站式”等服务，清理、取消补贴申请过程中不必要的限制性规定和程序，加快实现购机者申领补贴“最多跑一次”。</w:t>
      </w:r>
    </w:p>
    <w:p>
      <w:pPr>
        <w:spacing w:line="550" w:lineRule="atLeast"/>
        <w:ind w:firstLine="640"/>
        <w:rPr>
          <w:rStyle w:val="26"/>
          <w:rFonts w:hint="eastAsia"/>
        </w:rPr>
      </w:pPr>
      <w:r>
        <w:rPr>
          <w:rStyle w:val="26"/>
        </w:rPr>
        <w:t>五、创新开展不同形式农机购置补贴试点</w:t>
      </w:r>
    </w:p>
    <w:p>
      <w:pPr>
        <w:spacing w:line="550" w:lineRule="atLeast"/>
        <w:ind w:firstLine="640"/>
        <w:rPr>
          <w:rFonts w:eastAsia="黑体"/>
        </w:rPr>
      </w:pPr>
      <w:r>
        <w:t>围绕实施乡村振兴战略、农业机械化全程全面高质高效发展和“一县一特”农业生产需求，积极争取农财两部支持，持续开展农机新产品补贴试点和农机报废更新试点。适时增加适用丘陵山区和农业“三减量”等绿色发展的省定新机具补贴试点，不断推动各类先进适用机具进入农业生产领域。支持部分农业生产确有需要的县市区特别是51个贫困县，在我省补贴机具种类范围外、农业农村部补贴机具种类范围内，自主选择品目开展补贴试点，提高购置补贴的实用性和适地性。</w:t>
      </w:r>
    </w:p>
    <w:p>
      <w:pPr>
        <w:spacing w:line="550" w:lineRule="atLeast"/>
        <w:ind w:firstLine="640"/>
        <w:rPr>
          <w:rStyle w:val="26"/>
          <w:rFonts w:hint="eastAsia"/>
        </w:rPr>
      </w:pPr>
      <w:r>
        <w:rPr>
          <w:rStyle w:val="26"/>
        </w:rPr>
        <w:t>六、强化补贴资金调度和调剂</w:t>
      </w:r>
    </w:p>
    <w:p>
      <w:pPr>
        <w:spacing w:line="550" w:lineRule="atLeast"/>
        <w:ind w:firstLine="640"/>
      </w:pPr>
      <w:r>
        <w:t>省财政按因素法科学测算各地资金需求上限，预先下达补贴资金，并在下半年组织开展县际余缺调剂，促进资金使用实现省内总体平衡和年度动态平衡。省财政将各地资金结转情况和违规行为发生情况作为资金分配重要因素，调减较大规模结转县市区和违规行为影响恶劣地区的预算规模，切实提高资金使用效益。各地应加快预算执行，优先使用2018年及以前结转资金。</w:t>
      </w:r>
    </w:p>
    <w:p>
      <w:pPr>
        <w:spacing w:line="550" w:lineRule="atLeast"/>
        <w:ind w:firstLine="632"/>
        <w:rPr>
          <w:spacing w:val="-2"/>
        </w:rPr>
      </w:pPr>
      <w:r>
        <w:rPr>
          <w:spacing w:val="-2"/>
        </w:rPr>
        <w:t>从2019年开始，每年对当年未使用完的结余资金进行清理收回。县级财政局应会同农业农村局认真做好本地区2018年及以前购置补贴结转结余资金核实工作，及时准确统计相关数据。市州财政局、农业农村局汇总县级核实结果（见附件2），于今年1</w:t>
      </w:r>
      <w:r>
        <w:rPr>
          <w:rFonts w:hint="eastAsia"/>
          <w:spacing w:val="-2"/>
        </w:rPr>
        <w:t>1</w:t>
      </w:r>
      <w:r>
        <w:rPr>
          <w:spacing w:val="-2"/>
        </w:rPr>
        <w:t>月</w:t>
      </w:r>
      <w:r>
        <w:rPr>
          <w:rFonts w:hint="eastAsia"/>
          <w:spacing w:val="-2"/>
        </w:rPr>
        <w:t>30</w:t>
      </w:r>
      <w:r>
        <w:rPr>
          <w:spacing w:val="-2"/>
        </w:rPr>
        <w:t>日前以正式文件形式分别报省财政厅和省农业农村厅。</w:t>
      </w:r>
    </w:p>
    <w:p>
      <w:pPr>
        <w:spacing w:line="550" w:lineRule="atLeast"/>
        <w:ind w:firstLine="640"/>
        <w:rPr>
          <w:rStyle w:val="26"/>
          <w:rFonts w:hint="eastAsia"/>
        </w:rPr>
      </w:pPr>
      <w:r>
        <w:rPr>
          <w:rStyle w:val="26"/>
        </w:rPr>
        <w:t>七、坚决落实风险防控责任</w:t>
      </w:r>
    </w:p>
    <w:p>
      <w:pPr>
        <w:spacing w:line="550" w:lineRule="atLeast"/>
        <w:ind w:firstLine="640"/>
      </w:pPr>
      <w:r>
        <w:t>切实加强政策实施管理工作的领导，建立健全政府领导下的农机化、财政部门联合监管机制。加强县级购置补贴领导小组建设，完善规章制度，进一步明确职责分工。深入落实领导小组的政策实施领导责任、县级及以下农机化主管部门组织实施责任和财政部门资金兑付与监管责任。强化对各级农机化和财政部门及其所属事业单位参与购置补贴关键重点工作人员的廉政教育和业务培训，提升政策实施和风险防控能力，严禁有关人员以各种形式直接或间接进行补贴机具经营活动。各级农机化、财政部门要以购置补贴实施操作流程为主线，逐项工作、逐一环节梳理查找风险点，有针对性地制定防控措施，切实提升补贴政策实施规范性，有效保障补贴资金安全。各级农机事务中心可经授权承担购置补贴政策的具体操作事务和相应责任。</w:t>
      </w:r>
    </w:p>
    <w:p>
      <w:pPr>
        <w:spacing w:line="550" w:lineRule="atLeast"/>
        <w:ind w:firstLine="640"/>
        <w:rPr>
          <w:rFonts w:hint="eastAsia" w:eastAsia="黑体"/>
        </w:rPr>
      </w:pPr>
      <w:r>
        <w:rPr>
          <w:rFonts w:eastAsia="黑体"/>
        </w:rPr>
        <w:t>八、严肃查处违规行为</w:t>
      </w:r>
    </w:p>
    <w:p>
      <w:pPr>
        <w:spacing w:line="550" w:lineRule="atLeast"/>
        <w:ind w:firstLine="640"/>
        <w:rPr>
          <w:rFonts w:hint="eastAsia"/>
        </w:rPr>
      </w:pPr>
      <w:r>
        <w:rPr>
          <w:rFonts w:hint="eastAsia"/>
        </w:rPr>
        <w:t>严格执行《湖南省农业机械购置补贴产品违规经营行为处理办法（试行）》（湘农联〔2018〕68号），严厉查处存在明显主观故意，采用非法手段骗取补贴资金，破坏购置补贴秩序，对补贴政策实施带来严重影响的行为。全面实行省际联动处理，凡被外省处以暂停补贴以上处理措施的农机产销企业，直接采信有关处理决定，对生产企业和涉及的经销企业作出同等处理，并结合实际进一步深入调查处理，真正使违规企业“一处失信、处处受限”。对参与较重及以上违规行为的购机者，3年内不得享受购置补贴；对违规产销企业及其法定代表人、主要从业人员等违规人员，按规定列入黑名单。在调查处理违规行为过程中，发现有干部涉嫌违纪违法的，要及时报告纪检监察机关。</w:t>
      </w:r>
    </w:p>
    <w:p>
      <w:pPr>
        <w:spacing w:line="550" w:lineRule="atLeast"/>
        <w:ind w:firstLine="640"/>
        <w:rPr>
          <w:rFonts w:eastAsia="黑体"/>
        </w:rPr>
      </w:pPr>
      <w:r>
        <w:rPr>
          <w:rFonts w:hint="eastAsia"/>
        </w:rPr>
        <w:t>农机购置补贴是一项影响广泛的强农惠农政策，各级农业农村局、财政局、农机事务中心要进一步强化纪律意识、责任意识、规矩意识，及时规范办理相关事项，坚决杜绝形式主义、官僚主义，从严查处“慢作为、乱作为、不作为”。</w:t>
      </w:r>
    </w:p>
    <w:p>
      <w:pPr>
        <w:spacing w:line="550" w:lineRule="atLeast"/>
        <w:ind w:firstLine="640"/>
      </w:pPr>
      <w:r>
        <w:t>本通知自2019年11月1</w:t>
      </w:r>
      <w:r>
        <w:rPr>
          <w:rFonts w:hint="eastAsia"/>
        </w:rPr>
        <w:t>5</w:t>
      </w:r>
      <w:r>
        <w:t>日起施行，有效期五年。</w:t>
      </w:r>
    </w:p>
    <w:p>
      <w:pPr>
        <w:spacing w:line="550" w:lineRule="atLeast"/>
        <w:ind w:firstLine="640"/>
        <w:rPr>
          <w:szCs w:val="32"/>
        </w:rPr>
      </w:pPr>
    </w:p>
    <w:p>
      <w:pPr>
        <w:spacing w:line="550" w:lineRule="atLeast"/>
        <w:ind w:firstLine="640"/>
      </w:pPr>
      <w:r>
        <w:t>联系人：省财政厅</w:t>
      </w:r>
      <w:r>
        <w:rPr>
          <w:rFonts w:hint="eastAsia"/>
        </w:rPr>
        <w:t>陈岚，0731-85165132，财政厅内网邮箱</w:t>
      </w:r>
      <w:r>
        <w:t>；省农业农村厅杨力，电话0731-85521950，邮箱hnnjhglc@163.com。</w:t>
      </w:r>
    </w:p>
    <w:p>
      <w:pPr>
        <w:spacing w:line="550" w:lineRule="atLeast"/>
        <w:ind w:firstLine="640"/>
      </w:pPr>
    </w:p>
    <w:p>
      <w:pPr>
        <w:spacing w:line="550" w:lineRule="atLeast"/>
        <w:ind w:firstLine="640"/>
      </w:pPr>
      <w:r>
        <w:t>附件：1.农业农村部农机购置补贴机具核验工作要点（试行）</w:t>
      </w:r>
    </w:p>
    <w:p>
      <w:pPr>
        <w:spacing w:line="550" w:lineRule="atLeast"/>
        <w:ind w:firstLine="1504" w:firstLineChars="470"/>
        <w:rPr>
          <w:spacing w:val="-4"/>
        </w:rPr>
      </w:pPr>
      <w:r>
        <w:t>2.</w:t>
      </w:r>
      <w:r>
        <w:rPr>
          <w:spacing w:val="-4"/>
        </w:rPr>
        <w:t>县（市、区）农机购置补贴历年结转结余资金汇总表</w:t>
      </w:r>
    </w:p>
    <w:p>
      <w:pPr>
        <w:pStyle w:val="31"/>
        <w:spacing w:line="550" w:lineRule="atLeast"/>
        <w:ind w:left="870" w:firstLine="0" w:firstLineChars="0"/>
        <w:rPr>
          <w:rFonts w:hint="eastAsia" w:ascii="Times New Roman" w:hAnsi="Times New Roman" w:eastAsia="仿宋"/>
          <w:sz w:val="32"/>
          <w:szCs w:val="32"/>
        </w:rPr>
      </w:pPr>
    </w:p>
    <w:p>
      <w:pPr>
        <w:pStyle w:val="31"/>
        <w:spacing w:line="550" w:lineRule="atLeast"/>
        <w:ind w:left="870" w:firstLine="0" w:firstLineChars="0"/>
        <w:rPr>
          <w:rFonts w:ascii="Times New Roman" w:hAnsi="Times New Roman" w:eastAsia="仿宋"/>
          <w:sz w:val="32"/>
          <w:szCs w:val="32"/>
        </w:rPr>
      </w:pPr>
    </w:p>
    <w:p>
      <w:pPr>
        <w:pStyle w:val="5"/>
        <w:spacing w:line="550" w:lineRule="atLeast"/>
        <w:ind w:firstLine="720"/>
      </w:pPr>
      <w:r>
        <w:rPr>
          <w:spacing w:val="20"/>
          <w:szCs w:val="32"/>
        </w:rPr>
        <w:t>湖南省农业农村厅</w:t>
      </w:r>
      <w:r>
        <w:t xml:space="preserve">             </w:t>
      </w:r>
      <w:r>
        <w:rPr>
          <w:spacing w:val="30"/>
          <w:szCs w:val="32"/>
        </w:rPr>
        <w:t>湖南省财政厅</w:t>
      </w:r>
    </w:p>
    <w:p>
      <w:pPr>
        <w:pStyle w:val="5"/>
        <w:spacing w:line="550" w:lineRule="atLeast"/>
        <w:ind w:firstLine="572" w:firstLineChars="179"/>
      </w:pPr>
      <w:r>
        <w:t xml:space="preserve">                               2019年</w:t>
      </w:r>
      <w:r>
        <w:rPr>
          <w:rFonts w:hint="eastAsia"/>
        </w:rPr>
        <w:t>11</w:t>
      </w:r>
      <w:r>
        <w:t>月</w:t>
      </w:r>
      <w:r>
        <w:rPr>
          <w:rFonts w:hint="eastAsia"/>
        </w:rPr>
        <w:t>5</w:t>
      </w:r>
      <w:r>
        <w:t>日</w:t>
      </w:r>
    </w:p>
    <w:p>
      <w:pPr>
        <w:pStyle w:val="3"/>
        <w:ind w:firstLine="0" w:firstLineChars="0"/>
      </w:pPr>
      <w:r>
        <w:br w:type="page"/>
      </w:r>
      <w:r>
        <w:t>附件1</w:t>
      </w:r>
    </w:p>
    <w:p>
      <w:pPr>
        <w:ind w:firstLine="640"/>
      </w:pPr>
    </w:p>
    <w:p>
      <w:pPr>
        <w:pStyle w:val="2"/>
      </w:pPr>
      <w:r>
        <w:t>农业农村部农机购置补贴机具核验工作要点</w:t>
      </w:r>
    </w:p>
    <w:p>
      <w:pPr>
        <w:pStyle w:val="4"/>
        <w:spacing w:beforeLines="25"/>
        <w:ind w:firstLine="0" w:firstLineChars="0"/>
        <w:jc w:val="center"/>
        <w:rPr>
          <w:b w:val="0"/>
        </w:rPr>
      </w:pPr>
      <w:r>
        <w:rPr>
          <w:b w:val="0"/>
        </w:rPr>
        <w:t>（试行）</w:t>
      </w:r>
    </w:p>
    <w:p>
      <w:pPr>
        <w:ind w:firstLine="640"/>
      </w:pPr>
    </w:p>
    <w:p>
      <w:pPr>
        <w:ind w:firstLine="640"/>
      </w:pPr>
      <w:r>
        <w:t>加强农机购置补贴机具核验管理，是确保补贴资金安全和政策效益充分发挥的关键举措。为指导各地做好农机购置补贴机具核验工作，规范核验行为，防范管理风险，提高办补效率，进一步便民利民，根据农业农村部、财政部农机购置补贴政策实施相关规定，制定工作要点如下。</w:t>
      </w:r>
    </w:p>
    <w:p>
      <w:pPr>
        <w:pStyle w:val="3"/>
        <w:ind w:firstLine="640"/>
      </w:pPr>
      <w:r>
        <w:t>一、核验内容</w:t>
      </w:r>
    </w:p>
    <w:p>
      <w:pPr>
        <w:ind w:firstLine="640"/>
      </w:pPr>
      <w:r>
        <w:t>补贴机具核验是指县级及以下农机化主管部门对从事农业生产的个人和农业生产经营组织(以下简称“购机者”)申报农机购置补贴时提供的相关资料进行形式审核、对机具进行核查的工作。核验的主要内容包括：</w:t>
      </w:r>
    </w:p>
    <w:p>
      <w:pPr>
        <w:ind w:firstLine="627"/>
        <w:rPr>
          <w:spacing w:val="-4"/>
        </w:rPr>
      </w:pPr>
      <w:r>
        <w:rPr>
          <w:rFonts w:eastAsia="楷体_GB2312"/>
          <w:b/>
          <w:spacing w:val="-4"/>
        </w:rPr>
        <w:t>(一)购机者身份信息。</w:t>
      </w:r>
      <w:r>
        <w:rPr>
          <w:spacing w:val="-4"/>
        </w:rPr>
        <w:t>个人身份证件或农业生产经营组织工商营业执照(统一社会信用代码)及其法定代表人身份证件等信息；</w:t>
      </w:r>
    </w:p>
    <w:p>
      <w:pPr>
        <w:ind w:firstLine="643"/>
      </w:pPr>
      <w:r>
        <w:rPr>
          <w:rFonts w:eastAsia="楷体_GB2312"/>
          <w:b/>
        </w:rPr>
        <w:t>(二)购买信息。</w:t>
      </w:r>
      <w:r>
        <w:t>购买补贴机具税控发票等信息；</w:t>
      </w:r>
    </w:p>
    <w:p>
      <w:pPr>
        <w:ind w:firstLine="627"/>
        <w:rPr>
          <w:spacing w:val="-4"/>
        </w:rPr>
      </w:pPr>
      <w:r>
        <w:rPr>
          <w:rFonts w:eastAsia="楷体_GB2312"/>
          <w:b/>
          <w:spacing w:val="-4"/>
        </w:rPr>
        <w:t>(三)机具信息。</w:t>
      </w:r>
      <w:r>
        <w:rPr>
          <w:spacing w:val="-4"/>
        </w:rPr>
        <w:t>机具实物上的固定铭牌信息、农机购置补贴辅助管理系统所对应机具的信息、牌证管理机具的行驶证信息等；</w:t>
      </w:r>
    </w:p>
    <w:p>
      <w:pPr>
        <w:ind w:firstLine="643"/>
      </w:pPr>
      <w:r>
        <w:rPr>
          <w:rFonts w:eastAsia="楷体_GB2312"/>
          <w:b/>
        </w:rPr>
        <w:t>(四)其他信息。</w:t>
      </w:r>
      <w:r>
        <w:t>购机者银行卡(折)账号、开户名等信息，以及政策实施要求提供的其他必要信息。</w:t>
      </w:r>
    </w:p>
    <w:p>
      <w:pPr>
        <w:ind w:firstLine="640"/>
      </w:pPr>
      <w:r>
        <w:t>上述信息的真实性、完整性和有效性由购机者、产销企业和农机安全监理机构分别负责，并承担相应的法律责任。</w:t>
      </w:r>
    </w:p>
    <w:p>
      <w:pPr>
        <w:pStyle w:val="3"/>
        <w:ind w:firstLine="640"/>
      </w:pPr>
      <w:r>
        <w:t>二、核验程序及要求</w:t>
      </w:r>
    </w:p>
    <w:p>
      <w:pPr>
        <w:ind w:firstLine="643"/>
      </w:pPr>
      <w:r>
        <w:rPr>
          <w:rFonts w:eastAsia="楷体_GB2312"/>
          <w:b/>
        </w:rPr>
        <w:t>(一)受理申请。</w:t>
      </w:r>
      <w:r>
        <w:t>对购机者自主提出的补贴申请，主管部门应按规定及时受理。鼓励通过手机APP、“一站式”服务窗口等便捷高效的方式受理申请。</w:t>
      </w:r>
    </w:p>
    <w:p>
      <w:pPr>
        <w:ind w:firstLine="643"/>
        <w:rPr>
          <w:b/>
        </w:rPr>
      </w:pPr>
      <w:r>
        <w:rPr>
          <w:rFonts w:eastAsia="楷体_GB2312"/>
          <w:b/>
        </w:rPr>
        <w:t>(二)资料核验。</w:t>
      </w:r>
      <w:r>
        <w:rPr>
          <w:b/>
        </w:rPr>
        <w:t>一是购机者及其身份、购机税控发票等资料。</w:t>
      </w:r>
      <w: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b/>
        </w:rPr>
        <w:t>二是银行卡(折)等资料。</w:t>
      </w:r>
      <w:r>
        <w:t>重点核验购机者填写的银行卡(折)账号、开户名等信息与其携带的银行卡(折)所显示的账号、身份证件所显示的购机者姓名、工商营业执照所显示的农业生产经营组织名称是否一致。</w:t>
      </w:r>
      <w:r>
        <w:rPr>
          <w:b/>
        </w:rPr>
        <w:t>三是购机价格真实性承诺。</w:t>
      </w:r>
      <w:r>
        <w:t>提示购机者确认购机税控发票上的购机金额与其实际全部支付给经销企业的资金是否一致，以及隐瞒不报、提供虚假信息需承担的违规责任，提示购机者对购机价格的真实性签字确认。</w:t>
      </w:r>
      <w:r>
        <w:rPr>
          <w:b/>
        </w:rPr>
        <w:t>四是政策实施要求提供的其他资料。</w:t>
      </w:r>
    </w:p>
    <w:p>
      <w:pPr>
        <w:ind w:firstLine="640"/>
      </w:pPr>
      <w:r>
        <w:t>未通过核验的，应将所发现的问题一次性告知购机者，并说明完善方法。</w:t>
      </w:r>
    </w:p>
    <w:p>
      <w:pPr>
        <w:ind w:firstLine="643"/>
      </w:pPr>
      <w:r>
        <w:rPr>
          <w:rFonts w:eastAsia="楷体_GB2312"/>
          <w:b/>
        </w:rPr>
        <w:t>(三)机具核验。</w:t>
      </w:r>
      <w:r>
        <w:rPr>
          <w:b/>
        </w:rPr>
        <w:t>一是重点机具核验。</w:t>
      </w:r>
      <w: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b/>
        </w:rPr>
        <w:t>二是非重点机具核验。</w:t>
      </w:r>
      <w:r>
        <w:t>对补贴额较低、风险可控度高的机具可采取补贴资金兑付后按比例抽查核验方式进行，抽核内容同重点机具。重点机具和非重点机具的标准以及抽核比例或数量由各省自行规定。</w:t>
      </w:r>
    </w:p>
    <w:p>
      <w:pPr>
        <w:ind w:firstLine="640"/>
      </w:pPr>
      <w:r>
        <w:t>鼓励通过进村入户、提前预约等方式开展核验，便利购机者以及设施安装类机具核验。核验结果由核验人员与购机者双方签字确认。实行双人交叉核验或个人核验、单位内部集体会审双重审核，探索对补贴机具核验结果实行基层农机化、种植业、畜牧业、渔业、农产品初加工等有关方面共同参加的集体会商。加强对单人多台套、短期内大批量、同人连年购置同类机具、区域适应性差的机具购置等异常情形的核验。</w:t>
      </w:r>
    </w:p>
    <w:p>
      <w:pPr>
        <w:ind w:firstLine="640"/>
      </w:pPr>
      <w:r>
        <w:t>未通过核验的，应将所发现的问题一次性告知购机者，并说明完善方法。</w:t>
      </w:r>
    </w:p>
    <w:p>
      <w:pPr>
        <w:ind w:firstLine="618"/>
        <w:rPr>
          <w:spacing w:val="-6"/>
        </w:rPr>
      </w:pPr>
      <w:r>
        <w:rPr>
          <w:rFonts w:eastAsia="楷体_GB2312"/>
          <w:b/>
          <w:spacing w:val="-6"/>
        </w:rPr>
        <w:t>(四)复核登记。</w:t>
      </w:r>
      <w:r>
        <w:rPr>
          <w:spacing w:val="-6"/>
        </w:rPr>
        <w:t>对资料核验、机具核验的程序、方式和签章的规范性进行集体复核，可与集体会商同步进行，通过后登记立册。</w:t>
      </w:r>
    </w:p>
    <w:p>
      <w:pPr>
        <w:ind w:firstLine="643"/>
      </w:pPr>
      <w:r>
        <w:rPr>
          <w:rFonts w:eastAsia="楷体_GB2312"/>
          <w:b/>
        </w:rPr>
        <w:t>(五)公示报送。</w:t>
      </w:r>
      <w:r>
        <w:t>对通过复核的补贴申请信息进行为期不少于30天的公示，公示无异议后报送同级财政部门。</w:t>
      </w:r>
    </w:p>
    <w:p>
      <w:pPr>
        <w:ind w:firstLine="643"/>
      </w:pPr>
      <w:r>
        <w:rPr>
          <w:rFonts w:eastAsia="楷体_GB2312"/>
          <w:b/>
        </w:rPr>
        <w:t>(六)资料处理。</w:t>
      </w:r>
      <w:r>
        <w:t>对财政部门未提出疑义的补贴申请，将其核验资料留存备用备查，留存期限不少于5年。</w:t>
      </w:r>
    </w:p>
    <w:p>
      <w:pPr>
        <w:pStyle w:val="3"/>
        <w:ind w:firstLine="640"/>
      </w:pPr>
      <w:r>
        <w:t>三、监督管理</w:t>
      </w:r>
    </w:p>
    <w:p>
      <w:pPr>
        <w:ind w:firstLine="643"/>
      </w:pPr>
      <w:r>
        <w:rPr>
          <w:rFonts w:eastAsia="楷体_GB2312"/>
          <w:b/>
        </w:rPr>
        <w:t>(一)加强核验人员队伍建设。</w:t>
      </w:r>
      <w: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pPr>
        <w:ind w:firstLine="643"/>
      </w:pPr>
      <w:r>
        <w:rPr>
          <w:rFonts w:eastAsia="楷体_GB2312"/>
          <w:b/>
        </w:rPr>
        <w:t>(二)推行购机承诺践诺。</w:t>
      </w:r>
      <w:r>
        <w:t>加强购机者补贴申请行为的自我约束和信用管理，实行补贴申请资料真实性、完整性和有效性的自主承诺，引导其规范参与补贴政策实施，主动报告所发现的问题，共同维护政策实施良好环境。</w:t>
      </w:r>
    </w:p>
    <w:p>
      <w:pPr>
        <w:ind w:firstLine="643"/>
      </w:pPr>
      <w:r>
        <w:rPr>
          <w:rFonts w:eastAsia="楷体_GB2312"/>
          <w:b/>
        </w:rPr>
        <w:t>(三)全面排查违规线索。</w:t>
      </w:r>
      <w: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pPr>
        <w:ind w:firstLine="643"/>
      </w:pPr>
      <w:r>
        <w:rPr>
          <w:rFonts w:eastAsia="楷体_GB2312"/>
          <w:b/>
        </w:rPr>
        <w:t>(四)严格监督管理。</w:t>
      </w:r>
      <w:r>
        <w:t>健全内部控制制度，以机具核验流程为主线，逐项工作、逐个环节查找风险点，制定防控措施。鼓励省级及以下农机化、财政部门探索开展补贴机具第三方独立抽查核验和信息化技术核验。</w:t>
      </w:r>
    </w:p>
    <w:p>
      <w:pPr>
        <w:pStyle w:val="3"/>
        <w:ind w:firstLine="0" w:firstLineChars="0"/>
      </w:pPr>
      <w:r>
        <w:br w:type="page"/>
      </w:r>
      <w:r>
        <w:t>附件2</w:t>
      </w:r>
    </w:p>
    <w:p>
      <w:pPr>
        <w:adjustRightInd/>
        <w:snapToGrid/>
        <w:spacing w:line="600" w:lineRule="exact"/>
        <w:ind w:firstLine="640"/>
        <w:rPr>
          <w:szCs w:val="32"/>
        </w:rPr>
      </w:pPr>
    </w:p>
    <w:p>
      <w:pPr>
        <w:adjustRightInd/>
        <w:snapToGrid/>
        <w:spacing w:line="600" w:lineRule="exact"/>
        <w:ind w:firstLine="0" w:firstLineChars="0"/>
        <w:jc w:val="center"/>
        <w:rPr>
          <w:rFonts w:eastAsia="方正小标宋简体"/>
          <w:sz w:val="36"/>
          <w:szCs w:val="36"/>
        </w:rPr>
      </w:pPr>
      <w:r>
        <w:rPr>
          <w:rFonts w:eastAsia="方正小标宋简体"/>
          <w:sz w:val="36"/>
          <w:szCs w:val="36"/>
        </w:rPr>
        <w:t>县（市、区）农机购置补贴历年结转结余资金汇总表</w:t>
      </w:r>
    </w:p>
    <w:p>
      <w:pPr>
        <w:adjustRightInd/>
        <w:snapToGrid/>
        <w:spacing w:line="600" w:lineRule="exact"/>
        <w:ind w:firstLine="0" w:firstLineChars="0"/>
        <w:jc w:val="left"/>
        <w:rPr>
          <w:sz w:val="36"/>
          <w:szCs w:val="36"/>
        </w:rPr>
      </w:pPr>
    </w:p>
    <w:p>
      <w:pPr>
        <w:adjustRightInd/>
        <w:snapToGrid/>
        <w:spacing w:line="600" w:lineRule="exact"/>
        <w:ind w:firstLine="0" w:firstLineChars="0"/>
        <w:jc w:val="left"/>
        <w:rPr>
          <w:szCs w:val="32"/>
        </w:rPr>
      </w:pPr>
      <w:r>
        <w:rPr>
          <w:szCs w:val="32"/>
        </w:rPr>
        <w:t>填报单位（盖章）：</w:t>
      </w:r>
      <w:r>
        <w:rPr>
          <w:szCs w:val="32"/>
        </w:rPr>
        <w:tab/>
      </w:r>
      <w:r>
        <w:rPr>
          <w:szCs w:val="32"/>
        </w:rPr>
        <w:t xml:space="preserve">                         单位：万元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295"/>
        <w:gridCol w:w="3202"/>
        <w:gridCol w:w="241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98" w:type="dxa"/>
            <w:shd w:val="clear" w:color="auto" w:fill="auto"/>
            <w:noWrap/>
            <w:vAlign w:val="center"/>
          </w:tcPr>
          <w:p>
            <w:pPr>
              <w:widowControl/>
              <w:adjustRightInd/>
              <w:snapToGrid/>
              <w:spacing w:line="240" w:lineRule="auto"/>
              <w:ind w:firstLine="0" w:firstLineChars="0"/>
              <w:jc w:val="center"/>
              <w:rPr>
                <w:rFonts w:eastAsia="黑体"/>
                <w:color w:val="000000"/>
                <w:kern w:val="0"/>
                <w:sz w:val="22"/>
                <w:szCs w:val="22"/>
              </w:rPr>
            </w:pPr>
            <w:r>
              <w:rPr>
                <w:rFonts w:eastAsia="黑体"/>
                <w:color w:val="000000"/>
                <w:kern w:val="0"/>
                <w:sz w:val="22"/>
                <w:szCs w:val="22"/>
              </w:rPr>
              <w:t>市州</w:t>
            </w:r>
          </w:p>
        </w:tc>
        <w:tc>
          <w:tcPr>
            <w:tcW w:w="1295" w:type="dxa"/>
            <w:shd w:val="clear" w:color="auto" w:fill="auto"/>
            <w:noWrap/>
            <w:vAlign w:val="center"/>
          </w:tcPr>
          <w:p>
            <w:pPr>
              <w:widowControl/>
              <w:adjustRightInd/>
              <w:snapToGrid/>
              <w:spacing w:line="240" w:lineRule="auto"/>
              <w:ind w:firstLine="0" w:firstLineChars="0"/>
              <w:jc w:val="center"/>
              <w:rPr>
                <w:rFonts w:eastAsia="黑体"/>
                <w:color w:val="000000"/>
                <w:kern w:val="0"/>
                <w:sz w:val="22"/>
                <w:szCs w:val="22"/>
              </w:rPr>
            </w:pPr>
            <w:r>
              <w:rPr>
                <w:rFonts w:eastAsia="黑体"/>
                <w:color w:val="000000"/>
                <w:kern w:val="0"/>
                <w:sz w:val="22"/>
                <w:szCs w:val="22"/>
              </w:rPr>
              <w:t>县市区</w:t>
            </w:r>
          </w:p>
        </w:tc>
        <w:tc>
          <w:tcPr>
            <w:tcW w:w="3202" w:type="dxa"/>
            <w:shd w:val="clear" w:color="auto" w:fill="auto"/>
            <w:vAlign w:val="center"/>
          </w:tcPr>
          <w:p>
            <w:pPr>
              <w:widowControl/>
              <w:adjustRightInd/>
              <w:snapToGrid/>
              <w:spacing w:line="240" w:lineRule="auto"/>
              <w:ind w:firstLine="0" w:firstLineChars="0"/>
              <w:jc w:val="center"/>
              <w:rPr>
                <w:rFonts w:eastAsia="黑体"/>
                <w:color w:val="000000"/>
                <w:kern w:val="0"/>
                <w:sz w:val="22"/>
                <w:szCs w:val="22"/>
              </w:rPr>
            </w:pPr>
            <w:r>
              <w:rPr>
                <w:rFonts w:eastAsia="黑体"/>
                <w:color w:val="000000"/>
                <w:kern w:val="0"/>
                <w:sz w:val="22"/>
                <w:szCs w:val="22"/>
              </w:rPr>
              <w:t>截止2017年12月份之前</w:t>
            </w:r>
            <w:r>
              <w:rPr>
                <w:rFonts w:eastAsia="黑体"/>
                <w:color w:val="000000"/>
                <w:kern w:val="0"/>
                <w:sz w:val="22"/>
                <w:szCs w:val="22"/>
              </w:rPr>
              <w:br w:type="textWrapping"/>
            </w:r>
            <w:r>
              <w:rPr>
                <w:rFonts w:eastAsia="黑体"/>
                <w:color w:val="000000"/>
                <w:kern w:val="0"/>
                <w:sz w:val="22"/>
                <w:szCs w:val="22"/>
              </w:rPr>
              <w:t>购置补贴历年结转结余资金</w:t>
            </w:r>
          </w:p>
        </w:tc>
        <w:tc>
          <w:tcPr>
            <w:tcW w:w="2410" w:type="dxa"/>
            <w:shd w:val="clear" w:color="auto" w:fill="auto"/>
            <w:vAlign w:val="center"/>
          </w:tcPr>
          <w:p>
            <w:pPr>
              <w:widowControl/>
              <w:adjustRightInd/>
              <w:snapToGrid/>
              <w:spacing w:line="240" w:lineRule="auto"/>
              <w:ind w:firstLine="0" w:firstLineChars="0"/>
              <w:jc w:val="center"/>
              <w:rPr>
                <w:rFonts w:eastAsia="黑体"/>
                <w:color w:val="000000"/>
                <w:kern w:val="0"/>
                <w:sz w:val="22"/>
                <w:szCs w:val="22"/>
              </w:rPr>
            </w:pPr>
            <w:r>
              <w:rPr>
                <w:rFonts w:eastAsia="黑体"/>
                <w:color w:val="000000"/>
                <w:kern w:val="0"/>
                <w:sz w:val="22"/>
                <w:szCs w:val="22"/>
              </w:rPr>
              <w:t>2018年当年结余资金</w:t>
            </w:r>
          </w:p>
        </w:tc>
        <w:tc>
          <w:tcPr>
            <w:tcW w:w="1155" w:type="dxa"/>
            <w:shd w:val="clear" w:color="auto" w:fill="auto"/>
            <w:noWrap/>
            <w:vAlign w:val="center"/>
          </w:tcPr>
          <w:p>
            <w:pPr>
              <w:widowControl/>
              <w:adjustRightInd/>
              <w:snapToGrid/>
              <w:spacing w:line="240" w:lineRule="auto"/>
              <w:ind w:firstLine="0" w:firstLineChars="0"/>
              <w:jc w:val="center"/>
              <w:rPr>
                <w:rFonts w:eastAsia="黑体"/>
                <w:color w:val="000000"/>
                <w:kern w:val="0"/>
                <w:sz w:val="22"/>
                <w:szCs w:val="22"/>
              </w:rPr>
            </w:pPr>
            <w:r>
              <w:rPr>
                <w:rFonts w:eastAsia="黑体"/>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98"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1295"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3202" w:type="dxa"/>
            <w:shd w:val="clear" w:color="auto" w:fill="auto"/>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2410" w:type="dxa"/>
            <w:shd w:val="clear" w:color="auto" w:fill="auto"/>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1155"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98"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1295"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3202" w:type="dxa"/>
            <w:shd w:val="clear" w:color="auto" w:fill="auto"/>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2410" w:type="dxa"/>
            <w:shd w:val="clear" w:color="auto" w:fill="auto"/>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1155"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98"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1295"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3202" w:type="dxa"/>
            <w:shd w:val="clear" w:color="auto" w:fill="auto"/>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2410" w:type="dxa"/>
            <w:shd w:val="clear" w:color="auto" w:fill="auto"/>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1155"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98"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1295"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3202"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2410"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c>
          <w:tcPr>
            <w:tcW w:w="1155" w:type="dxa"/>
            <w:shd w:val="clear" w:color="auto" w:fill="auto"/>
            <w:noWrap/>
            <w:vAlign w:val="center"/>
          </w:tcPr>
          <w:p>
            <w:pPr>
              <w:widowControl/>
              <w:adjustRightInd/>
              <w:snapToGrid/>
              <w:spacing w:line="240" w:lineRule="auto"/>
              <w:ind w:firstLine="0" w:firstLineChars="0"/>
              <w:jc w:val="center"/>
              <w:rPr>
                <w:color w:val="000000"/>
                <w:kern w:val="0"/>
                <w:sz w:val="24"/>
              </w:rPr>
            </w:pPr>
            <w:r>
              <w:rPr>
                <w:color w:val="000000"/>
                <w:kern w:val="0"/>
                <w:sz w:val="24"/>
              </w:rPr>
              <w:t>　</w:t>
            </w:r>
          </w:p>
        </w:tc>
      </w:tr>
    </w:tbl>
    <w:p>
      <w:pPr>
        <w:adjustRightInd/>
        <w:snapToGrid/>
        <w:spacing w:line="600" w:lineRule="exact"/>
        <w:ind w:firstLine="0" w:firstLineChars="0"/>
        <w:jc w:val="left"/>
        <w:rPr>
          <w:szCs w:val="32"/>
        </w:rPr>
      </w:pPr>
      <w:r>
        <w:rPr>
          <w:szCs w:val="32"/>
        </w:rPr>
        <w:t>填表人：                       联系方式 ：</w:t>
      </w:r>
    </w:p>
    <w:p>
      <w:pPr>
        <w:ind w:firstLine="640"/>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620" w:lineRule="exact"/>
        <w:ind w:firstLine="640"/>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100" w:lineRule="exact"/>
        <w:ind w:firstLine="640"/>
        <w:rPr>
          <w:szCs w:val="32"/>
        </w:rPr>
      </w:pPr>
    </w:p>
    <w:p>
      <w:pPr>
        <w:spacing w:line="520" w:lineRule="exact"/>
        <w:ind w:firstLine="0" w:firstLineChars="0"/>
        <w:rPr>
          <w:szCs w:val="32"/>
        </w:rPr>
      </w:pPr>
      <w:r>
        <w:rPr>
          <w:rFonts w:eastAsia="黑体"/>
          <w:sz w:val="28"/>
          <w:szCs w:val="28"/>
        </w:rPr>
        <w:t>信息公开选项：</w:t>
      </w:r>
      <w:r>
        <w:rPr>
          <w:rFonts w:eastAsia="方正小标宋简体"/>
          <w:sz w:val="28"/>
          <w:szCs w:val="28"/>
        </w:rPr>
        <w:t>公开</w:t>
      </w:r>
    </w:p>
    <w:p>
      <w:pPr>
        <w:spacing w:line="520" w:lineRule="exact"/>
        <w:ind w:firstLine="280" w:firstLineChars="100"/>
      </w:pPr>
      <w:r>
        <w:rPr>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27305</wp:posOffset>
                </wp:positionV>
                <wp:extent cx="5615940" cy="0"/>
                <wp:effectExtent l="0" t="0" r="0" b="0"/>
                <wp:wrapNone/>
                <wp:docPr id="1" name="直线 52"/>
                <wp:cNvGraphicFramePr/>
                <a:graphic xmlns:a="http://schemas.openxmlformats.org/drawingml/2006/main">
                  <a:graphicData uri="http://schemas.microsoft.com/office/word/2010/wordprocessingShape">
                    <wps:wsp>
                      <wps:cNvSp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52" o:spid="_x0000_s1026" o:spt="20" style="position:absolute;left:0pt;margin-left:-0.3pt;margin-top:2.15pt;height:0pt;width:442.2pt;z-index:251659264;mso-width-relative:page;mso-height-relative:page;" filled="f" stroked="t" coordsize="21600,21600" o:gfxdata="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oWe1QAA&#10;AAUBAAAPAAAAAAAAAAEAIAAAACIAAABkcnMvZG93bnJldi54bWxQSwECFAAUAAAACACHTuJAcIhB&#10;jegBAADcAwAADgAAAAAAAAABACAAAAAkAQAAZHJzL2Uyb0RvYy54bWxQSwUGAAAAAAYABgBZAQAA&#10;fgUAAAAA&#10;">
                <v:fill on="f" focussize="0,0"/>
                <v:stroke weight="0.35pt" color="#000000" joinstyle="round"/>
                <v:imagedata o:title=""/>
                <o:lock v:ext="edit" aspectratio="f"/>
              </v:line>
            </w:pict>
          </mc:Fallback>
        </mc:AlternateContent>
      </w: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386715</wp:posOffset>
                </wp:positionV>
                <wp:extent cx="5615940" cy="0"/>
                <wp:effectExtent l="0" t="0" r="0" b="0"/>
                <wp:wrapNone/>
                <wp:docPr id="2" name="直线 53"/>
                <wp:cNvGraphicFramePr/>
                <a:graphic xmlns:a="http://schemas.openxmlformats.org/drawingml/2006/main">
                  <a:graphicData uri="http://schemas.microsoft.com/office/word/2010/wordprocessingShape">
                    <wps:wsp>
                      <wps:cNvSp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53" o:spid="_x0000_s1026" o:spt="20" style="position:absolute;left:0pt;margin-left:0pt;margin-top:30.45pt;height:0pt;width:442.2pt;z-index:251660288;mso-width-relative:page;mso-height-relative:page;" filled="f" stroked="t" coordsize="21600,21600" o:gfxdata="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mGZvvW&#10;AAAABgEAAA8AAAAAAAAAAQAgAAAAIgAAAGRycy9kb3ducmV2LnhtbFBLAQIUABQAAAAIAIdO4kBG&#10;MiUZ6QEAANwDAAAOAAAAAAAAAAEAIAAAACUBAABkcnMvZTJvRG9jLnhtbFBLBQYAAAAABgAGAFkB&#10;AACABQAAAAA=&#10;">
                <v:fill on="f" focussize="0,0"/>
                <v:stroke weight="0.35pt" color="#000000" joinstyle="round"/>
                <v:imagedata o:title=""/>
                <o:lock v:ext="edit" aspectratio="f"/>
              </v:line>
            </w:pict>
          </mc:Fallback>
        </mc:AlternateContent>
      </w:r>
      <w:r>
        <w:rPr>
          <w:color w:val="000000"/>
          <w:sz w:val="28"/>
          <w:szCs w:val="28"/>
        </w:rPr>
        <w:t>湖南省农业农村厅办公室                 2019年</w:t>
      </w:r>
      <w:r>
        <w:rPr>
          <w:rFonts w:hint="eastAsia"/>
          <w:color w:val="000000"/>
          <w:sz w:val="28"/>
          <w:szCs w:val="28"/>
        </w:rPr>
        <w:t>11</w:t>
      </w:r>
      <w:r>
        <w:rPr>
          <w:color w:val="000000"/>
          <w:sz w:val="28"/>
          <w:szCs w:val="28"/>
        </w:rPr>
        <w:t>月</w:t>
      </w:r>
      <w:r>
        <w:rPr>
          <w:rFonts w:hint="eastAsia"/>
          <w:color w:val="000000"/>
          <w:sz w:val="28"/>
          <w:szCs w:val="28"/>
        </w:rPr>
        <w:t>6</w:t>
      </w:r>
      <w:r>
        <w:rPr>
          <w:color w:val="000000"/>
          <w:sz w:val="28"/>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cols w:space="425" w:num="1"/>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firstLine="0" w:firstLineChars="0"/>
      <w:rPr>
        <w:rStyle w:val="17"/>
        <w:sz w:val="28"/>
        <w:szCs w:val="28"/>
      </w:rPr>
    </w:pPr>
    <w:r>
      <w:rPr>
        <w:rStyle w:val="17"/>
        <w:sz w:val="28"/>
        <w:szCs w:val="28"/>
      </w:rPr>
      <w:t>—</w:t>
    </w:r>
    <w:r>
      <w:rPr>
        <w:rStyle w:val="17"/>
        <w:sz w:val="28"/>
        <w:szCs w:val="28"/>
      </w:rPr>
      <w:fldChar w:fldCharType="begin"/>
    </w:r>
    <w:r>
      <w:rPr>
        <w:rStyle w:val="17"/>
        <w:sz w:val="28"/>
        <w:szCs w:val="28"/>
      </w:rPr>
      <w:instrText xml:space="preserve">PAGE  </w:instrText>
    </w:r>
    <w:r>
      <w:rPr>
        <w:rStyle w:val="17"/>
        <w:sz w:val="28"/>
        <w:szCs w:val="28"/>
      </w:rPr>
      <w:fldChar w:fldCharType="separate"/>
    </w:r>
    <w:r>
      <w:rPr>
        <w:rStyle w:val="17"/>
        <w:sz w:val="28"/>
        <w:szCs w:val="28"/>
      </w:rPr>
      <w:t>6</w:t>
    </w:r>
    <w:r>
      <w:rPr>
        <w:rStyle w:val="17"/>
        <w:sz w:val="28"/>
        <w:szCs w:val="28"/>
      </w:rPr>
      <w:fldChar w:fldCharType="end"/>
    </w:r>
    <w:r>
      <w:rPr>
        <w:rStyle w:val="17"/>
        <w:sz w:val="28"/>
        <w:szCs w:val="28"/>
      </w:rPr>
      <w:t>—</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firstLine="360"/>
      <w:rPr>
        <w:rStyle w:val="17"/>
      </w:rPr>
    </w:pPr>
    <w:r>
      <w:rPr>
        <w:rStyle w:val="17"/>
      </w:rPr>
      <w:fldChar w:fldCharType="begin"/>
    </w:r>
    <w:r>
      <w:rPr>
        <w:rStyle w:val="17"/>
      </w:rPr>
      <w:instrText xml:space="preserve">PAGE  </w:instrText>
    </w:r>
    <w:r>
      <w:rPr>
        <w:rStyle w:val="17"/>
      </w:rPr>
      <w:fldChar w:fldCharType="separate"/>
    </w:r>
    <w:r>
      <w:rPr>
        <w:rStyle w:val="17"/>
      </w:rPr>
      <w:t>2</w:t>
    </w:r>
    <w:r>
      <w:rPr>
        <w:rStyle w:val="17"/>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D1"/>
    <w:rsid w:val="00006C32"/>
    <w:rsid w:val="000070BB"/>
    <w:rsid w:val="00007908"/>
    <w:rsid w:val="00007A2A"/>
    <w:rsid w:val="00011549"/>
    <w:rsid w:val="0001543F"/>
    <w:rsid w:val="00023A57"/>
    <w:rsid w:val="00031F73"/>
    <w:rsid w:val="0003712D"/>
    <w:rsid w:val="0004127B"/>
    <w:rsid w:val="000457E6"/>
    <w:rsid w:val="000460D7"/>
    <w:rsid w:val="00061E0A"/>
    <w:rsid w:val="00074A5A"/>
    <w:rsid w:val="00075610"/>
    <w:rsid w:val="00081764"/>
    <w:rsid w:val="00090311"/>
    <w:rsid w:val="000B21E7"/>
    <w:rsid w:val="000C1B41"/>
    <w:rsid w:val="000D695F"/>
    <w:rsid w:val="000D7E84"/>
    <w:rsid w:val="000E4C41"/>
    <w:rsid w:val="0010709A"/>
    <w:rsid w:val="00122A9A"/>
    <w:rsid w:val="001268CD"/>
    <w:rsid w:val="00136317"/>
    <w:rsid w:val="00137536"/>
    <w:rsid w:val="001377BA"/>
    <w:rsid w:val="0015554F"/>
    <w:rsid w:val="001667C6"/>
    <w:rsid w:val="001863D9"/>
    <w:rsid w:val="0019261B"/>
    <w:rsid w:val="00195864"/>
    <w:rsid w:val="001B1CDF"/>
    <w:rsid w:val="001C22AE"/>
    <w:rsid w:val="001D2116"/>
    <w:rsid w:val="001D4AFD"/>
    <w:rsid w:val="001E56FA"/>
    <w:rsid w:val="001F34A1"/>
    <w:rsid w:val="001F7E44"/>
    <w:rsid w:val="00203141"/>
    <w:rsid w:val="00203178"/>
    <w:rsid w:val="00204008"/>
    <w:rsid w:val="0020637D"/>
    <w:rsid w:val="00215AAE"/>
    <w:rsid w:val="00226497"/>
    <w:rsid w:val="00234A52"/>
    <w:rsid w:val="00242B1D"/>
    <w:rsid w:val="00247CFE"/>
    <w:rsid w:val="00251ED1"/>
    <w:rsid w:val="00256467"/>
    <w:rsid w:val="00293EAF"/>
    <w:rsid w:val="00293F32"/>
    <w:rsid w:val="002A3CA4"/>
    <w:rsid w:val="002C02DE"/>
    <w:rsid w:val="002C2BE9"/>
    <w:rsid w:val="002C3CA3"/>
    <w:rsid w:val="002D5F5D"/>
    <w:rsid w:val="002E37FF"/>
    <w:rsid w:val="002F4908"/>
    <w:rsid w:val="002F5464"/>
    <w:rsid w:val="00306C8D"/>
    <w:rsid w:val="00317186"/>
    <w:rsid w:val="00317EE2"/>
    <w:rsid w:val="00322361"/>
    <w:rsid w:val="003326BD"/>
    <w:rsid w:val="00340785"/>
    <w:rsid w:val="00346980"/>
    <w:rsid w:val="00354E3D"/>
    <w:rsid w:val="003627C3"/>
    <w:rsid w:val="00366EC5"/>
    <w:rsid w:val="003812E0"/>
    <w:rsid w:val="003837BF"/>
    <w:rsid w:val="003A225C"/>
    <w:rsid w:val="003B61D2"/>
    <w:rsid w:val="003B68C1"/>
    <w:rsid w:val="003C00A0"/>
    <w:rsid w:val="003C09BA"/>
    <w:rsid w:val="003D03FC"/>
    <w:rsid w:val="003D1A2E"/>
    <w:rsid w:val="003D383D"/>
    <w:rsid w:val="003D4160"/>
    <w:rsid w:val="003E00AC"/>
    <w:rsid w:val="003E6A19"/>
    <w:rsid w:val="003E6E7A"/>
    <w:rsid w:val="003F6070"/>
    <w:rsid w:val="003F6FAE"/>
    <w:rsid w:val="0040068A"/>
    <w:rsid w:val="004022CC"/>
    <w:rsid w:val="0042011E"/>
    <w:rsid w:val="0042601C"/>
    <w:rsid w:val="00427D75"/>
    <w:rsid w:val="00446069"/>
    <w:rsid w:val="00454265"/>
    <w:rsid w:val="00457133"/>
    <w:rsid w:val="004645D7"/>
    <w:rsid w:val="0048169E"/>
    <w:rsid w:val="004A0B6C"/>
    <w:rsid w:val="004A4F35"/>
    <w:rsid w:val="004A655E"/>
    <w:rsid w:val="004B4FE9"/>
    <w:rsid w:val="004C572F"/>
    <w:rsid w:val="004D0131"/>
    <w:rsid w:val="004E5DDE"/>
    <w:rsid w:val="004E6FE0"/>
    <w:rsid w:val="004F05F7"/>
    <w:rsid w:val="004F27E6"/>
    <w:rsid w:val="00501961"/>
    <w:rsid w:val="00504BF3"/>
    <w:rsid w:val="00520B7F"/>
    <w:rsid w:val="00527AFA"/>
    <w:rsid w:val="00533B48"/>
    <w:rsid w:val="005357A5"/>
    <w:rsid w:val="00547ADF"/>
    <w:rsid w:val="005513D6"/>
    <w:rsid w:val="005630F8"/>
    <w:rsid w:val="00590276"/>
    <w:rsid w:val="005B16E7"/>
    <w:rsid w:val="005E38BA"/>
    <w:rsid w:val="005F2BBC"/>
    <w:rsid w:val="005F54C2"/>
    <w:rsid w:val="005F5909"/>
    <w:rsid w:val="006123FD"/>
    <w:rsid w:val="00620A06"/>
    <w:rsid w:val="006217F7"/>
    <w:rsid w:val="00623F5C"/>
    <w:rsid w:val="00635979"/>
    <w:rsid w:val="00642030"/>
    <w:rsid w:val="0064356C"/>
    <w:rsid w:val="00645DCA"/>
    <w:rsid w:val="00653670"/>
    <w:rsid w:val="00684ACE"/>
    <w:rsid w:val="006867BE"/>
    <w:rsid w:val="00687D51"/>
    <w:rsid w:val="00690E4B"/>
    <w:rsid w:val="0069343F"/>
    <w:rsid w:val="00696567"/>
    <w:rsid w:val="006B1A3C"/>
    <w:rsid w:val="006B2A1B"/>
    <w:rsid w:val="006C1C1F"/>
    <w:rsid w:val="006C1D72"/>
    <w:rsid w:val="006C1E2E"/>
    <w:rsid w:val="006C38AC"/>
    <w:rsid w:val="006C5097"/>
    <w:rsid w:val="006D180D"/>
    <w:rsid w:val="006D1CFF"/>
    <w:rsid w:val="006E5060"/>
    <w:rsid w:val="006E5C7E"/>
    <w:rsid w:val="00706782"/>
    <w:rsid w:val="00711091"/>
    <w:rsid w:val="007130C8"/>
    <w:rsid w:val="00723B43"/>
    <w:rsid w:val="00731FD8"/>
    <w:rsid w:val="0073749A"/>
    <w:rsid w:val="0073790C"/>
    <w:rsid w:val="0074608C"/>
    <w:rsid w:val="00751B16"/>
    <w:rsid w:val="0075390B"/>
    <w:rsid w:val="007568E8"/>
    <w:rsid w:val="00763741"/>
    <w:rsid w:val="00773DAA"/>
    <w:rsid w:val="00783D94"/>
    <w:rsid w:val="00785BDA"/>
    <w:rsid w:val="00791964"/>
    <w:rsid w:val="007A24C3"/>
    <w:rsid w:val="007B541B"/>
    <w:rsid w:val="007B6D99"/>
    <w:rsid w:val="007C464B"/>
    <w:rsid w:val="007D0D38"/>
    <w:rsid w:val="007F60A4"/>
    <w:rsid w:val="0080406F"/>
    <w:rsid w:val="00812925"/>
    <w:rsid w:val="0081409D"/>
    <w:rsid w:val="00821DD4"/>
    <w:rsid w:val="008409A7"/>
    <w:rsid w:val="008413A8"/>
    <w:rsid w:val="008623AE"/>
    <w:rsid w:val="00871A8A"/>
    <w:rsid w:val="008801BC"/>
    <w:rsid w:val="0088026E"/>
    <w:rsid w:val="008849F7"/>
    <w:rsid w:val="00894C34"/>
    <w:rsid w:val="00895F15"/>
    <w:rsid w:val="008B6A32"/>
    <w:rsid w:val="008C05DE"/>
    <w:rsid w:val="008C17DA"/>
    <w:rsid w:val="008C2769"/>
    <w:rsid w:val="008D7DA5"/>
    <w:rsid w:val="008E0729"/>
    <w:rsid w:val="008E7182"/>
    <w:rsid w:val="008F21A2"/>
    <w:rsid w:val="008F5E38"/>
    <w:rsid w:val="008F7A7F"/>
    <w:rsid w:val="00901CF8"/>
    <w:rsid w:val="0090466B"/>
    <w:rsid w:val="0090777C"/>
    <w:rsid w:val="009114CD"/>
    <w:rsid w:val="0093506A"/>
    <w:rsid w:val="009607C2"/>
    <w:rsid w:val="00964ADC"/>
    <w:rsid w:val="00971C15"/>
    <w:rsid w:val="0097301A"/>
    <w:rsid w:val="00975101"/>
    <w:rsid w:val="00977FED"/>
    <w:rsid w:val="00991342"/>
    <w:rsid w:val="009A23D6"/>
    <w:rsid w:val="009A5AD3"/>
    <w:rsid w:val="009A6FFC"/>
    <w:rsid w:val="009B1A13"/>
    <w:rsid w:val="009B5E18"/>
    <w:rsid w:val="009B6E9B"/>
    <w:rsid w:val="009C4BA5"/>
    <w:rsid w:val="009D40D2"/>
    <w:rsid w:val="009D6D4E"/>
    <w:rsid w:val="009E492A"/>
    <w:rsid w:val="009F168E"/>
    <w:rsid w:val="00A00FAA"/>
    <w:rsid w:val="00A0323E"/>
    <w:rsid w:val="00A25CA1"/>
    <w:rsid w:val="00A27165"/>
    <w:rsid w:val="00A32391"/>
    <w:rsid w:val="00A35557"/>
    <w:rsid w:val="00A36FEC"/>
    <w:rsid w:val="00A44953"/>
    <w:rsid w:val="00A70CA8"/>
    <w:rsid w:val="00A75C4C"/>
    <w:rsid w:val="00A86E3A"/>
    <w:rsid w:val="00AA0F17"/>
    <w:rsid w:val="00AA1884"/>
    <w:rsid w:val="00AA65DD"/>
    <w:rsid w:val="00AA771C"/>
    <w:rsid w:val="00AB6476"/>
    <w:rsid w:val="00AD0CE3"/>
    <w:rsid w:val="00AD4BBF"/>
    <w:rsid w:val="00AD7358"/>
    <w:rsid w:val="00AE253A"/>
    <w:rsid w:val="00AF2506"/>
    <w:rsid w:val="00B01682"/>
    <w:rsid w:val="00B10150"/>
    <w:rsid w:val="00B10943"/>
    <w:rsid w:val="00B147B6"/>
    <w:rsid w:val="00B15CE7"/>
    <w:rsid w:val="00B21482"/>
    <w:rsid w:val="00B23B84"/>
    <w:rsid w:val="00B24AE3"/>
    <w:rsid w:val="00B317DB"/>
    <w:rsid w:val="00B4037B"/>
    <w:rsid w:val="00B4762E"/>
    <w:rsid w:val="00B54BBB"/>
    <w:rsid w:val="00B6125B"/>
    <w:rsid w:val="00B63B0F"/>
    <w:rsid w:val="00B718C5"/>
    <w:rsid w:val="00B756EE"/>
    <w:rsid w:val="00B8517D"/>
    <w:rsid w:val="00B94656"/>
    <w:rsid w:val="00BA7C79"/>
    <w:rsid w:val="00BB3DE4"/>
    <w:rsid w:val="00BB65B3"/>
    <w:rsid w:val="00BB6AD1"/>
    <w:rsid w:val="00BC4806"/>
    <w:rsid w:val="00BC597F"/>
    <w:rsid w:val="00BC697E"/>
    <w:rsid w:val="00BD6B0F"/>
    <w:rsid w:val="00BD741D"/>
    <w:rsid w:val="00BD7E03"/>
    <w:rsid w:val="00BF3D58"/>
    <w:rsid w:val="00C044E5"/>
    <w:rsid w:val="00C073A0"/>
    <w:rsid w:val="00C1755D"/>
    <w:rsid w:val="00C366B4"/>
    <w:rsid w:val="00C41B1C"/>
    <w:rsid w:val="00C539BA"/>
    <w:rsid w:val="00C7197F"/>
    <w:rsid w:val="00C72600"/>
    <w:rsid w:val="00C73CAE"/>
    <w:rsid w:val="00C84896"/>
    <w:rsid w:val="00C85C6C"/>
    <w:rsid w:val="00C86A8F"/>
    <w:rsid w:val="00C86B30"/>
    <w:rsid w:val="00C975DF"/>
    <w:rsid w:val="00CA6D88"/>
    <w:rsid w:val="00CB081F"/>
    <w:rsid w:val="00CC3B15"/>
    <w:rsid w:val="00CC6502"/>
    <w:rsid w:val="00CC6D71"/>
    <w:rsid w:val="00CD4E23"/>
    <w:rsid w:val="00CF0AB6"/>
    <w:rsid w:val="00CF7FE3"/>
    <w:rsid w:val="00D05401"/>
    <w:rsid w:val="00D10CA4"/>
    <w:rsid w:val="00D117AE"/>
    <w:rsid w:val="00D20223"/>
    <w:rsid w:val="00D24718"/>
    <w:rsid w:val="00D24CA8"/>
    <w:rsid w:val="00D37554"/>
    <w:rsid w:val="00D643C9"/>
    <w:rsid w:val="00D66658"/>
    <w:rsid w:val="00D7156E"/>
    <w:rsid w:val="00D72F2F"/>
    <w:rsid w:val="00D7641E"/>
    <w:rsid w:val="00D84F93"/>
    <w:rsid w:val="00D96068"/>
    <w:rsid w:val="00DC738B"/>
    <w:rsid w:val="00DD5443"/>
    <w:rsid w:val="00DF1B80"/>
    <w:rsid w:val="00DF2AA3"/>
    <w:rsid w:val="00DF67C5"/>
    <w:rsid w:val="00DF7149"/>
    <w:rsid w:val="00E03ACE"/>
    <w:rsid w:val="00E045BD"/>
    <w:rsid w:val="00E06649"/>
    <w:rsid w:val="00E06D71"/>
    <w:rsid w:val="00E20D4A"/>
    <w:rsid w:val="00E21A36"/>
    <w:rsid w:val="00E26237"/>
    <w:rsid w:val="00E311C3"/>
    <w:rsid w:val="00E3159F"/>
    <w:rsid w:val="00E31D9C"/>
    <w:rsid w:val="00E36EE4"/>
    <w:rsid w:val="00E477FC"/>
    <w:rsid w:val="00E51619"/>
    <w:rsid w:val="00E56355"/>
    <w:rsid w:val="00E60CDB"/>
    <w:rsid w:val="00E71650"/>
    <w:rsid w:val="00E720E8"/>
    <w:rsid w:val="00E73A06"/>
    <w:rsid w:val="00E845D7"/>
    <w:rsid w:val="00E930AA"/>
    <w:rsid w:val="00EB13FB"/>
    <w:rsid w:val="00EB18FE"/>
    <w:rsid w:val="00EB6BD2"/>
    <w:rsid w:val="00EB73DF"/>
    <w:rsid w:val="00EC3F7D"/>
    <w:rsid w:val="00EC7DD2"/>
    <w:rsid w:val="00ED2D9D"/>
    <w:rsid w:val="00ED4053"/>
    <w:rsid w:val="00EE4FC6"/>
    <w:rsid w:val="00EF0B1C"/>
    <w:rsid w:val="00EF3047"/>
    <w:rsid w:val="00EF5CF9"/>
    <w:rsid w:val="00F22B4A"/>
    <w:rsid w:val="00F22EBD"/>
    <w:rsid w:val="00F451CB"/>
    <w:rsid w:val="00F472A5"/>
    <w:rsid w:val="00F509BB"/>
    <w:rsid w:val="00F567D6"/>
    <w:rsid w:val="00F7403A"/>
    <w:rsid w:val="00F76780"/>
    <w:rsid w:val="00F76B0A"/>
    <w:rsid w:val="00F7776B"/>
    <w:rsid w:val="00F8230A"/>
    <w:rsid w:val="00F82CB2"/>
    <w:rsid w:val="00F86618"/>
    <w:rsid w:val="00F96F2F"/>
    <w:rsid w:val="00FA6FE8"/>
    <w:rsid w:val="00FB4C0B"/>
    <w:rsid w:val="00FC3452"/>
    <w:rsid w:val="00FC6789"/>
    <w:rsid w:val="00FE17A9"/>
    <w:rsid w:val="00FE59BB"/>
    <w:rsid w:val="00FE78AD"/>
    <w:rsid w:val="00FF0CA3"/>
    <w:rsid w:val="00FF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line="760" w:lineRule="exact"/>
      <w:ind w:firstLine="0" w:firstLineChars="0"/>
      <w:jc w:val="center"/>
      <w:outlineLvl w:val="0"/>
    </w:pPr>
    <w:rPr>
      <w:rFonts w:eastAsia="方正小标宋简体"/>
      <w:bCs/>
      <w:kern w:val="44"/>
      <w:sz w:val="44"/>
      <w:szCs w:val="44"/>
    </w:rPr>
  </w:style>
  <w:style w:type="paragraph" w:styleId="3">
    <w:name w:val="heading 2"/>
    <w:basedOn w:val="1"/>
    <w:next w:val="1"/>
    <w:link w:val="26"/>
    <w:qFormat/>
    <w:uiPriority w:val="0"/>
    <w:pPr>
      <w:keepNext/>
      <w:keepLines/>
      <w:outlineLvl w:val="1"/>
    </w:pPr>
    <w:rPr>
      <w:rFonts w:eastAsia="黑体"/>
      <w:bCs/>
      <w:szCs w:val="32"/>
    </w:rPr>
  </w:style>
  <w:style w:type="paragraph" w:styleId="4">
    <w:name w:val="heading 3"/>
    <w:basedOn w:val="1"/>
    <w:next w:val="1"/>
    <w:link w:val="24"/>
    <w:qFormat/>
    <w:uiPriority w:val="0"/>
    <w:pPr>
      <w:outlineLvl w:val="2"/>
    </w:pPr>
    <w:rPr>
      <w:rFonts w:eastAsia="楷体_GB2312"/>
      <w:b/>
      <w:bCs/>
      <w:szCs w:val="32"/>
    </w:rPr>
  </w:style>
  <w:style w:type="paragraph" w:styleId="5">
    <w:name w:val="heading 4"/>
    <w:basedOn w:val="1"/>
    <w:next w:val="1"/>
    <w:link w:val="28"/>
    <w:qFormat/>
    <w:uiPriority w:val="0"/>
    <w:pPr>
      <w:outlineLvl w:val="3"/>
    </w:pPr>
    <w:rPr>
      <w:bCs/>
      <w:szCs w:val="28"/>
    </w:rPr>
  </w:style>
  <w:style w:type="paragraph" w:styleId="6">
    <w:name w:val="heading 6"/>
    <w:basedOn w:val="1"/>
    <w:next w:val="1"/>
    <w:qFormat/>
    <w:uiPriority w:val="0"/>
    <w:pPr>
      <w:keepNext/>
      <w:keepLines/>
      <w:spacing w:before="240" w:after="64" w:line="320" w:lineRule="atLeast"/>
      <w:outlineLvl w:val="5"/>
    </w:pPr>
    <w:rPr>
      <w:rFonts w:ascii="Arial" w:hAnsi="Arial" w:eastAsia="黑体"/>
      <w:b/>
      <w:bCs/>
      <w:sz w:val="24"/>
    </w:rPr>
  </w:style>
  <w:style w:type="paragraph" w:styleId="7">
    <w:name w:val="heading 7"/>
    <w:basedOn w:val="1"/>
    <w:next w:val="1"/>
    <w:qFormat/>
    <w:uiPriority w:val="0"/>
    <w:pPr>
      <w:keepNext/>
      <w:keepLines/>
      <w:spacing w:before="240" w:after="64" w:line="320" w:lineRule="atLeast"/>
      <w:outlineLvl w:val="6"/>
    </w:pPr>
    <w:rPr>
      <w:b/>
      <w:bCs/>
      <w:sz w:val="24"/>
    </w:rPr>
  </w:style>
  <w:style w:type="character" w:default="1" w:styleId="16">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8">
    <w:name w:val="Body Text 3"/>
    <w:basedOn w:val="1"/>
    <w:uiPriority w:val="0"/>
    <w:pPr>
      <w:spacing w:after="120"/>
    </w:pPr>
    <w:rPr>
      <w:sz w:val="16"/>
      <w:szCs w:val="16"/>
    </w:rPr>
  </w:style>
  <w:style w:type="paragraph" w:styleId="9">
    <w:name w:val="Date"/>
    <w:basedOn w:val="1"/>
    <w:next w:val="1"/>
    <w:uiPriority w:val="0"/>
    <w:pPr>
      <w:ind w:left="100" w:leftChars="2500"/>
    </w:pPr>
  </w:style>
  <w:style w:type="paragraph" w:styleId="10">
    <w:name w:val="Body Text Indent 2"/>
    <w:basedOn w:val="1"/>
    <w:uiPriority w:val="0"/>
    <w:pPr>
      <w:adjustRightInd/>
      <w:snapToGrid/>
      <w:spacing w:line="240" w:lineRule="auto"/>
      <w:ind w:firstLine="420"/>
    </w:pPr>
    <w:rPr>
      <w:rFonts w:ascii="仿宋_GB2312"/>
      <w:color w:val="FF6600"/>
      <w:sz w:val="21"/>
    </w:rPr>
  </w:style>
  <w:style w:type="paragraph" w:styleId="11">
    <w:name w:val="Balloon Text"/>
    <w:basedOn w:val="1"/>
    <w:link w:val="23"/>
    <w:semiHidden/>
    <w:uiPriority w:val="0"/>
    <w:pPr>
      <w:adjustRightInd/>
      <w:snapToGrid/>
      <w:spacing w:line="240" w:lineRule="auto"/>
      <w:ind w:firstLine="0" w:firstLineChars="0"/>
    </w:pPr>
    <w:rPr>
      <w:rFonts w:eastAsia="宋体"/>
      <w:sz w:val="18"/>
      <w:szCs w:val="18"/>
    </w:rPr>
  </w:style>
  <w:style w:type="paragraph" w:styleId="12">
    <w:name w:val="footer"/>
    <w:basedOn w:val="1"/>
    <w:link w:val="19"/>
    <w:uiPriority w:val="0"/>
    <w:pPr>
      <w:tabs>
        <w:tab w:val="center" w:pos="4153"/>
        <w:tab w:val="right" w:pos="8306"/>
      </w:tabs>
      <w:spacing w:line="240" w:lineRule="atLeast"/>
      <w:jc w:val="left"/>
    </w:pPr>
    <w:rPr>
      <w:sz w:val="18"/>
      <w:szCs w:val="18"/>
    </w:rPr>
  </w:style>
  <w:style w:type="paragraph" w:styleId="13">
    <w:name w:val="header"/>
    <w:basedOn w:val="1"/>
    <w:link w:val="20"/>
    <w:uiPriority w:val="0"/>
    <w:pPr>
      <w:pBdr>
        <w:bottom w:val="single" w:color="auto" w:sz="6" w:space="1"/>
      </w:pBdr>
      <w:tabs>
        <w:tab w:val="center" w:pos="4153"/>
        <w:tab w:val="right" w:pos="8306"/>
      </w:tabs>
      <w:spacing w:line="240" w:lineRule="atLeast"/>
      <w:jc w:val="center"/>
    </w:pPr>
    <w:rPr>
      <w:sz w:val="18"/>
      <w:szCs w:val="18"/>
    </w:rPr>
  </w:style>
  <w:style w:type="table" w:styleId="15">
    <w:name w:val="Table Grid"/>
    <w:basedOn w:val="14"/>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uiPriority w:val="0"/>
  </w:style>
  <w:style w:type="character" w:styleId="18">
    <w:name w:val="Hyperlink"/>
    <w:basedOn w:val="16"/>
    <w:uiPriority w:val="0"/>
    <w:rPr>
      <w:color w:val="0000FF"/>
      <w:u w:val="single"/>
    </w:rPr>
  </w:style>
  <w:style w:type="character" w:customStyle="1" w:styleId="19">
    <w:name w:val="页脚 Char"/>
    <w:basedOn w:val="16"/>
    <w:link w:val="12"/>
    <w:semiHidden/>
    <w:qFormat/>
    <w:uiPriority w:val="0"/>
    <w:rPr>
      <w:rFonts w:eastAsia="仿宋_GB2312"/>
      <w:kern w:val="2"/>
      <w:sz w:val="18"/>
      <w:szCs w:val="18"/>
      <w:lang w:val="en-US" w:eastAsia="zh-CN" w:bidi="ar-SA"/>
    </w:rPr>
  </w:style>
  <w:style w:type="character" w:customStyle="1" w:styleId="20">
    <w:name w:val="页眉 Char"/>
    <w:basedOn w:val="16"/>
    <w:link w:val="13"/>
    <w:semiHidden/>
    <w:qFormat/>
    <w:uiPriority w:val="0"/>
    <w:rPr>
      <w:rFonts w:eastAsia="仿宋_GB2312"/>
      <w:kern w:val="2"/>
      <w:sz w:val="18"/>
      <w:szCs w:val="18"/>
      <w:lang w:val="en-US" w:eastAsia="zh-CN" w:bidi="ar-SA"/>
    </w:rPr>
  </w:style>
  <w:style w:type="paragraph" w:customStyle="1" w:styleId="21">
    <w:name w:val="表头"/>
    <w:basedOn w:val="1"/>
    <w:uiPriority w:val="0"/>
    <w:pPr>
      <w:spacing w:before="80" w:after="80" w:line="280" w:lineRule="atLeast"/>
      <w:ind w:firstLine="0" w:firstLineChars="0"/>
      <w:jc w:val="center"/>
    </w:pPr>
    <w:rPr>
      <w:rFonts w:eastAsia="黑体" w:cs="宋体"/>
      <w:sz w:val="24"/>
    </w:rPr>
  </w:style>
  <w:style w:type="paragraph" w:customStyle="1" w:styleId="22">
    <w:name w:val="表内文字"/>
    <w:basedOn w:val="1"/>
    <w:uiPriority w:val="0"/>
    <w:pPr>
      <w:spacing w:before="60" w:after="60" w:line="280" w:lineRule="atLeast"/>
      <w:ind w:firstLine="0" w:firstLineChars="0"/>
    </w:pPr>
    <w:rPr>
      <w:sz w:val="24"/>
    </w:rPr>
  </w:style>
  <w:style w:type="character" w:customStyle="1" w:styleId="23">
    <w:name w:val="批注框文本 Char"/>
    <w:basedOn w:val="16"/>
    <w:link w:val="11"/>
    <w:semiHidden/>
    <w:uiPriority w:val="0"/>
    <w:rPr>
      <w:rFonts w:eastAsia="宋体"/>
      <w:kern w:val="2"/>
      <w:sz w:val="18"/>
      <w:szCs w:val="18"/>
      <w:lang w:val="en-US" w:eastAsia="zh-CN" w:bidi="ar-SA"/>
    </w:rPr>
  </w:style>
  <w:style w:type="character" w:customStyle="1" w:styleId="24">
    <w:name w:val="标题 3 Char"/>
    <w:basedOn w:val="16"/>
    <w:link w:val="4"/>
    <w:uiPriority w:val="0"/>
    <w:rPr>
      <w:rFonts w:eastAsia="楷体_GB2312"/>
      <w:b/>
      <w:bCs/>
      <w:kern w:val="2"/>
      <w:sz w:val="32"/>
      <w:szCs w:val="32"/>
      <w:lang w:val="en-US" w:eastAsia="zh-CN" w:bidi="ar-SA"/>
    </w:rPr>
  </w:style>
  <w:style w:type="paragraph" w:customStyle="1" w:styleId="25">
    <w:name w:val="p0"/>
    <w:basedOn w:val="1"/>
    <w:uiPriority w:val="0"/>
    <w:pPr>
      <w:widowControl/>
      <w:adjustRightInd/>
      <w:snapToGrid/>
      <w:spacing w:line="240" w:lineRule="auto"/>
      <w:ind w:firstLine="0" w:firstLineChars="0"/>
    </w:pPr>
    <w:rPr>
      <w:rFonts w:eastAsia="宋体"/>
      <w:kern w:val="0"/>
      <w:sz w:val="21"/>
      <w:szCs w:val="21"/>
    </w:rPr>
  </w:style>
  <w:style w:type="character" w:customStyle="1" w:styleId="26">
    <w:name w:val="标题 2 Char"/>
    <w:link w:val="3"/>
    <w:uiPriority w:val="0"/>
    <w:rPr>
      <w:rFonts w:eastAsia="黑体"/>
      <w:bCs/>
      <w:kern w:val="2"/>
      <w:sz w:val="32"/>
      <w:szCs w:val="32"/>
      <w:lang w:val="en-US" w:eastAsia="zh-CN" w:bidi="ar-SA"/>
    </w:rPr>
  </w:style>
  <w:style w:type="paragraph" w:customStyle="1" w:styleId="27">
    <w:name w:val="样式4"/>
    <w:basedOn w:val="1"/>
    <w:uiPriority w:val="0"/>
    <w:pPr>
      <w:adjustRightInd/>
      <w:snapToGrid/>
      <w:spacing w:line="600" w:lineRule="exact"/>
      <w:ind w:firstLine="640"/>
    </w:pPr>
    <w:rPr>
      <w:szCs w:val="32"/>
    </w:rPr>
  </w:style>
  <w:style w:type="character" w:customStyle="1" w:styleId="28">
    <w:name w:val="标题 4 Char"/>
    <w:basedOn w:val="16"/>
    <w:link w:val="5"/>
    <w:uiPriority w:val="0"/>
    <w:rPr>
      <w:rFonts w:eastAsia="仿宋_GB2312"/>
      <w:bCs/>
      <w:kern w:val="2"/>
      <w:sz w:val="32"/>
      <w:szCs w:val="28"/>
      <w:lang w:val="en-US" w:eastAsia="zh-CN" w:bidi="ar-SA"/>
    </w:rPr>
  </w:style>
  <w:style w:type="character" w:customStyle="1" w:styleId="29">
    <w:name w:val=" Char Char4"/>
    <w:basedOn w:val="16"/>
    <w:uiPriority w:val="0"/>
    <w:rPr>
      <w:rFonts w:eastAsia="黑体"/>
      <w:bCs/>
      <w:kern w:val="2"/>
      <w:sz w:val="32"/>
      <w:szCs w:val="32"/>
      <w:lang w:val="en-US" w:eastAsia="zh-CN" w:bidi="ar-SA"/>
    </w:rPr>
  </w:style>
  <w:style w:type="character" w:customStyle="1" w:styleId="30">
    <w:name w:val=" Char Char3"/>
    <w:basedOn w:val="16"/>
    <w:uiPriority w:val="0"/>
    <w:rPr>
      <w:rFonts w:eastAsia="楷体_GB2312"/>
      <w:b/>
      <w:bCs/>
      <w:kern w:val="2"/>
      <w:sz w:val="32"/>
      <w:szCs w:val="32"/>
      <w:lang w:val="en-US" w:eastAsia="zh-CN" w:bidi="ar-SA"/>
    </w:rPr>
  </w:style>
  <w:style w:type="paragraph" w:customStyle="1" w:styleId="31">
    <w:name w:val="List Paragraph"/>
    <w:basedOn w:val="1"/>
    <w:uiPriority w:val="0"/>
    <w:pPr>
      <w:adjustRightInd/>
      <w:snapToGrid/>
      <w:spacing w:line="240" w:lineRule="auto"/>
      <w:ind w:firstLine="420"/>
    </w:pPr>
    <w:rPr>
      <w:rFonts w:ascii="Calibri" w:hAnsi="Calibri" w:eastAsia="宋体"/>
      <w:sz w:val="21"/>
      <w:szCs w:val="21"/>
    </w:rPr>
  </w:style>
  <w:style w:type="paragraph" w:customStyle="1" w:styleId="32">
    <w:name w:val="正文 A"/>
    <w:basedOn w:val="1"/>
    <w:uiPriority w:val="0"/>
    <w:pPr>
      <w:adjustRightInd/>
      <w:snapToGrid/>
      <w:spacing w:line="240" w:lineRule="auto"/>
      <w:ind w:firstLine="0" w:firstLineChars="0"/>
    </w:pPr>
    <w:rPr>
      <w:rFonts w:ascii="Arial Unicode MS" w:hAnsi="Arial Unicode MS" w:eastAsia="宋体" w:cs="Arial Unicode MS"/>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5202</Words>
  <Characters>5311</Characters>
  <Lines>39</Lines>
  <Paragraphs>11</Paragraphs>
  <TotalTime>1</TotalTime>
  <ScaleCrop>false</ScaleCrop>
  <LinksUpToDate>false</LinksUpToDate>
  <CharactersWithSpaces>5445</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2019-11-08T06:54:00Z</dcterms:created>
  <dc:creator>walkinnet</dc:creator>
  <cp:lastModifiedBy>万全鹏</cp:lastModifiedBy>
  <cp:lastPrinted>2019-11-08T06:53:00Z</cp:lastPrinted>
  <dcterms:modified xsi:type="dcterms:W3CDTF">2022-09-22T07:42:31Z</dcterms:modified>
  <dc:title>湘农业函〔2014〕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F589501AEF6E48A8B5EE6CC15C6B3A20</vt:lpwstr>
  </property>
</Properties>
</file>